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40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40"/>
          <w:szCs w:val="36"/>
        </w:rPr>
        <w:t>城市综合管理部门</w:t>
      </w:r>
    </w:p>
    <w:tbl>
      <w:tblPr>
        <w:tblStyle w:val="6"/>
        <w:tblW w:w="10119" w:type="dxa"/>
        <w:tblCellSpacing w:w="7" w:type="dxa"/>
        <w:tblInd w:w="-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603"/>
        <w:gridCol w:w="1857"/>
        <w:gridCol w:w="2051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收费标准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文件依据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 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、绿化（恢复绿化）补偿费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粤价[2000]334号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梅市府[2004]48号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粤发改价格【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2016】180号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企业免征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（一）商业性占用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每平方米/天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0.6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（二）其它用途占用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每平方米/天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0.3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、城市道路临时占用费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粤价[1996]104号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1、营业性临时占用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平方米/天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0.4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梅市价字[1997]80号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2、基建或其他临时占用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平方米/天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0.2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三、城市道路挖掘修复费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1、水泥道路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2、沥青道路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3、方块石或砼方块砖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7" w:type="dxa"/>
        </w:trPr>
        <w:tc>
          <w:tcPr>
            <w:tcW w:w="18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4、土路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3D5"/>
    <w:rsid w:val="00000193"/>
    <w:rsid w:val="002507F2"/>
    <w:rsid w:val="008F73D5"/>
    <w:rsid w:val="60EB2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be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2014-02-19T06:55:00Z</dcterms:created>
  <dc:creator>JIANG</dc:creator>
  <cp:lastModifiedBy>Aaron</cp:lastModifiedBy>
  <dcterms:modified xsi:type="dcterms:W3CDTF">2016-10-10T03:02:44Z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