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1"/>
        <w:rPr>
          <w:rFonts w:ascii="宋体" w:hAnsi="宋体" w:eastAsia="宋体" w:cs="宋体"/>
          <w:b/>
          <w:bCs/>
          <w:color w:val="336699"/>
          <w:kern w:val="0"/>
          <w:sz w:val="36"/>
          <w:szCs w:val="36"/>
        </w:rPr>
      </w:pPr>
      <w:r>
        <w:rPr>
          <w:rFonts w:hint="eastAsia" w:ascii="宋体" w:hAnsi="宋体" w:eastAsia="宋体" w:cs="宋体"/>
          <w:b/>
          <w:bCs/>
          <w:color w:val="336699"/>
          <w:kern w:val="0"/>
          <w:sz w:val="36"/>
          <w:szCs w:val="36"/>
        </w:rPr>
        <w:t>人防部门</w:t>
      </w:r>
    </w:p>
    <w:tbl>
      <w:tblPr>
        <w:tblStyle w:val="6"/>
        <w:tblW w:w="9442" w:type="dxa"/>
        <w:tblCellSpacing w:w="7"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
      <w:tblGrid>
        <w:gridCol w:w="1897"/>
        <w:gridCol w:w="1897"/>
        <w:gridCol w:w="1855"/>
        <w:gridCol w:w="1883"/>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951"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收费项目 </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征收依据</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计算单位</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收费标准</w:t>
            </w:r>
          </w:p>
          <w:p>
            <w:pPr>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（元）</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1394"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易地建设费</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梅市府办[2010]71号</w:t>
            </w:r>
          </w:p>
          <w:p>
            <w:pPr>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梅市价[2010]76号</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89" w:type="dxa"/>
            <w:shd w:val="clear" w:color="auto" w:fill="FFFFFF"/>
            <w:vAlign w:val="center"/>
          </w:tcPr>
          <w:p>
            <w:pPr>
              <w:widowControl/>
              <w:spacing w:line="45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①</w:t>
            </w:r>
            <w:r>
              <w:rPr>
                <w:rFonts w:hint="eastAsia" w:ascii="宋体" w:hAnsi="宋体" w:eastAsia="宋体" w:cs="宋体"/>
                <w:color w:val="000000"/>
                <w:kern w:val="0"/>
                <w:szCs w:val="21"/>
              </w:rPr>
              <w:t>省级产业转移园内企业缓征</w:t>
            </w:r>
          </w:p>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粤财综【2013】33号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1、新建10层（含）以上或者基础埋深3米（含）以上的民用建筑按照不低于地面首层建筑面积</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②企业免征部分详见</w:t>
            </w:r>
            <w:r>
              <w:rPr>
                <w:rFonts w:hint="eastAsia" w:ascii="宋体" w:hAnsi="宋体" w:eastAsia="宋体" w:cs="宋体"/>
                <w:color w:val="000000"/>
                <w:kern w:val="0"/>
                <w:szCs w:val="21"/>
              </w:rPr>
              <w:t>粤财综【201</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89</w:t>
            </w:r>
            <w:r>
              <w:rPr>
                <w:rFonts w:hint="eastAsia" w:ascii="宋体" w:hAnsi="宋体" w:eastAsia="宋体" w:cs="宋体"/>
                <w:color w:val="000000"/>
                <w:kern w:val="0"/>
                <w:szCs w:val="21"/>
              </w:rPr>
              <w:t>号</w:t>
            </w:r>
            <w:r>
              <w:rPr>
                <w:rFonts w:hint="eastAsia" w:ascii="宋体" w:hAnsi="宋体" w:eastAsia="宋体" w:cs="宋体"/>
                <w:color w:val="000000"/>
                <w:kern w:val="0"/>
                <w:szCs w:val="21"/>
                <w:lang w:eastAsia="zh-CN"/>
              </w:rPr>
              <w:t>、</w:t>
            </w:r>
            <w:bookmarkStart w:id="0" w:name="_GoBack"/>
            <w:bookmarkEnd w:id="0"/>
            <w:r>
              <w:rPr>
                <w:rFonts w:hint="eastAsia" w:ascii="宋体" w:hAnsi="宋体" w:eastAsia="宋体" w:cs="宋体"/>
                <w:color w:val="000000"/>
                <w:kern w:val="0"/>
                <w:szCs w:val="21"/>
                <w:lang w:eastAsia="zh-CN"/>
              </w:rPr>
              <w:t>粤发改发电【</w:t>
            </w:r>
            <w:r>
              <w:rPr>
                <w:rFonts w:hint="eastAsia" w:ascii="宋体" w:hAnsi="宋体" w:eastAsia="宋体" w:cs="宋体"/>
                <w:color w:val="000000"/>
                <w:kern w:val="0"/>
                <w:szCs w:val="21"/>
                <w:lang w:val="en-US" w:eastAsia="zh-CN"/>
              </w:rPr>
              <w:t>2014】34号</w:t>
            </w: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2、新建除第1条规定以外的居民住宅楼和危房翻新住宅项目按照地面首层建筑面积</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3、新建除第1、2条规定以外、地面总建筑面积在2000平方米（含）以上的其他民用建筑，按照地面总建筑面积的3%</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4、高新区、开发区、工业园区和重要经济目标区，除第1、2条规定以外的新建民用建筑，按照一次性规划地面总建筑面积的3%</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5、新建除第1、2条规定以外、地面总建筑面积在2000平方米以下（不含2000平方米）的其他民用建筑，按照地面总建筑面积</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 w:hRule="atLeast"/>
          <w:tblCellSpacing w:w="7" w:type="dxa"/>
        </w:trPr>
        <w:tc>
          <w:tcPr>
            <w:tcW w:w="1876"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6、已取得产权证的升层民用建筑，按照升层建筑总建筑面积</w:t>
            </w:r>
          </w:p>
        </w:tc>
        <w:tc>
          <w:tcPr>
            <w:tcW w:w="1883"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1"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平方米</w:t>
            </w:r>
          </w:p>
        </w:tc>
        <w:tc>
          <w:tcPr>
            <w:tcW w:w="186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889" w:type="dxa"/>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ayout w:type="fixed"/>
          <w:tblCellMar>
            <w:top w:w="0" w:type="dxa"/>
            <w:left w:w="0" w:type="dxa"/>
            <w:bottom w:w="0" w:type="dxa"/>
            <w:right w:w="0" w:type="dxa"/>
          </w:tblCellMar>
        </w:tblPrEx>
        <w:trPr>
          <w:trHeight w:val="908" w:hRule="atLeast"/>
          <w:tblCellSpacing w:w="7" w:type="dxa"/>
        </w:trPr>
        <w:tc>
          <w:tcPr>
            <w:tcW w:w="9414" w:type="dxa"/>
            <w:gridSpan w:val="5"/>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注：对以下新建民用建筑项目应适当减免防空地下室易地建设费：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tblCellSpacing w:w="7" w:type="dxa"/>
        </w:trPr>
        <w:tc>
          <w:tcPr>
            <w:tcW w:w="9414" w:type="dxa"/>
            <w:gridSpan w:val="5"/>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享受政府优惠政策建设的廉租房、经济适用房等居民住房，减半收取；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tblCellSpacing w:w="7" w:type="dxa"/>
        </w:trPr>
        <w:tc>
          <w:tcPr>
            <w:tcW w:w="9414" w:type="dxa"/>
            <w:gridSpan w:val="5"/>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新建幼儿园、学校教学楼、养老院及为残疾人修建的生活服务设施等民用建筑，减半收取；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tblCellSpacing w:w="7" w:type="dxa"/>
        </w:trPr>
        <w:tc>
          <w:tcPr>
            <w:tcW w:w="9414" w:type="dxa"/>
            <w:gridSpan w:val="5"/>
            <w:shd w:val="clear" w:color="auto" w:fill="FFFFFF"/>
            <w:vAlign w:val="center"/>
          </w:tcPr>
          <w:p>
            <w:pPr>
              <w:widowControl/>
              <w:spacing w:line="45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临时民用建筑和不增加面积的危房翻新改造商品住宅项目，予以免收；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100D"/>
    <w:rsid w:val="00C81C1B"/>
    <w:rsid w:val="00DB100D"/>
    <w:rsid w:val="30B06DF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2 Char"/>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514</Characters>
  <Lines>4</Lines>
  <Paragraphs>1</Paragraphs>
  <TotalTime>0</TotalTime>
  <ScaleCrop>false</ScaleCrop>
  <LinksUpToDate>false</LinksUpToDate>
  <CharactersWithSpaces>603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2014-02-19T07:31:00Z</dcterms:created>
  <dc:creator>JIANG</dc:creator>
  <cp:lastModifiedBy>Aaron</cp:lastModifiedBy>
  <dcterms:modified xsi:type="dcterms:W3CDTF">2016-10-11T07:06:44Z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