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建设部门</w:t>
      </w:r>
    </w:p>
    <w:tbl>
      <w:tblPr>
        <w:tblStyle w:val="6"/>
        <w:tblpPr w:leftFromText="180" w:rightFromText="180" w:vertAnchor="text" w:horzAnchor="page" w:tblpX="1321" w:tblpY="248"/>
        <w:tblW w:w="9550" w:type="dxa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866"/>
        <w:gridCol w:w="1961"/>
        <w:gridCol w:w="1961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tblCellSpacing w:w="7" w:type="dxa"/>
        </w:trPr>
        <w:tc>
          <w:tcPr>
            <w:tcW w:w="27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  费  项  目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94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94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 件 依 据</w:t>
            </w:r>
          </w:p>
        </w:tc>
        <w:tc>
          <w:tcPr>
            <w:tcW w:w="194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   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tblCellSpacing w:w="7" w:type="dxa"/>
        </w:trPr>
        <w:tc>
          <w:tcPr>
            <w:tcW w:w="27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城市基础设施配套费（免缴企业见文件粤价[2009]151号）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基建投资额</w:t>
            </w:r>
          </w:p>
        </w:tc>
        <w:tc>
          <w:tcPr>
            <w:tcW w:w="194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4%</w:t>
            </w:r>
          </w:p>
        </w:tc>
        <w:tc>
          <w:tcPr>
            <w:tcW w:w="194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国家计委、财政部计价格[2001]585号，省物价局、财政厅粤价[2003]160号</w:t>
            </w:r>
          </w:p>
        </w:tc>
        <w:tc>
          <w:tcPr>
            <w:tcW w:w="194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仅限于县(含县城)以上城市收取。对私人自建自住的住宅不得收费。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04F"/>
    <w:rsid w:val="000748B4"/>
    <w:rsid w:val="000E7FB2"/>
    <w:rsid w:val="0048704F"/>
    <w:rsid w:val="004B6C92"/>
    <w:rsid w:val="004D7791"/>
    <w:rsid w:val="00B9429E"/>
    <w:rsid w:val="00E21DCC"/>
    <w:rsid w:val="00F12FF2"/>
    <w:rsid w:val="17D17B2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735</Characters>
  <Lines>6</Lines>
  <Paragraphs>1</Paragraphs>
  <TotalTime>0</TotalTime>
  <ScaleCrop>false</ScaleCrop>
  <LinksUpToDate>false</LinksUpToDate>
  <CharactersWithSpaces>862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2014-02-19T08:02:00Z</dcterms:created>
  <dc:creator>JIANG</dc:creator>
  <cp:lastModifiedBy>Aaron</cp:lastModifiedBy>
  <dcterms:modified xsi:type="dcterms:W3CDTF">2016-10-11T01:05:28Z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