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336699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6699"/>
          <w:kern w:val="0"/>
          <w:sz w:val="36"/>
          <w:szCs w:val="36"/>
        </w:rPr>
        <w:t>水利部门</w:t>
      </w:r>
    </w:p>
    <w:tbl>
      <w:tblPr>
        <w:tblStyle w:val="6"/>
        <w:tblW w:w="9786" w:type="dxa"/>
        <w:tblCellSpacing w:w="7" w:type="dxa"/>
        <w:tblInd w:w="-7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2126"/>
        <w:gridCol w:w="1701"/>
        <w:gridCol w:w="1134"/>
        <w:gridCol w:w="2252"/>
      </w:tblGrid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文件依据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计算单位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收费标准</w:t>
            </w:r>
          </w:p>
          <w:p>
            <w:pPr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一、水资源费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发改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[20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847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31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1、城乡生活取水包括自来水生产取用水； 2、生产、经营取用水含工商业、服务业用水。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（一）地表水征收标准：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vMerge w:val="continue"/>
            <w:shd w:val="clear" w:color="auto" w:fill="FFFFFF" w:themeFill="background1"/>
            <w:vAlign w:val="center"/>
          </w:tcPr>
          <w:p>
            <w:pPr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1、城乡生活取用水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2231" w:type="dxa"/>
            <w:vMerge w:val="continue"/>
            <w:shd w:val="clear" w:color="auto" w:fill="FFFFFF" w:themeFill="background1"/>
            <w:vAlign w:val="center"/>
          </w:tcPr>
          <w:p>
            <w:pPr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2、生产、经营取用水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2231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3、核电、火力发电贯流式冷却取用水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生物质能发电的火电厂减半征收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4、水力发电取用水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①大中型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kwh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②小型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kwh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5、对香港、澳门供水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合同水价的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6、其它取用水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（二）地下水征收标准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1、公共供水管网覆盖区域：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ind w:firstLine="105" w:firstLineChars="5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（1）城乡生活取用水  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ind w:firstLine="105" w:firstLineChars="5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（2）生产、经营取用水    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ind w:firstLine="105" w:firstLineChars="5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（3）核电、火力发电贯流式冷却取用水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生物质能发电的火电厂减半征收。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ind w:firstLine="105" w:firstLineChars="5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ind w:firstLine="105" w:firstLineChars="5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（4）地热水、矿泉水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</w:tcPr>
          <w:p>
            <w:r>
              <w:rPr>
                <w:rFonts w:hint="eastAsia"/>
              </w:rPr>
              <w:t>A生产、经营取用水 ①一般区域</w:t>
            </w:r>
          </w:p>
        </w:tc>
        <w:tc>
          <w:tcPr>
            <w:tcW w:w="2112" w:type="dxa"/>
            <w:shd w:val="clear" w:color="auto" w:fill="FFFFFF" w:themeFill="background1"/>
          </w:tcPr>
          <w:p/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已缴交矿产资源补偿费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的减半征收。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B城乡生活取用水 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（5）其它取用水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2、公共供水管网未覆盖区域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（1）城乡生活取用水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（2）生产、经营取用水     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（3）核电、火力发电贯流式冷却取用水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生物质能发电的火电厂减半征收。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（4）地热水、矿泉水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A生产、经营取用水①一般区域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已缴交矿产资源补偿费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的减半征收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B城乡生活取用水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（5）其它取用水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、河道管理范围占用费（企业免征详见粤发改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价格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[201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粤价函[2000]160号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（一）占用河滩地、堤防地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占用河道水面的加倍收费。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（二）临时占用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平方米.月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时间在3年以内的。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（三）占用河道水面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52B"/>
    <w:rsid w:val="0018223B"/>
    <w:rsid w:val="001F1EE6"/>
    <w:rsid w:val="003063AF"/>
    <w:rsid w:val="0032461A"/>
    <w:rsid w:val="003B0494"/>
    <w:rsid w:val="0042779A"/>
    <w:rsid w:val="00446357"/>
    <w:rsid w:val="0062111C"/>
    <w:rsid w:val="00681906"/>
    <w:rsid w:val="00822A16"/>
    <w:rsid w:val="0083393B"/>
    <w:rsid w:val="0089252B"/>
    <w:rsid w:val="008C03C2"/>
    <w:rsid w:val="00D7476C"/>
    <w:rsid w:val="00F04082"/>
    <w:rsid w:val="00F213D6"/>
    <w:rsid w:val="16C95C74"/>
    <w:rsid w:val="17261848"/>
    <w:rsid w:val="1FD32654"/>
    <w:rsid w:val="32F80DBE"/>
    <w:rsid w:val="47D03B6B"/>
    <w:rsid w:val="4A3B37D0"/>
    <w:rsid w:val="5CD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312</Words>
  <Characters>1780</Characters>
  <Lines>14</Lines>
  <Paragraphs>4</Paragraphs>
  <ScaleCrop>false</ScaleCrop>
  <LinksUpToDate>false</LinksUpToDate>
  <CharactersWithSpaces>2088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2014-02-19T07:19:00Z</dcterms:created>
  <dc:creator>JIANG</dc:creator>
  <cp:lastModifiedBy>Aaron</cp:lastModifiedBy>
  <dcterms:modified xsi:type="dcterms:W3CDTF">2017-11-16T02:32:03Z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