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90" w:rsidRPr="00702C90" w:rsidRDefault="00702C90" w:rsidP="00702C90">
      <w:pPr>
        <w:widowControl/>
        <w:shd w:val="clear" w:color="auto" w:fill="FFFFFF"/>
        <w:spacing w:line="600" w:lineRule="atLeast"/>
        <w:jc w:val="center"/>
        <w:outlineLvl w:val="1"/>
        <w:rPr>
          <w:rFonts w:ascii="宋体" w:eastAsia="宋体" w:hAnsi="宋体" w:cs="宋体"/>
          <w:b/>
          <w:bCs/>
          <w:color w:val="336699"/>
          <w:kern w:val="0"/>
          <w:sz w:val="36"/>
          <w:szCs w:val="36"/>
        </w:rPr>
      </w:pPr>
      <w:r w:rsidRPr="00702C90">
        <w:rPr>
          <w:rFonts w:ascii="宋体" w:eastAsia="宋体" w:hAnsi="宋体" w:cs="宋体" w:hint="eastAsia"/>
          <w:b/>
          <w:bCs/>
          <w:color w:val="336699"/>
          <w:kern w:val="0"/>
          <w:sz w:val="36"/>
          <w:szCs w:val="36"/>
        </w:rPr>
        <w:t>法院部门</w:t>
      </w:r>
    </w:p>
    <w:tbl>
      <w:tblPr>
        <w:tblW w:w="9748" w:type="dxa"/>
        <w:tblCellSpacing w:w="7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0" w:type="dxa"/>
          <w:right w:w="0" w:type="dxa"/>
        </w:tblCellMar>
        <w:tblLook w:val="04A0"/>
      </w:tblPr>
      <w:tblGrid>
        <w:gridCol w:w="2900"/>
        <w:gridCol w:w="733"/>
        <w:gridCol w:w="543"/>
        <w:gridCol w:w="880"/>
        <w:gridCol w:w="679"/>
        <w:gridCol w:w="2033"/>
        <w:gridCol w:w="1980"/>
      </w:tblGrid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vMerge w:val="restart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收 费 项 目</w:t>
            </w:r>
          </w:p>
        </w:tc>
        <w:tc>
          <w:tcPr>
            <w:tcW w:w="1262" w:type="dxa"/>
            <w:gridSpan w:val="2"/>
            <w:vMerge w:val="restart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计费单位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收费标准</w:t>
            </w:r>
          </w:p>
        </w:tc>
        <w:tc>
          <w:tcPr>
            <w:tcW w:w="2019" w:type="dxa"/>
            <w:vMerge w:val="restart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 件 依 据</w:t>
            </w:r>
          </w:p>
        </w:tc>
        <w:tc>
          <w:tcPr>
            <w:tcW w:w="1959" w:type="dxa"/>
            <w:vMerge w:val="restart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   注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vMerge/>
            <w:shd w:val="clear" w:color="auto" w:fill="333333"/>
            <w:vAlign w:val="center"/>
            <w:hideMark/>
          </w:tcPr>
          <w:p w:rsidR="00702C90" w:rsidRPr="00702C90" w:rsidRDefault="00702C90" w:rsidP="00702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Merge/>
            <w:shd w:val="clear" w:color="auto" w:fill="333333"/>
            <w:vAlign w:val="center"/>
            <w:hideMark/>
          </w:tcPr>
          <w:p w:rsidR="00702C90" w:rsidRPr="00702C90" w:rsidRDefault="00702C90" w:rsidP="00702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2019" w:type="dxa"/>
            <w:vMerge/>
            <w:shd w:val="clear" w:color="auto" w:fill="333333"/>
            <w:vAlign w:val="center"/>
            <w:hideMark/>
          </w:tcPr>
          <w:p w:rsidR="00702C90" w:rsidRPr="00702C90" w:rsidRDefault="00702C90" w:rsidP="00702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702C90" w:rsidRPr="00702C90" w:rsidRDefault="00702C90" w:rsidP="00702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02C90" w:rsidRPr="00702C90" w:rsidTr="00BC6D8A">
        <w:trPr>
          <w:trHeight w:val="1428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诉讼费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《诉讼费用交纳办法》</w:t>
            </w:r>
          </w:p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（国务院令第481号）</w:t>
            </w:r>
          </w:p>
          <w:p w:rsidR="00702C90" w:rsidRPr="00702C90" w:rsidRDefault="00702C90" w:rsidP="00702C90">
            <w:pPr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粤价函[2008]45号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■▲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一、案件受理费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（一）财产案件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按争议的价额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1、1万元以下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或金额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2、超过1万至10万元部分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2.50%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3、超过10万至20万元部分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4、超过20万至50万元部分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1.50%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5、超过50万至100万元部分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6、超过100万至200万元部分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0.90%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7、超过200万至500万元部分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0.80%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超过500万至1000万元部分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0.70%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超过1000万至2000万元部分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0.60%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8、超过2000万元部分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（二）非财产案件</w:t>
            </w:r>
          </w:p>
        </w:tc>
        <w:tc>
          <w:tcPr>
            <w:tcW w:w="1262" w:type="dxa"/>
            <w:gridSpan w:val="2"/>
            <w:vMerge w:val="restart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494F9E">
        <w:trPr>
          <w:trHeight w:val="1394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1、离婚案件</w:t>
            </w:r>
          </w:p>
        </w:tc>
        <w:tc>
          <w:tcPr>
            <w:tcW w:w="1262" w:type="dxa"/>
            <w:gridSpan w:val="2"/>
            <w:vMerge/>
            <w:shd w:val="clear" w:color="auto" w:fill="333333"/>
            <w:vAlign w:val="center"/>
            <w:hideMark/>
          </w:tcPr>
          <w:p w:rsidR="00702C90" w:rsidRPr="00702C90" w:rsidRDefault="00702C90" w:rsidP="00702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99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涉及财产分割，财产总额不超过20万元的不另行交纳；超过20万元的部分按照0.5%交纳。</w:t>
            </w:r>
          </w:p>
        </w:tc>
      </w:tr>
      <w:tr w:rsidR="00702C90" w:rsidRPr="00702C90" w:rsidTr="00702C90">
        <w:trPr>
          <w:trHeight w:val="1362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2、侵害姓名权、名称权、肖像权、名誉权、荣誉权以及其他人格权的案件</w:t>
            </w:r>
          </w:p>
        </w:tc>
        <w:tc>
          <w:tcPr>
            <w:tcW w:w="1262" w:type="dxa"/>
            <w:gridSpan w:val="2"/>
            <w:vMerge/>
            <w:shd w:val="clear" w:color="auto" w:fill="333333"/>
            <w:vAlign w:val="center"/>
            <w:hideMark/>
          </w:tcPr>
          <w:p w:rsidR="00702C90" w:rsidRPr="00702C90" w:rsidRDefault="00702C90" w:rsidP="00702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399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涉及损害赔偿，赔偿金额不超过5万元的，不另行交纳超过5万至10万元的部分，按1%交纳；超过10万元的部分，按0.5%交纳。</w:t>
            </w:r>
          </w:p>
        </w:tc>
      </w:tr>
      <w:tr w:rsidR="00702C90" w:rsidRPr="00702C90" w:rsidTr="00702C90">
        <w:trPr>
          <w:trHeight w:val="390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3、其他非财产案件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99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976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（三）知识产权民事案件</w:t>
            </w:r>
          </w:p>
        </w:tc>
        <w:tc>
          <w:tcPr>
            <w:tcW w:w="6827" w:type="dxa"/>
            <w:gridSpan w:val="6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没有争议金额或者价额的，每件1000元；有争议金额或者价额的，按照财产案件的标准交纳。</w:t>
            </w:r>
          </w:p>
        </w:tc>
      </w:tr>
      <w:tr w:rsidR="00702C90" w:rsidRPr="00702C90" w:rsidTr="00702C90">
        <w:trPr>
          <w:trHeight w:val="523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（四）劳动争议案件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34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（五）行政案件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821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1、商标、专利、海事行</w:t>
            </w:r>
          </w:p>
          <w:p w:rsidR="00702C90" w:rsidRPr="00702C90" w:rsidRDefault="00702C90" w:rsidP="00702C90">
            <w:pPr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政案件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877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2、其他行政案件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35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（六）管辖权异议案件，异议不成立的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92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二、申请费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30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（一）申请执行费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24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1、没有执行金额或价额的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50-500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32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2、执行金额或者价额不超过1万元的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459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3、超过1万元至50万元的部分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1.50%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23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4、超过50万元至500万元的部分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1%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452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5、超过500万元至1000万元的部分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08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6、超过1000万元的部分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0.10%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672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（二）申请保全费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667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1、财产数额不超过1000元或者不涉及财产数额的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737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2、超过1000元至10万元的部分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1%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976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3、超过10万元的部分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当事人申请保全措施交纳的费用最多不超过5000元</w:t>
            </w:r>
          </w:p>
        </w:tc>
      </w:tr>
      <w:tr w:rsidR="00702C90" w:rsidRPr="00702C90" w:rsidTr="00702C90">
        <w:trPr>
          <w:trHeight w:val="570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（三）申请支付令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比照财产案件受理费标准的1\3交纳</w:t>
            </w:r>
          </w:p>
        </w:tc>
      </w:tr>
      <w:tr w:rsidR="00702C90" w:rsidRPr="00702C90" w:rsidTr="00702C90">
        <w:trPr>
          <w:trHeight w:val="639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（四）申请公示催告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663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（五）申请撤销仲裁裁决或者认定仲裁协议效力的，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442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（六）破产案件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依据破产财产总额计算，按照财产案件受理费标准减半交纳，但是，最高不超过30万元</w:t>
            </w:r>
          </w:p>
        </w:tc>
      </w:tr>
    </w:tbl>
    <w:p w:rsidR="000E09C5" w:rsidRPr="00702C90" w:rsidRDefault="000E09C5" w:rsidP="00702C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0E09C5" w:rsidRPr="0070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C5" w:rsidRDefault="000E09C5" w:rsidP="00702C90">
      <w:r>
        <w:separator/>
      </w:r>
    </w:p>
  </w:endnote>
  <w:endnote w:type="continuationSeparator" w:id="1">
    <w:p w:rsidR="000E09C5" w:rsidRDefault="000E09C5" w:rsidP="0070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C5" w:rsidRDefault="000E09C5" w:rsidP="00702C90">
      <w:r>
        <w:separator/>
      </w:r>
    </w:p>
  </w:footnote>
  <w:footnote w:type="continuationSeparator" w:id="1">
    <w:p w:rsidR="000E09C5" w:rsidRDefault="000E09C5" w:rsidP="00702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C90"/>
    <w:rsid w:val="000E09C5"/>
    <w:rsid w:val="0070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02C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C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C9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02C9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</cp:revision>
  <dcterms:created xsi:type="dcterms:W3CDTF">2014-02-19T07:33:00Z</dcterms:created>
  <dcterms:modified xsi:type="dcterms:W3CDTF">2014-02-19T07:40:00Z</dcterms:modified>
</cp:coreProperties>
</file>