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atLeast"/>
        <w:jc w:val="left"/>
        <w:textAlignment w:val="auto"/>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18"/>
          <w:szCs w:val="18"/>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梅州市</w:t>
      </w:r>
      <w:bookmarkStart w:id="0" w:name="_GoBack"/>
      <w:bookmarkEnd w:id="0"/>
      <w:r>
        <w:rPr>
          <w:rFonts w:hint="eastAsia" w:ascii="方正小标宋_GBK" w:hAnsi="方正小标宋_GBK" w:eastAsia="方正小标宋_GBK" w:cs="方正小标宋_GBK"/>
          <w:b w:val="0"/>
          <w:bCs w:val="0"/>
          <w:sz w:val="44"/>
          <w:szCs w:val="44"/>
          <w:lang w:val="en-US" w:eastAsia="zh-CN"/>
        </w:rPr>
        <w:t>梅县区2025年度烟花爆竹零售店（点）规划布点方案</w:t>
      </w:r>
      <w:r>
        <w:rPr>
          <w:rFonts w:hint="eastAsia" w:ascii="方正小标宋简体" w:hAnsi="方正小标宋简体" w:eastAsia="方正小标宋简体" w:cs="方正小标宋简体"/>
          <w:b w:val="0"/>
          <w:bCs w:val="0"/>
          <w:sz w:val="44"/>
          <w:szCs w:val="44"/>
          <w:lang w:val="en-US" w:eastAsia="zh-CN"/>
        </w:rPr>
        <w:t>（征求意见稿）</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Theme="majorEastAsia" w:hAnsiTheme="majorEastAsia" w:eastAsiaTheme="majorEastAsia" w:cstheme="majorEastAsia"/>
          <w:b/>
          <w:bCs/>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500" w:lineRule="atLeast"/>
        <w:ind w:firstLine="64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i w:val="0"/>
          <w:caps w:val="0"/>
          <w:color w:val="333333"/>
          <w:spacing w:val="0"/>
          <w:kern w:val="0"/>
          <w:sz w:val="32"/>
          <w:szCs w:val="32"/>
          <w:shd w:val="clear" w:fill="FFFFFF"/>
          <w:lang w:val="en-US" w:eastAsia="zh-CN" w:bidi="ar"/>
        </w:rPr>
        <w:t>为做好2025年度全区烟花爆竹经营（零售）许可证办理工作，规范市场经营秩序，严防烟花爆竹事故发生，保障公共安全和人民群众生命财产安全，维护社会稳定，根据《烟花爆竹安全管理条例》（国务院令第455号）、《烟花爆竹生产经营安全规定》（国家安全生产监督管理总局令第93号）、《烟花爆竹经营许可实施办法》（国家安监总局令第65号）、《广东省安全生产监督管理局关于烟花爆竹经营许可的实施细则》（原粤安监〔2014〕44号）、《梅州市应急管理局关于加强2025年度烟花爆竹零售店（点）规划布点工作的通知》（梅市应急〔</w:t>
      </w:r>
      <w:r>
        <w:rPr>
          <w:rFonts w:hint="eastAsia" w:ascii="仿宋" w:hAnsi="仿宋" w:eastAsia="仿宋" w:cs="仿宋"/>
          <w:b w:val="0"/>
          <w:i w:val="0"/>
          <w:caps w:val="0"/>
          <w:color w:val="333333"/>
          <w:spacing w:val="0"/>
          <w:kern w:val="0"/>
          <w:sz w:val="32"/>
          <w:szCs w:val="32"/>
          <w:shd w:val="clear" w:fill="FFFFFF"/>
          <w:lang w:val="en" w:eastAsia="zh-CN" w:bidi="ar"/>
        </w:rPr>
        <w:t>2024</w:t>
      </w:r>
      <w:r>
        <w:rPr>
          <w:rFonts w:hint="eastAsia" w:ascii="仿宋" w:hAnsi="仿宋" w:eastAsia="仿宋" w:cs="仿宋"/>
          <w:b w:val="0"/>
          <w:i w:val="0"/>
          <w:caps w:val="0"/>
          <w:color w:val="333333"/>
          <w:spacing w:val="0"/>
          <w:kern w:val="0"/>
          <w:sz w:val="32"/>
          <w:szCs w:val="32"/>
          <w:shd w:val="clear" w:fill="FFFFFF"/>
          <w:lang w:val="en-US" w:eastAsia="zh-CN" w:bidi="ar"/>
        </w:rPr>
        <w:t>〕</w:t>
      </w:r>
      <w:r>
        <w:rPr>
          <w:rFonts w:hint="eastAsia" w:ascii="仿宋" w:hAnsi="仿宋" w:eastAsia="仿宋" w:cs="仿宋"/>
          <w:b w:val="0"/>
          <w:i w:val="0"/>
          <w:caps w:val="0"/>
          <w:color w:val="333333"/>
          <w:spacing w:val="0"/>
          <w:kern w:val="0"/>
          <w:sz w:val="32"/>
          <w:szCs w:val="32"/>
          <w:shd w:val="clear" w:fill="FFFFFF"/>
          <w:lang w:val="en" w:eastAsia="zh-CN" w:bidi="ar"/>
        </w:rPr>
        <w:t>125号）</w:t>
      </w:r>
      <w:r>
        <w:rPr>
          <w:rFonts w:hint="eastAsia" w:ascii="仿宋" w:hAnsi="仿宋" w:eastAsia="仿宋" w:cs="仿宋"/>
          <w:b w:val="0"/>
          <w:i w:val="0"/>
          <w:caps w:val="0"/>
          <w:color w:val="333333"/>
          <w:spacing w:val="0"/>
          <w:kern w:val="0"/>
          <w:sz w:val="32"/>
          <w:szCs w:val="32"/>
          <w:shd w:val="clear" w:fill="FFFFFF"/>
          <w:lang w:val="en-US" w:eastAsia="zh-CN" w:bidi="ar"/>
        </w:rPr>
        <w:t>等有关法律法规要求，结合我区实际，制定本方案。</w:t>
      </w:r>
    </w:p>
    <w:p>
      <w:pPr>
        <w:keepNext w:val="0"/>
        <w:keepLines w:val="0"/>
        <w:pageBreakBefore w:val="0"/>
        <w:widowControl w:val="0"/>
        <w:kinsoku/>
        <w:wordWrap/>
        <w:overflowPunct/>
        <w:topLinePunct w:val="0"/>
        <w:autoSpaceDE/>
        <w:autoSpaceDN/>
        <w:bidi w:val="0"/>
        <w:adjustRightInd/>
        <w:snapToGrid/>
        <w:spacing w:line="500" w:lineRule="atLeast"/>
        <w:ind w:firstLine="640"/>
        <w:jc w:val="left"/>
        <w:textAlignment w:val="auto"/>
        <w:rPr>
          <w:rFonts w:hint="eastAsia" w:ascii="黑体" w:hAnsi="黑体" w:eastAsia="黑体" w:cs="黑体"/>
          <w:b w:val="0"/>
          <w:bCs w:val="0"/>
          <w:i w:val="0"/>
          <w:caps w:val="0"/>
          <w:color w:val="333333"/>
          <w:spacing w:val="0"/>
          <w:kern w:val="0"/>
          <w:sz w:val="32"/>
          <w:szCs w:val="32"/>
          <w:shd w:val="clear" w:fill="FFFFFF"/>
          <w:lang w:val="en-US" w:eastAsia="zh-CN" w:bidi="ar"/>
        </w:rPr>
      </w:pPr>
      <w:r>
        <w:rPr>
          <w:rFonts w:hint="eastAsia" w:ascii="黑体" w:hAnsi="黑体" w:eastAsia="黑体" w:cs="黑体"/>
          <w:b w:val="0"/>
          <w:bCs w:val="0"/>
          <w:i w:val="0"/>
          <w:caps w:val="0"/>
          <w:color w:val="333333"/>
          <w:spacing w:val="0"/>
          <w:kern w:val="0"/>
          <w:sz w:val="32"/>
          <w:szCs w:val="32"/>
          <w:shd w:val="clear" w:fill="FFFFFF"/>
          <w:lang w:val="en-US" w:eastAsia="zh-CN" w:bidi="ar"/>
        </w:rPr>
        <w:t>一、规划布点原则</w:t>
      </w:r>
    </w:p>
    <w:p>
      <w:pPr>
        <w:keepNext w:val="0"/>
        <w:keepLines w:val="0"/>
        <w:pageBreakBefore w:val="0"/>
        <w:widowControl w:val="0"/>
        <w:kinsoku/>
        <w:wordWrap/>
        <w:overflowPunct/>
        <w:topLinePunct w:val="0"/>
        <w:autoSpaceDE/>
        <w:autoSpaceDN/>
        <w:bidi w:val="0"/>
        <w:adjustRightInd/>
        <w:snapToGrid/>
        <w:spacing w:line="500" w:lineRule="atLeast"/>
        <w:ind w:firstLine="640"/>
        <w:jc w:val="left"/>
        <w:textAlignment w:val="auto"/>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贯彻“保障安全、统一规划、合理布局、总量控制、适度竞争”原则，综合考虑所辖行政村数量、人口规模、经济发展水平和城镇化建设格局，合理确定烟花爆竹零售经营布点规划，坚决纠正上宅下店、前店后宅和安全间距不足等突出问题，建设科学合理、规范合法、公平公正、安全便民的烟花爆竹经营秩序。</w:t>
      </w:r>
    </w:p>
    <w:p>
      <w:pPr>
        <w:keepNext w:val="0"/>
        <w:keepLines w:val="0"/>
        <w:pageBreakBefore w:val="0"/>
        <w:widowControl w:val="0"/>
        <w:kinsoku/>
        <w:wordWrap/>
        <w:overflowPunct/>
        <w:topLinePunct w:val="0"/>
        <w:autoSpaceDE/>
        <w:autoSpaceDN/>
        <w:bidi w:val="0"/>
        <w:adjustRightInd/>
        <w:snapToGrid/>
        <w:spacing w:line="500" w:lineRule="atLeast"/>
        <w:ind w:firstLine="64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二、规划布点要求</w:t>
      </w:r>
    </w:p>
    <w:p>
      <w:pPr>
        <w:keepNext w:val="0"/>
        <w:keepLines w:val="0"/>
        <w:pageBreakBefore w:val="0"/>
        <w:widowControl w:val="0"/>
        <w:kinsoku/>
        <w:wordWrap/>
        <w:overflowPunct/>
        <w:topLinePunct w:val="0"/>
        <w:autoSpaceDE/>
        <w:autoSpaceDN/>
        <w:bidi w:val="0"/>
        <w:adjustRightInd/>
        <w:snapToGrid/>
        <w:spacing w:line="500" w:lineRule="atLeas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（一）符合当地烟花爆竹燃放政策规定；</w:t>
      </w:r>
    </w:p>
    <w:p>
      <w:pPr>
        <w:keepNext w:val="0"/>
        <w:keepLines w:val="0"/>
        <w:pageBreakBefore w:val="0"/>
        <w:widowControl w:val="0"/>
        <w:kinsoku/>
        <w:wordWrap/>
        <w:overflowPunct/>
        <w:topLinePunct w:val="0"/>
        <w:autoSpaceDE/>
        <w:autoSpaceDN/>
        <w:bidi w:val="0"/>
        <w:adjustRightInd/>
        <w:snapToGrid/>
        <w:spacing w:line="500" w:lineRule="atLeas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（二）具备零售经营许可证颁发规定的安全生产条件；</w:t>
      </w:r>
    </w:p>
    <w:p>
      <w:pPr>
        <w:keepNext w:val="0"/>
        <w:keepLines w:val="0"/>
        <w:pageBreakBefore w:val="0"/>
        <w:widowControl w:val="0"/>
        <w:kinsoku/>
        <w:wordWrap/>
        <w:overflowPunct/>
        <w:topLinePunct w:val="0"/>
        <w:autoSpaceDE/>
        <w:autoSpaceDN/>
        <w:bidi w:val="0"/>
        <w:adjustRightInd/>
        <w:snapToGrid/>
        <w:spacing w:line="500" w:lineRule="atLeas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（三）相邻零售点之间的距离不小于 50 米；</w:t>
      </w:r>
    </w:p>
    <w:p>
      <w:pPr>
        <w:keepNext w:val="0"/>
        <w:keepLines w:val="0"/>
        <w:pageBreakBefore w:val="0"/>
        <w:widowControl w:val="0"/>
        <w:kinsoku/>
        <w:wordWrap/>
        <w:overflowPunct/>
        <w:topLinePunct w:val="0"/>
        <w:autoSpaceDE/>
        <w:autoSpaceDN/>
        <w:bidi w:val="0"/>
        <w:adjustRightInd/>
        <w:snapToGrid/>
        <w:spacing w:line="500" w:lineRule="atLeas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（四）不得在烟花爆竹禁放区范围内布设烟花爆竹零售点；</w:t>
      </w:r>
    </w:p>
    <w:p>
      <w:pPr>
        <w:keepNext w:val="0"/>
        <w:keepLines w:val="0"/>
        <w:pageBreakBefore w:val="0"/>
        <w:widowControl w:val="0"/>
        <w:kinsoku/>
        <w:wordWrap/>
        <w:overflowPunct/>
        <w:topLinePunct w:val="0"/>
        <w:autoSpaceDE/>
        <w:autoSpaceDN/>
        <w:bidi w:val="0"/>
        <w:adjustRightInd/>
        <w:snapToGrid/>
        <w:spacing w:line="500" w:lineRule="atLeas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（五）烟花爆竹零售点不得与居民居住场所设置在同一建筑物内,并应与学校、幼儿园、医院、集贸市场等人员密集场所和加油站等易燃易爆物品生产、储存设施等重点建筑物保持 100 米以上的安全距离；</w:t>
      </w:r>
    </w:p>
    <w:p>
      <w:pPr>
        <w:keepNext w:val="0"/>
        <w:keepLines w:val="0"/>
        <w:pageBreakBefore w:val="0"/>
        <w:widowControl w:val="0"/>
        <w:kinsoku/>
        <w:wordWrap/>
        <w:overflowPunct/>
        <w:topLinePunct w:val="0"/>
        <w:autoSpaceDE/>
        <w:autoSpaceDN/>
        <w:bidi w:val="0"/>
        <w:adjustRightInd/>
        <w:snapToGrid/>
        <w:spacing w:line="500" w:lineRule="atLeas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（六）严禁在城乡结合部或集贸市场布设连片集中形式的烟花爆竹零售经营场所。</w:t>
      </w:r>
    </w:p>
    <w:p>
      <w:pPr>
        <w:keepNext w:val="0"/>
        <w:keepLines w:val="0"/>
        <w:pageBreakBefore w:val="0"/>
        <w:widowControl w:val="0"/>
        <w:kinsoku/>
        <w:wordWrap/>
        <w:overflowPunct/>
        <w:topLinePunct w:val="0"/>
        <w:autoSpaceDE/>
        <w:autoSpaceDN/>
        <w:bidi w:val="0"/>
        <w:adjustRightInd/>
        <w:snapToGrid/>
        <w:spacing w:line="500" w:lineRule="atLeast"/>
        <w:ind w:firstLine="64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三、规划布点数量</w:t>
      </w:r>
    </w:p>
    <w:p>
      <w:pPr>
        <w:keepNext w:val="0"/>
        <w:keepLines w:val="0"/>
        <w:pageBreakBefore w:val="0"/>
        <w:widowControl w:val="0"/>
        <w:kinsoku/>
        <w:wordWrap/>
        <w:overflowPunct/>
        <w:topLinePunct w:val="0"/>
        <w:autoSpaceDE/>
        <w:autoSpaceDN/>
        <w:bidi w:val="0"/>
        <w:adjustRightInd/>
        <w:snapToGrid/>
        <w:spacing w:line="500" w:lineRule="atLeast"/>
        <w:ind w:firstLine="640" w:firstLineChars="20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2025年度，全区规划不超过</w:t>
      </w:r>
      <w:r>
        <w:rPr>
          <w:rFonts w:hint="eastAsia" w:ascii="方正仿宋_GBK" w:hAnsi="方正仿宋_GBK" w:eastAsia="方正仿宋_GBK" w:cs="方正仿宋_GBK"/>
          <w:b w:val="0"/>
          <w:bCs w:val="0"/>
          <w:sz w:val="32"/>
          <w:szCs w:val="32"/>
          <w:u w:val="none"/>
          <w:lang w:val="en-US" w:eastAsia="zh-CN"/>
        </w:rPr>
        <w:t>145</w:t>
      </w:r>
      <w:r>
        <w:rPr>
          <w:rFonts w:hint="eastAsia" w:ascii="方正仿宋_GBK" w:hAnsi="方正仿宋_GBK" w:eastAsia="方正仿宋_GBK" w:cs="方正仿宋_GBK"/>
          <w:b w:val="0"/>
          <w:bCs w:val="0"/>
          <w:sz w:val="32"/>
          <w:szCs w:val="32"/>
          <w:lang w:val="en-US" w:eastAsia="zh-CN"/>
        </w:rPr>
        <w:t>家烟花爆竹零售店，布设在17个镇（详见附表）。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atLeast"/>
        <w:ind w:firstLine="640" w:firstLineChars="200"/>
        <w:jc w:val="left"/>
        <w:textAlignment w:val="auto"/>
        <w:rPr>
          <w:rFonts w:hint="eastAsia" w:ascii="黑体" w:hAnsi="黑体" w:eastAsia="黑体" w:cs="黑体"/>
          <w:b w:val="0"/>
          <w:i w:val="0"/>
          <w:caps w:val="0"/>
          <w:color w:val="000000"/>
          <w:spacing w:val="0"/>
          <w:kern w:val="0"/>
          <w:sz w:val="32"/>
          <w:szCs w:val="32"/>
          <w:shd w:val="clear" w:fill="FFFFFF"/>
          <w:lang w:val="en-US" w:eastAsia="zh-CN" w:bidi="ar"/>
        </w:rPr>
      </w:pPr>
      <w:r>
        <w:rPr>
          <w:rFonts w:hint="eastAsia" w:ascii="黑体" w:hAnsi="黑体" w:eastAsia="黑体" w:cs="黑体"/>
          <w:b w:val="0"/>
          <w:bCs w:val="0"/>
          <w:sz w:val="32"/>
          <w:szCs w:val="32"/>
          <w:lang w:val="en-US" w:eastAsia="zh-CN"/>
        </w:rPr>
        <w:t>四、工作要求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atLeast"/>
        <w:ind w:firstLine="640"/>
        <w:jc w:val="left"/>
        <w:textAlignment w:val="auto"/>
        <w:rPr>
          <w:rFonts w:hint="eastAsia" w:ascii="方正仿宋_GBK" w:hAnsi="方正仿宋_GBK" w:eastAsia="方正仿宋_GBK" w:cs="方正仿宋_GBK"/>
          <w:b w:val="0"/>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b w:val="0"/>
          <w:i w:val="0"/>
          <w:caps w:val="0"/>
          <w:color w:val="000000"/>
          <w:spacing w:val="0"/>
          <w:kern w:val="0"/>
          <w:sz w:val="32"/>
          <w:szCs w:val="32"/>
          <w:shd w:val="clear" w:fill="FFFFFF"/>
          <w:lang w:val="en-US" w:eastAsia="zh-CN" w:bidi="ar"/>
        </w:rPr>
        <w:t>（一）要强化宣传,做好打非治违</w:t>
      </w:r>
    </w:p>
    <w:p>
      <w:pPr>
        <w:keepNext w:val="0"/>
        <w:keepLines w:val="0"/>
        <w:pageBreakBefore w:val="0"/>
        <w:widowControl w:val="0"/>
        <w:kinsoku/>
        <w:wordWrap/>
        <w:overflowPunct/>
        <w:topLinePunct w:val="0"/>
        <w:autoSpaceDE/>
        <w:autoSpaceDN/>
        <w:bidi w:val="0"/>
        <w:adjustRightInd/>
        <w:snapToGrid/>
        <w:spacing w:line="500" w:lineRule="atLeas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区应急管理局、各镇人民政府要积极向社会宣传，让拟申请单位熟知烟花爆竹经营烟花爆竹经营（零售）布点规划原则和规划条件；同时区应急管理局应结合安全生产治本攻坚三年行动，会同公安、交通运输、市场监管等部门聚焦烟花爆竹销售旺季的重点时段，定期组织开展烟花爆竹安全监管和打非治违联合行动，追查检查、追踪溯源，严厉打击烟花爆竹各环节的非法违法行为；要对组织、参与非法经营、储存烟花爆竹的失信企业和人员，要依照有关规定纳入联合惩戒“黑名单”管理并向社会公示，实施联合惩戒和行业禁入；要建立完善有奖举报制度，加强宣传曝光，公布举报电话，发动广大群众对烟花爆竹的违法违规进行举报，让广大群众参与进来，发挥广大群众的监督作用，引导群众自觉抵制、主动举报相关非法违法行为，提高人民群众认识；另外，还要加强防范因燃放烟花爆竹引发的森林火灾和其他伤害，强化极端天气条件下烟花爆竹安全管控，有效防范烟花爆竹安全风险，确保烟花爆竹行业安全。</w:t>
      </w:r>
    </w:p>
    <w:p>
      <w:pPr>
        <w:keepNext w:val="0"/>
        <w:keepLines w:val="0"/>
        <w:pageBreakBefore w:val="0"/>
        <w:widowControl w:val="0"/>
        <w:numPr>
          <w:ilvl w:val="0"/>
          <w:numId w:val="1"/>
        </w:numPr>
        <w:kinsoku/>
        <w:wordWrap/>
        <w:overflowPunct/>
        <w:topLinePunct w:val="0"/>
        <w:autoSpaceDE/>
        <w:autoSpaceDN/>
        <w:bidi w:val="0"/>
        <w:adjustRightInd/>
        <w:snapToGrid/>
        <w:spacing w:line="500" w:lineRule="atLeast"/>
        <w:ind w:firstLine="640"/>
        <w:jc w:val="left"/>
        <w:textAlignment w:val="auto"/>
        <w:rPr>
          <w:rFonts w:hint="eastAsia" w:ascii="方正仿宋_GBK" w:hAnsi="方正仿宋_GBK" w:eastAsia="方正仿宋_GBK" w:cs="方正仿宋_GBK"/>
          <w:b w:val="0"/>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b w:val="0"/>
          <w:i w:val="0"/>
          <w:caps w:val="0"/>
          <w:color w:val="000000"/>
          <w:spacing w:val="0"/>
          <w:kern w:val="0"/>
          <w:sz w:val="32"/>
          <w:szCs w:val="32"/>
          <w:shd w:val="clear" w:fill="FFFFFF"/>
          <w:lang w:val="en-US" w:eastAsia="zh-CN" w:bidi="ar"/>
        </w:rPr>
        <w:t>要严格审批，做好培训教育</w:t>
      </w:r>
    </w:p>
    <w:p>
      <w:pPr>
        <w:keepNext w:val="0"/>
        <w:keepLines w:val="0"/>
        <w:pageBreakBefore w:val="0"/>
        <w:widowControl w:val="0"/>
        <w:numPr>
          <w:ilvl w:val="0"/>
          <w:numId w:val="0"/>
        </w:numPr>
        <w:kinsoku/>
        <w:wordWrap/>
        <w:overflowPunct/>
        <w:topLinePunct w:val="0"/>
        <w:autoSpaceDE/>
        <w:autoSpaceDN/>
        <w:bidi w:val="0"/>
        <w:adjustRightInd/>
        <w:snapToGrid/>
        <w:spacing w:line="500" w:lineRule="atLeast"/>
        <w:ind w:firstLine="640" w:firstLineChars="200"/>
        <w:jc w:val="both"/>
        <w:textAlignment w:val="auto"/>
        <w:rPr>
          <w:rFonts w:hint="eastAsia" w:ascii="方正仿宋_GBK" w:hAnsi="方正仿宋_GBK" w:eastAsia="方正仿宋_GBK" w:cs="方正仿宋_GBK"/>
          <w:b w:val="0"/>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b w:val="0"/>
          <w:i w:val="0"/>
          <w:caps w:val="0"/>
          <w:color w:val="000000"/>
          <w:spacing w:val="0"/>
          <w:kern w:val="0"/>
          <w:sz w:val="32"/>
          <w:szCs w:val="32"/>
          <w:shd w:val="clear" w:fill="FFFFFF"/>
          <w:lang w:val="en-US" w:eastAsia="zh-CN" w:bidi="ar"/>
        </w:rPr>
        <w:t>区应急管理局要切实加强源头把关，加强安全条件审查，严格落实《烟花爆竹零售店(点)安全技术规范(AQ4128-2019)》要求，强化烟花爆竹经营点现场查核力度，逐一过关，坚决杜绝“下店上宅”、“前店后宅”和安全距离不足等问题，对于存在前店后仓、下店上仓嫌疑的，要坚决封闭通道；加强对零售店(点)经营者的教育培训，对符合条件的零售店主要负责人和安全管理员进行安全培训，做到真培训真考试。对存在以下情形之一的坚决不予发证：</w:t>
      </w:r>
    </w:p>
    <w:p>
      <w:pPr>
        <w:keepNext w:val="0"/>
        <w:keepLines w:val="0"/>
        <w:pageBreakBefore w:val="0"/>
        <w:widowControl w:val="0"/>
        <w:numPr>
          <w:ilvl w:val="0"/>
          <w:numId w:val="0"/>
        </w:numPr>
        <w:kinsoku/>
        <w:wordWrap/>
        <w:overflowPunct/>
        <w:topLinePunct w:val="0"/>
        <w:autoSpaceDE/>
        <w:autoSpaceDN/>
        <w:bidi w:val="0"/>
        <w:adjustRightInd/>
        <w:snapToGrid/>
        <w:spacing w:line="500" w:lineRule="atLeast"/>
        <w:ind w:firstLine="640"/>
        <w:jc w:val="left"/>
        <w:textAlignment w:val="auto"/>
        <w:rPr>
          <w:rFonts w:hint="eastAsia" w:ascii="方正仿宋_GBK" w:hAnsi="方正仿宋_GBK" w:eastAsia="方正仿宋_GBK" w:cs="方正仿宋_GBK"/>
          <w:b w:val="0"/>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b w:val="0"/>
          <w:i w:val="0"/>
          <w:caps w:val="0"/>
          <w:color w:val="000000"/>
          <w:spacing w:val="0"/>
          <w:kern w:val="0"/>
          <w:sz w:val="32"/>
          <w:szCs w:val="32"/>
          <w:shd w:val="clear" w:fill="FFFFFF"/>
          <w:lang w:val="en-US" w:eastAsia="zh-CN" w:bidi="ar"/>
        </w:rPr>
        <w:t>1、不符合安全条件要求的网点坚决不予发证；</w:t>
      </w:r>
    </w:p>
    <w:p>
      <w:pPr>
        <w:keepNext w:val="0"/>
        <w:keepLines w:val="0"/>
        <w:pageBreakBefore w:val="0"/>
        <w:widowControl w:val="0"/>
        <w:numPr>
          <w:ilvl w:val="0"/>
          <w:numId w:val="0"/>
        </w:numPr>
        <w:kinsoku/>
        <w:wordWrap/>
        <w:overflowPunct/>
        <w:topLinePunct w:val="0"/>
        <w:autoSpaceDE/>
        <w:autoSpaceDN/>
        <w:bidi w:val="0"/>
        <w:adjustRightInd/>
        <w:snapToGrid/>
        <w:spacing w:line="500" w:lineRule="atLeast"/>
        <w:ind w:firstLine="640"/>
        <w:jc w:val="left"/>
        <w:textAlignment w:val="auto"/>
        <w:rPr>
          <w:rFonts w:hint="eastAsia" w:ascii="方正仿宋_GBK" w:hAnsi="方正仿宋_GBK" w:eastAsia="方正仿宋_GBK" w:cs="方正仿宋_GBK"/>
          <w:b w:val="0"/>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b w:val="0"/>
          <w:i w:val="0"/>
          <w:caps w:val="0"/>
          <w:color w:val="000000"/>
          <w:spacing w:val="0"/>
          <w:kern w:val="0"/>
          <w:sz w:val="32"/>
          <w:szCs w:val="32"/>
          <w:shd w:val="clear" w:fill="FFFFFF"/>
          <w:lang w:val="en-US" w:eastAsia="zh-CN" w:bidi="ar"/>
        </w:rPr>
        <w:t>2、对培训不合格的坚决不予发证；</w:t>
      </w:r>
    </w:p>
    <w:p>
      <w:pPr>
        <w:keepNext w:val="0"/>
        <w:keepLines w:val="0"/>
        <w:pageBreakBefore w:val="0"/>
        <w:widowControl w:val="0"/>
        <w:numPr>
          <w:ilvl w:val="0"/>
          <w:numId w:val="0"/>
        </w:numPr>
        <w:kinsoku/>
        <w:wordWrap/>
        <w:overflowPunct/>
        <w:topLinePunct w:val="0"/>
        <w:autoSpaceDE/>
        <w:autoSpaceDN/>
        <w:bidi w:val="0"/>
        <w:adjustRightInd/>
        <w:snapToGrid/>
        <w:spacing w:line="500" w:lineRule="atLeast"/>
        <w:ind w:firstLine="640"/>
        <w:jc w:val="left"/>
        <w:textAlignment w:val="auto"/>
        <w:rPr>
          <w:rFonts w:hint="eastAsia" w:ascii="方正仿宋_GBK" w:hAnsi="方正仿宋_GBK" w:eastAsia="方正仿宋_GBK" w:cs="方正仿宋_GBK"/>
          <w:b w:val="0"/>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b w:val="0"/>
          <w:i w:val="0"/>
          <w:caps w:val="0"/>
          <w:color w:val="000000"/>
          <w:spacing w:val="0"/>
          <w:kern w:val="0"/>
          <w:sz w:val="32"/>
          <w:szCs w:val="32"/>
          <w:shd w:val="clear" w:fill="FFFFFF"/>
          <w:lang w:val="en-US" w:eastAsia="zh-CN" w:bidi="ar"/>
        </w:rPr>
        <w:t>3、对存在前店后仓、下店上仓,通道不封闭的坚决不予发证。</w:t>
      </w:r>
    </w:p>
    <w:p>
      <w:pPr>
        <w:keepNext w:val="0"/>
        <w:keepLines w:val="0"/>
        <w:pageBreakBefore w:val="0"/>
        <w:widowControl w:val="0"/>
        <w:numPr>
          <w:ilvl w:val="0"/>
          <w:numId w:val="0"/>
        </w:numPr>
        <w:kinsoku/>
        <w:wordWrap/>
        <w:overflowPunct/>
        <w:topLinePunct w:val="0"/>
        <w:autoSpaceDE/>
        <w:autoSpaceDN/>
        <w:bidi w:val="0"/>
        <w:adjustRightInd/>
        <w:snapToGrid/>
        <w:spacing w:line="500" w:lineRule="atLeast"/>
        <w:ind w:firstLine="640"/>
        <w:jc w:val="left"/>
        <w:textAlignment w:val="auto"/>
        <w:rPr>
          <w:rFonts w:hint="eastAsia" w:ascii="方正仿宋_GBK" w:hAnsi="方正仿宋_GBK" w:eastAsia="方正仿宋_GBK" w:cs="方正仿宋_GBK"/>
          <w:b w:val="0"/>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b w:val="0"/>
          <w:i w:val="0"/>
          <w:caps w:val="0"/>
          <w:color w:val="000000"/>
          <w:spacing w:val="0"/>
          <w:kern w:val="0"/>
          <w:sz w:val="32"/>
          <w:szCs w:val="32"/>
          <w:shd w:val="clear" w:fill="FFFFFF"/>
          <w:lang w:val="en-US" w:eastAsia="zh-CN" w:bidi="ar"/>
        </w:rPr>
        <w:t>（三）要强化监管，严格执法检查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atLeast"/>
        <w:ind w:firstLine="640"/>
        <w:jc w:val="left"/>
        <w:textAlignment w:val="auto"/>
        <w:rPr>
          <w:rFonts w:hint="eastAsia" w:ascii="方正仿宋_GBK" w:hAnsi="方正仿宋_GBK" w:eastAsia="方正仿宋_GBK" w:cs="方正仿宋_GBK"/>
          <w:b w:val="0"/>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b w:val="0"/>
          <w:i w:val="0"/>
          <w:caps w:val="0"/>
          <w:color w:val="000000"/>
          <w:spacing w:val="0"/>
          <w:kern w:val="0"/>
          <w:sz w:val="32"/>
          <w:szCs w:val="32"/>
          <w:shd w:val="clear" w:fill="FFFFFF"/>
          <w:lang w:val="en-US" w:eastAsia="zh-CN" w:bidi="ar"/>
        </w:rPr>
        <w:t>区应急管理局要加强对烟花爆竹经营单位执法检查，在检查中发现的各类违法违规行为，要依法依规从严从快从重查处。严格落实属地监管责任，压实镇街、村居责任，持续加强对烟花爆竹经营单位的监督检查。烟花爆竹销售旺季期间，区应急管理局要统筹组织力量，对辖区烟花爆竹批发仓库和经营点，不间断开展巡查检查,，务必做到镇(街道)一级巡查烟花爆竹零售点全覆盖，全力管控和化解安全风险、治理隐患，严防安全事故发生。对无证经营、一证多点、违法储存、超量储存、随意变更经营场所、销售旺季乱摆摊设点以及禁燃区从事烟花爆竹经营活动等违法违规行为，要一律依法查处；同时要督促零售店(点)要与批发企业签订配送协议，确保安全配送、有序配送。对于构成犯罪的，依法移交公安机关侦办,力求形成强大震慑力。</w:t>
      </w:r>
    </w:p>
    <w:p>
      <w:pPr>
        <w:keepNext w:val="0"/>
        <w:keepLines w:val="0"/>
        <w:pageBreakBefore w:val="0"/>
        <w:widowControl w:val="0"/>
        <w:numPr>
          <w:ilvl w:val="0"/>
          <w:numId w:val="0"/>
        </w:numPr>
        <w:kinsoku/>
        <w:wordWrap/>
        <w:overflowPunct/>
        <w:topLinePunct w:val="0"/>
        <w:autoSpaceDE/>
        <w:autoSpaceDN/>
        <w:bidi w:val="0"/>
        <w:adjustRightInd/>
        <w:snapToGrid/>
        <w:spacing w:line="500" w:lineRule="atLeast"/>
        <w:ind w:firstLine="640"/>
        <w:jc w:val="left"/>
        <w:textAlignment w:val="auto"/>
        <w:rPr>
          <w:rFonts w:hint="eastAsia" w:ascii="方正仿宋_GBK" w:hAnsi="方正仿宋_GBK" w:eastAsia="方正仿宋_GBK" w:cs="方正仿宋_GBK"/>
          <w:b w:val="0"/>
          <w:i w:val="0"/>
          <w:caps w:val="0"/>
          <w:color w:val="000000"/>
          <w:spacing w:val="0"/>
          <w:kern w:val="0"/>
          <w:sz w:val="32"/>
          <w:szCs w:val="32"/>
          <w:shd w:val="clear" w:fill="FFFFFF"/>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atLeast"/>
        <w:ind w:firstLine="640"/>
        <w:jc w:val="left"/>
        <w:textAlignment w:val="auto"/>
        <w:rPr>
          <w:rFonts w:hint="eastAsia" w:ascii="方正仿宋_GBK" w:hAnsi="方正仿宋_GBK" w:eastAsia="方正仿宋_GBK" w:cs="方正仿宋_GBK"/>
          <w:b w:val="0"/>
          <w:i w:val="0"/>
          <w:caps w:val="0"/>
          <w:color w:val="000000"/>
          <w:spacing w:val="0"/>
          <w:kern w:val="0"/>
          <w:sz w:val="32"/>
          <w:szCs w:val="32"/>
          <w:shd w:val="clear" w:fill="FFFFFF"/>
          <w:lang w:val="en-US" w:eastAsia="zh-CN" w:bidi="ar"/>
        </w:rPr>
      </w:pPr>
    </w:p>
    <w:p>
      <w:pPr>
        <w:keepNext w:val="0"/>
        <w:keepLines w:val="0"/>
        <w:pageBreakBefore w:val="0"/>
        <w:widowControl w:val="0"/>
        <w:numPr>
          <w:ilvl w:val="0"/>
          <w:numId w:val="0"/>
        </w:numPr>
        <w:kinsoku/>
        <w:wordWrap w:val="0"/>
        <w:overflowPunct/>
        <w:topLinePunct w:val="0"/>
        <w:autoSpaceDE/>
        <w:autoSpaceDN/>
        <w:bidi w:val="0"/>
        <w:adjustRightInd/>
        <w:snapToGrid/>
        <w:spacing w:line="500" w:lineRule="atLeast"/>
        <w:ind w:firstLine="640"/>
        <w:jc w:val="right"/>
        <w:textAlignment w:val="auto"/>
        <w:rPr>
          <w:rFonts w:hint="default" w:ascii="方正仿宋_GBK" w:hAnsi="方正仿宋_GBK" w:eastAsia="方正仿宋_GBK" w:cs="方正仿宋_GBK"/>
          <w:b w:val="0"/>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b w:val="0"/>
          <w:i w:val="0"/>
          <w:caps w:val="0"/>
          <w:color w:val="000000"/>
          <w:spacing w:val="0"/>
          <w:kern w:val="0"/>
          <w:sz w:val="32"/>
          <w:szCs w:val="32"/>
          <w:shd w:val="clear" w:fill="FFFFFF"/>
          <w:lang w:val="en-US" w:eastAsia="zh-CN" w:bidi="ar"/>
        </w:rPr>
        <w:t xml:space="preserve">梅州市梅县区应急管理局  </w:t>
      </w:r>
    </w:p>
    <w:p>
      <w:pPr>
        <w:keepNext w:val="0"/>
        <w:keepLines w:val="0"/>
        <w:pageBreakBefore w:val="0"/>
        <w:widowControl w:val="0"/>
        <w:numPr>
          <w:ilvl w:val="0"/>
          <w:numId w:val="0"/>
        </w:numPr>
        <w:kinsoku/>
        <w:wordWrap w:val="0"/>
        <w:overflowPunct/>
        <w:topLinePunct w:val="0"/>
        <w:autoSpaceDE/>
        <w:autoSpaceDN/>
        <w:bidi w:val="0"/>
        <w:adjustRightInd/>
        <w:snapToGrid/>
        <w:spacing w:line="500" w:lineRule="atLeast"/>
        <w:ind w:firstLine="640"/>
        <w:jc w:val="right"/>
        <w:textAlignment w:val="auto"/>
        <w:rPr>
          <w:rFonts w:hint="default" w:ascii="方正仿宋_GBK" w:hAnsi="方正仿宋_GBK" w:eastAsia="方正仿宋_GBK" w:cs="方正仿宋_GBK"/>
          <w:b w:val="0"/>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b w:val="0"/>
          <w:i w:val="0"/>
          <w:caps w:val="0"/>
          <w:color w:val="000000"/>
          <w:spacing w:val="0"/>
          <w:kern w:val="0"/>
          <w:sz w:val="32"/>
          <w:szCs w:val="32"/>
          <w:shd w:val="clear" w:fill="FFFFFF"/>
          <w:lang w:val="en-US" w:eastAsia="zh-CN" w:bidi="ar"/>
        </w:rPr>
        <w:t xml:space="preserve">2024年10月29日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atLeast"/>
        <w:ind w:firstLine="640"/>
        <w:jc w:val="left"/>
        <w:textAlignment w:val="auto"/>
        <w:rPr>
          <w:rFonts w:hint="eastAsia" w:ascii="方正仿宋_GBK" w:hAnsi="方正仿宋_GBK" w:eastAsia="方正仿宋_GBK" w:cs="方正仿宋_GBK"/>
          <w:b w:val="0"/>
          <w:i w:val="0"/>
          <w:caps w:val="0"/>
          <w:color w:val="000000"/>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附表：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梅州市梅县区2025年度烟花爆竹经营（零售）布点规划表</w:t>
      </w:r>
    </w:p>
    <w:tbl>
      <w:tblPr>
        <w:tblStyle w:val="6"/>
        <w:tblW w:w="8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2257"/>
        <w:gridCol w:w="1718"/>
        <w:gridCol w:w="2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exact"/>
          <w:jc w:val="center"/>
        </w:trPr>
        <w:tc>
          <w:tcPr>
            <w:tcW w:w="130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序号</w:t>
            </w:r>
          </w:p>
        </w:tc>
        <w:tc>
          <w:tcPr>
            <w:tcW w:w="225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镇  别</w:t>
            </w:r>
          </w:p>
        </w:tc>
        <w:tc>
          <w:tcPr>
            <w:tcW w:w="17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kern w:val="2"/>
                <w:sz w:val="32"/>
                <w:szCs w:val="32"/>
                <w:vertAlign w:val="baseline"/>
                <w:lang w:val="en-US" w:eastAsia="zh-CN" w:bidi="ar-SA"/>
              </w:rPr>
            </w:pPr>
            <w:r>
              <w:rPr>
                <w:rFonts w:hint="eastAsia" w:ascii="仿宋" w:hAnsi="仿宋" w:eastAsia="仿宋" w:cs="仿宋"/>
                <w:b/>
                <w:bCs/>
                <w:sz w:val="32"/>
                <w:szCs w:val="32"/>
                <w:vertAlign w:val="baseline"/>
                <w:lang w:val="en-US" w:eastAsia="zh-CN"/>
              </w:rPr>
              <w:t>规划数</w:t>
            </w:r>
          </w:p>
        </w:tc>
        <w:tc>
          <w:tcPr>
            <w:tcW w:w="298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01" w:type="dxa"/>
            <w:vAlign w:val="center"/>
          </w:tcPr>
          <w:p>
            <w:pPr>
              <w:spacing w:line="240" w:lineRule="auto"/>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1</w:t>
            </w:r>
          </w:p>
        </w:tc>
        <w:tc>
          <w:tcPr>
            <w:tcW w:w="2257" w:type="dxa"/>
            <w:vAlign w:val="center"/>
          </w:tcPr>
          <w:p>
            <w:pPr>
              <w:spacing w:line="240" w:lineRule="auto"/>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程江镇</w:t>
            </w:r>
          </w:p>
        </w:tc>
        <w:tc>
          <w:tcPr>
            <w:tcW w:w="1718" w:type="dxa"/>
            <w:vAlign w:val="center"/>
          </w:tcPr>
          <w:p>
            <w:pPr>
              <w:spacing w:line="240" w:lineRule="auto"/>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1</w:t>
            </w:r>
          </w:p>
        </w:tc>
        <w:tc>
          <w:tcPr>
            <w:tcW w:w="2981" w:type="dxa"/>
            <w:vAlign w:val="center"/>
          </w:tcPr>
          <w:p>
            <w:pPr>
              <w:spacing w:line="240" w:lineRule="auto"/>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禁放区外布设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01" w:type="dxa"/>
            <w:vAlign w:val="center"/>
          </w:tcPr>
          <w:p>
            <w:pPr>
              <w:spacing w:line="240" w:lineRule="auto"/>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2</w:t>
            </w:r>
          </w:p>
        </w:tc>
        <w:tc>
          <w:tcPr>
            <w:tcW w:w="2257" w:type="dxa"/>
            <w:vAlign w:val="center"/>
          </w:tcPr>
          <w:p>
            <w:pPr>
              <w:spacing w:line="240" w:lineRule="auto"/>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丙村镇</w:t>
            </w:r>
          </w:p>
        </w:tc>
        <w:tc>
          <w:tcPr>
            <w:tcW w:w="1718" w:type="dxa"/>
            <w:vAlign w:val="center"/>
          </w:tcPr>
          <w:p>
            <w:pPr>
              <w:spacing w:line="240" w:lineRule="auto"/>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7</w:t>
            </w:r>
          </w:p>
        </w:tc>
        <w:tc>
          <w:tcPr>
            <w:tcW w:w="2981" w:type="dxa"/>
            <w:vAlign w:val="center"/>
          </w:tcPr>
          <w:p>
            <w:pPr>
              <w:spacing w:line="240" w:lineRule="auto"/>
              <w:jc w:val="center"/>
              <w:rPr>
                <w:rFonts w:hint="eastAsia" w:ascii="仿宋" w:hAnsi="仿宋" w:eastAsia="仿宋" w:cs="仿宋"/>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01" w:type="dxa"/>
            <w:vAlign w:val="center"/>
          </w:tcPr>
          <w:p>
            <w:pPr>
              <w:spacing w:line="240" w:lineRule="auto"/>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3</w:t>
            </w:r>
          </w:p>
        </w:tc>
        <w:tc>
          <w:tcPr>
            <w:tcW w:w="2257" w:type="dxa"/>
            <w:vAlign w:val="center"/>
          </w:tcPr>
          <w:p>
            <w:pPr>
              <w:spacing w:line="240" w:lineRule="auto"/>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雁洋镇</w:t>
            </w:r>
          </w:p>
        </w:tc>
        <w:tc>
          <w:tcPr>
            <w:tcW w:w="1718" w:type="dxa"/>
            <w:vAlign w:val="center"/>
          </w:tcPr>
          <w:p>
            <w:pPr>
              <w:spacing w:line="240" w:lineRule="auto"/>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5</w:t>
            </w:r>
          </w:p>
        </w:tc>
        <w:tc>
          <w:tcPr>
            <w:tcW w:w="2981" w:type="dxa"/>
            <w:vAlign w:val="center"/>
          </w:tcPr>
          <w:p>
            <w:pPr>
              <w:spacing w:line="240" w:lineRule="auto"/>
              <w:jc w:val="center"/>
              <w:rPr>
                <w:rFonts w:hint="eastAsia" w:ascii="仿宋" w:hAnsi="仿宋" w:eastAsia="仿宋" w:cs="仿宋"/>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01" w:type="dxa"/>
            <w:vAlign w:val="center"/>
          </w:tcPr>
          <w:p>
            <w:pPr>
              <w:spacing w:line="240" w:lineRule="auto"/>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4</w:t>
            </w:r>
          </w:p>
        </w:tc>
        <w:tc>
          <w:tcPr>
            <w:tcW w:w="2257" w:type="dxa"/>
            <w:vAlign w:val="center"/>
          </w:tcPr>
          <w:p>
            <w:pPr>
              <w:spacing w:line="240" w:lineRule="auto"/>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松源镇</w:t>
            </w:r>
          </w:p>
        </w:tc>
        <w:tc>
          <w:tcPr>
            <w:tcW w:w="1718" w:type="dxa"/>
            <w:vAlign w:val="center"/>
          </w:tcPr>
          <w:p>
            <w:pPr>
              <w:spacing w:line="240" w:lineRule="auto"/>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5</w:t>
            </w:r>
          </w:p>
        </w:tc>
        <w:tc>
          <w:tcPr>
            <w:tcW w:w="2981" w:type="dxa"/>
            <w:vAlign w:val="center"/>
          </w:tcPr>
          <w:p>
            <w:pPr>
              <w:spacing w:line="240" w:lineRule="auto"/>
              <w:jc w:val="center"/>
              <w:rPr>
                <w:rFonts w:hint="eastAsia" w:ascii="仿宋" w:hAnsi="仿宋" w:eastAsia="仿宋" w:cs="仿宋"/>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01" w:type="dxa"/>
            <w:vAlign w:val="center"/>
          </w:tcPr>
          <w:p>
            <w:pPr>
              <w:spacing w:line="240" w:lineRule="auto"/>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5</w:t>
            </w:r>
          </w:p>
        </w:tc>
        <w:tc>
          <w:tcPr>
            <w:tcW w:w="2257" w:type="dxa"/>
            <w:vAlign w:val="center"/>
          </w:tcPr>
          <w:p>
            <w:pPr>
              <w:spacing w:line="240" w:lineRule="auto"/>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松口镇</w:t>
            </w:r>
          </w:p>
        </w:tc>
        <w:tc>
          <w:tcPr>
            <w:tcW w:w="1718" w:type="dxa"/>
            <w:vAlign w:val="center"/>
          </w:tcPr>
          <w:p>
            <w:pPr>
              <w:spacing w:line="240" w:lineRule="auto"/>
              <w:jc w:val="center"/>
              <w:rPr>
                <w:rFonts w:hint="default" w:ascii="仿宋" w:hAnsi="仿宋" w:eastAsia="仿宋" w:cs="仿宋"/>
                <w:b w:val="0"/>
                <w:bCs w:val="0"/>
                <w:kern w:val="2"/>
                <w:sz w:val="32"/>
                <w:szCs w:val="32"/>
                <w:highlight w:val="none"/>
                <w:vertAlign w:val="baseline"/>
                <w:lang w:val="en-US" w:eastAsia="zh-CN" w:bidi="ar-SA"/>
              </w:rPr>
            </w:pPr>
            <w:r>
              <w:rPr>
                <w:rFonts w:hint="eastAsia" w:ascii="仿宋" w:hAnsi="仿宋" w:eastAsia="仿宋" w:cs="仿宋"/>
                <w:b w:val="0"/>
                <w:bCs w:val="0"/>
                <w:kern w:val="2"/>
                <w:sz w:val="32"/>
                <w:szCs w:val="32"/>
                <w:highlight w:val="none"/>
                <w:vertAlign w:val="baseline"/>
                <w:lang w:val="en-US" w:eastAsia="zh-CN" w:bidi="ar-SA"/>
              </w:rPr>
              <w:t>18</w:t>
            </w:r>
          </w:p>
        </w:tc>
        <w:tc>
          <w:tcPr>
            <w:tcW w:w="2981" w:type="dxa"/>
            <w:vAlign w:val="center"/>
          </w:tcPr>
          <w:p>
            <w:pPr>
              <w:spacing w:line="240" w:lineRule="auto"/>
              <w:jc w:val="center"/>
              <w:rPr>
                <w:rFonts w:hint="eastAsia" w:ascii="仿宋" w:hAnsi="仿宋" w:eastAsia="仿宋" w:cs="仿宋"/>
                <w:b w:val="0"/>
                <w:bCs w:val="0"/>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01" w:type="dxa"/>
            <w:vAlign w:val="center"/>
          </w:tcPr>
          <w:p>
            <w:pPr>
              <w:spacing w:line="240" w:lineRule="auto"/>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6</w:t>
            </w:r>
          </w:p>
        </w:tc>
        <w:tc>
          <w:tcPr>
            <w:tcW w:w="2257" w:type="dxa"/>
            <w:vAlign w:val="center"/>
          </w:tcPr>
          <w:p>
            <w:pPr>
              <w:spacing w:line="240" w:lineRule="auto"/>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畲江镇</w:t>
            </w:r>
          </w:p>
        </w:tc>
        <w:tc>
          <w:tcPr>
            <w:tcW w:w="1718" w:type="dxa"/>
            <w:vAlign w:val="center"/>
          </w:tcPr>
          <w:p>
            <w:pPr>
              <w:spacing w:line="240" w:lineRule="auto"/>
              <w:jc w:val="center"/>
              <w:rPr>
                <w:rFonts w:hint="default" w:ascii="仿宋" w:hAnsi="仿宋" w:eastAsia="仿宋" w:cs="仿宋"/>
                <w:b w:val="0"/>
                <w:bCs w:val="0"/>
                <w:kern w:val="2"/>
                <w:sz w:val="32"/>
                <w:szCs w:val="32"/>
                <w:highlight w:val="none"/>
                <w:vertAlign w:val="baseline"/>
                <w:lang w:val="en-US" w:eastAsia="zh-CN" w:bidi="ar-SA"/>
              </w:rPr>
            </w:pPr>
            <w:r>
              <w:rPr>
                <w:rFonts w:hint="eastAsia" w:ascii="仿宋" w:hAnsi="仿宋" w:eastAsia="仿宋" w:cs="仿宋"/>
                <w:b w:val="0"/>
                <w:bCs w:val="0"/>
                <w:kern w:val="2"/>
                <w:sz w:val="32"/>
                <w:szCs w:val="32"/>
                <w:highlight w:val="none"/>
                <w:vertAlign w:val="baseline"/>
                <w:lang w:val="en-US" w:eastAsia="zh-CN" w:bidi="ar-SA"/>
              </w:rPr>
              <w:t>13</w:t>
            </w:r>
          </w:p>
        </w:tc>
        <w:tc>
          <w:tcPr>
            <w:tcW w:w="2981" w:type="dxa"/>
            <w:vAlign w:val="center"/>
          </w:tcPr>
          <w:p>
            <w:pPr>
              <w:spacing w:line="240" w:lineRule="auto"/>
              <w:jc w:val="center"/>
              <w:rPr>
                <w:rFonts w:hint="eastAsia" w:ascii="仿宋" w:hAnsi="仿宋" w:eastAsia="仿宋" w:cs="仿宋"/>
                <w:b w:val="0"/>
                <w:bCs w:val="0"/>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01" w:type="dxa"/>
            <w:vAlign w:val="center"/>
          </w:tcPr>
          <w:p>
            <w:pPr>
              <w:spacing w:line="240" w:lineRule="auto"/>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7</w:t>
            </w:r>
          </w:p>
        </w:tc>
        <w:tc>
          <w:tcPr>
            <w:tcW w:w="2257" w:type="dxa"/>
            <w:vAlign w:val="center"/>
          </w:tcPr>
          <w:p>
            <w:pPr>
              <w:spacing w:line="240" w:lineRule="auto"/>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南口镇</w:t>
            </w:r>
          </w:p>
        </w:tc>
        <w:tc>
          <w:tcPr>
            <w:tcW w:w="1718" w:type="dxa"/>
            <w:vAlign w:val="center"/>
          </w:tcPr>
          <w:p>
            <w:pPr>
              <w:spacing w:line="240" w:lineRule="auto"/>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28</w:t>
            </w:r>
          </w:p>
        </w:tc>
        <w:tc>
          <w:tcPr>
            <w:tcW w:w="2981" w:type="dxa"/>
            <w:vAlign w:val="center"/>
          </w:tcPr>
          <w:p>
            <w:pPr>
              <w:spacing w:line="240" w:lineRule="auto"/>
              <w:jc w:val="center"/>
              <w:rPr>
                <w:rFonts w:hint="eastAsia" w:ascii="仿宋" w:hAnsi="仿宋" w:eastAsia="仿宋" w:cs="仿宋"/>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01" w:type="dxa"/>
            <w:vAlign w:val="center"/>
          </w:tcPr>
          <w:p>
            <w:pPr>
              <w:spacing w:line="240" w:lineRule="auto"/>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8</w:t>
            </w:r>
          </w:p>
        </w:tc>
        <w:tc>
          <w:tcPr>
            <w:tcW w:w="2257" w:type="dxa"/>
            <w:vAlign w:val="center"/>
          </w:tcPr>
          <w:p>
            <w:pPr>
              <w:spacing w:line="240" w:lineRule="auto"/>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梅西镇</w:t>
            </w:r>
          </w:p>
        </w:tc>
        <w:tc>
          <w:tcPr>
            <w:tcW w:w="1718" w:type="dxa"/>
            <w:vAlign w:val="center"/>
          </w:tcPr>
          <w:p>
            <w:pPr>
              <w:spacing w:line="240" w:lineRule="auto"/>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10</w:t>
            </w:r>
          </w:p>
        </w:tc>
        <w:tc>
          <w:tcPr>
            <w:tcW w:w="2981" w:type="dxa"/>
            <w:vAlign w:val="center"/>
          </w:tcPr>
          <w:p>
            <w:pPr>
              <w:spacing w:line="240" w:lineRule="auto"/>
              <w:jc w:val="center"/>
              <w:rPr>
                <w:rFonts w:hint="eastAsia" w:ascii="仿宋" w:hAnsi="仿宋" w:eastAsia="仿宋" w:cs="仿宋"/>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01" w:type="dxa"/>
            <w:vAlign w:val="center"/>
          </w:tcPr>
          <w:p>
            <w:pPr>
              <w:spacing w:line="240" w:lineRule="auto"/>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9</w:t>
            </w:r>
          </w:p>
        </w:tc>
        <w:tc>
          <w:tcPr>
            <w:tcW w:w="2257" w:type="dxa"/>
            <w:vAlign w:val="center"/>
          </w:tcPr>
          <w:p>
            <w:pPr>
              <w:spacing w:line="240" w:lineRule="auto"/>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城东镇</w:t>
            </w:r>
          </w:p>
        </w:tc>
        <w:tc>
          <w:tcPr>
            <w:tcW w:w="1718" w:type="dxa"/>
            <w:vAlign w:val="center"/>
          </w:tcPr>
          <w:p>
            <w:pPr>
              <w:spacing w:line="240" w:lineRule="auto"/>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7</w:t>
            </w:r>
          </w:p>
        </w:tc>
        <w:tc>
          <w:tcPr>
            <w:tcW w:w="2981" w:type="dxa"/>
            <w:vAlign w:val="center"/>
          </w:tcPr>
          <w:p>
            <w:pPr>
              <w:spacing w:line="240" w:lineRule="auto"/>
              <w:jc w:val="center"/>
              <w:rPr>
                <w:rFonts w:hint="eastAsia" w:ascii="仿宋" w:hAnsi="仿宋" w:eastAsia="仿宋" w:cs="仿宋"/>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01" w:type="dxa"/>
            <w:vAlign w:val="center"/>
          </w:tcPr>
          <w:p>
            <w:pPr>
              <w:spacing w:line="240" w:lineRule="auto"/>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10</w:t>
            </w:r>
          </w:p>
        </w:tc>
        <w:tc>
          <w:tcPr>
            <w:tcW w:w="2257" w:type="dxa"/>
            <w:vAlign w:val="center"/>
          </w:tcPr>
          <w:p>
            <w:pPr>
              <w:spacing w:line="240" w:lineRule="auto"/>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石扇镇</w:t>
            </w:r>
          </w:p>
        </w:tc>
        <w:tc>
          <w:tcPr>
            <w:tcW w:w="1718" w:type="dxa"/>
            <w:vAlign w:val="center"/>
          </w:tcPr>
          <w:p>
            <w:pPr>
              <w:spacing w:line="240" w:lineRule="auto"/>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7</w:t>
            </w:r>
          </w:p>
        </w:tc>
        <w:tc>
          <w:tcPr>
            <w:tcW w:w="2981" w:type="dxa"/>
            <w:vAlign w:val="center"/>
          </w:tcPr>
          <w:p>
            <w:pPr>
              <w:spacing w:line="240" w:lineRule="auto"/>
              <w:jc w:val="center"/>
              <w:rPr>
                <w:rFonts w:hint="eastAsia" w:ascii="仿宋" w:hAnsi="仿宋" w:eastAsia="仿宋" w:cs="仿宋"/>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01" w:type="dxa"/>
            <w:vAlign w:val="center"/>
          </w:tcPr>
          <w:p>
            <w:pPr>
              <w:spacing w:line="240" w:lineRule="auto"/>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11</w:t>
            </w:r>
          </w:p>
        </w:tc>
        <w:tc>
          <w:tcPr>
            <w:tcW w:w="2257" w:type="dxa"/>
            <w:vAlign w:val="center"/>
          </w:tcPr>
          <w:p>
            <w:pPr>
              <w:spacing w:line="240" w:lineRule="auto"/>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白渡镇</w:t>
            </w:r>
          </w:p>
        </w:tc>
        <w:tc>
          <w:tcPr>
            <w:tcW w:w="1718" w:type="dxa"/>
            <w:vAlign w:val="center"/>
          </w:tcPr>
          <w:p>
            <w:pPr>
              <w:spacing w:line="240" w:lineRule="auto"/>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8</w:t>
            </w:r>
          </w:p>
        </w:tc>
        <w:tc>
          <w:tcPr>
            <w:tcW w:w="2981" w:type="dxa"/>
            <w:vAlign w:val="center"/>
          </w:tcPr>
          <w:p>
            <w:pPr>
              <w:spacing w:line="240" w:lineRule="auto"/>
              <w:jc w:val="center"/>
              <w:rPr>
                <w:rFonts w:hint="eastAsia" w:ascii="仿宋" w:hAnsi="仿宋" w:eastAsia="仿宋" w:cs="仿宋"/>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01" w:type="dxa"/>
            <w:vAlign w:val="center"/>
          </w:tcPr>
          <w:p>
            <w:pPr>
              <w:spacing w:line="240" w:lineRule="auto"/>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12</w:t>
            </w:r>
          </w:p>
        </w:tc>
        <w:tc>
          <w:tcPr>
            <w:tcW w:w="2257" w:type="dxa"/>
            <w:vAlign w:val="center"/>
          </w:tcPr>
          <w:p>
            <w:pPr>
              <w:spacing w:line="240" w:lineRule="auto"/>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隆文镇</w:t>
            </w:r>
          </w:p>
        </w:tc>
        <w:tc>
          <w:tcPr>
            <w:tcW w:w="1718" w:type="dxa"/>
            <w:vAlign w:val="center"/>
          </w:tcPr>
          <w:p>
            <w:pPr>
              <w:spacing w:line="240" w:lineRule="auto"/>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5</w:t>
            </w:r>
          </w:p>
        </w:tc>
        <w:tc>
          <w:tcPr>
            <w:tcW w:w="2981" w:type="dxa"/>
            <w:vAlign w:val="center"/>
          </w:tcPr>
          <w:p>
            <w:pPr>
              <w:spacing w:line="240" w:lineRule="auto"/>
              <w:jc w:val="center"/>
              <w:rPr>
                <w:rFonts w:hint="eastAsia" w:ascii="仿宋" w:hAnsi="仿宋" w:eastAsia="仿宋" w:cs="仿宋"/>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01" w:type="dxa"/>
            <w:vAlign w:val="center"/>
          </w:tcPr>
          <w:p>
            <w:pPr>
              <w:spacing w:line="240" w:lineRule="auto"/>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13</w:t>
            </w:r>
          </w:p>
        </w:tc>
        <w:tc>
          <w:tcPr>
            <w:tcW w:w="2257" w:type="dxa"/>
            <w:vAlign w:val="center"/>
          </w:tcPr>
          <w:p>
            <w:pPr>
              <w:spacing w:line="240" w:lineRule="auto"/>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水车镇</w:t>
            </w:r>
          </w:p>
        </w:tc>
        <w:tc>
          <w:tcPr>
            <w:tcW w:w="1718" w:type="dxa"/>
            <w:vAlign w:val="center"/>
          </w:tcPr>
          <w:p>
            <w:pPr>
              <w:spacing w:line="240" w:lineRule="auto"/>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8</w:t>
            </w:r>
          </w:p>
        </w:tc>
        <w:tc>
          <w:tcPr>
            <w:tcW w:w="2981" w:type="dxa"/>
            <w:vAlign w:val="center"/>
          </w:tcPr>
          <w:p>
            <w:pPr>
              <w:spacing w:line="240" w:lineRule="auto"/>
              <w:jc w:val="center"/>
              <w:rPr>
                <w:rFonts w:hint="eastAsia" w:ascii="仿宋" w:hAnsi="仿宋" w:eastAsia="仿宋" w:cs="仿宋"/>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01" w:type="dxa"/>
            <w:vAlign w:val="center"/>
          </w:tcPr>
          <w:p>
            <w:pPr>
              <w:spacing w:line="240" w:lineRule="auto"/>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14</w:t>
            </w:r>
          </w:p>
        </w:tc>
        <w:tc>
          <w:tcPr>
            <w:tcW w:w="2257" w:type="dxa"/>
            <w:vAlign w:val="center"/>
          </w:tcPr>
          <w:p>
            <w:pPr>
              <w:spacing w:line="240" w:lineRule="auto"/>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大坪镇</w:t>
            </w:r>
          </w:p>
        </w:tc>
        <w:tc>
          <w:tcPr>
            <w:tcW w:w="1718" w:type="dxa"/>
            <w:vAlign w:val="center"/>
          </w:tcPr>
          <w:p>
            <w:pPr>
              <w:spacing w:line="240" w:lineRule="auto"/>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8</w:t>
            </w:r>
          </w:p>
        </w:tc>
        <w:tc>
          <w:tcPr>
            <w:tcW w:w="2981" w:type="dxa"/>
            <w:vAlign w:val="center"/>
          </w:tcPr>
          <w:p>
            <w:pPr>
              <w:spacing w:line="240" w:lineRule="auto"/>
              <w:jc w:val="center"/>
              <w:rPr>
                <w:rFonts w:hint="eastAsia" w:ascii="仿宋" w:hAnsi="仿宋" w:eastAsia="仿宋" w:cs="仿宋"/>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01" w:type="dxa"/>
            <w:vAlign w:val="center"/>
          </w:tcPr>
          <w:p>
            <w:pPr>
              <w:spacing w:line="240" w:lineRule="auto"/>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15</w:t>
            </w:r>
          </w:p>
        </w:tc>
        <w:tc>
          <w:tcPr>
            <w:tcW w:w="2257" w:type="dxa"/>
            <w:vAlign w:val="center"/>
          </w:tcPr>
          <w:p>
            <w:pPr>
              <w:spacing w:line="240" w:lineRule="auto"/>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梅南镇</w:t>
            </w:r>
          </w:p>
        </w:tc>
        <w:tc>
          <w:tcPr>
            <w:tcW w:w="1718" w:type="dxa"/>
            <w:vAlign w:val="center"/>
          </w:tcPr>
          <w:p>
            <w:pPr>
              <w:spacing w:line="240" w:lineRule="auto"/>
              <w:jc w:val="center"/>
              <w:rPr>
                <w:rFonts w:hint="default" w:ascii="仿宋" w:hAnsi="仿宋" w:eastAsia="仿宋" w:cs="仿宋"/>
                <w:b w:val="0"/>
                <w:bCs w:val="0"/>
                <w:kern w:val="2"/>
                <w:sz w:val="32"/>
                <w:szCs w:val="32"/>
                <w:highlight w:val="none"/>
                <w:vertAlign w:val="baseline"/>
                <w:lang w:val="en-US" w:eastAsia="zh-CN" w:bidi="ar-SA"/>
              </w:rPr>
            </w:pPr>
            <w:r>
              <w:rPr>
                <w:rFonts w:hint="eastAsia" w:ascii="仿宋" w:hAnsi="仿宋" w:eastAsia="仿宋" w:cs="仿宋"/>
                <w:b w:val="0"/>
                <w:bCs w:val="0"/>
                <w:kern w:val="2"/>
                <w:sz w:val="32"/>
                <w:szCs w:val="32"/>
                <w:highlight w:val="none"/>
                <w:vertAlign w:val="baseline"/>
                <w:lang w:val="en-US" w:eastAsia="zh-CN" w:bidi="ar-SA"/>
              </w:rPr>
              <w:t>5</w:t>
            </w:r>
          </w:p>
        </w:tc>
        <w:tc>
          <w:tcPr>
            <w:tcW w:w="2981" w:type="dxa"/>
            <w:vAlign w:val="center"/>
          </w:tcPr>
          <w:p>
            <w:pPr>
              <w:spacing w:line="240" w:lineRule="auto"/>
              <w:jc w:val="center"/>
              <w:rPr>
                <w:rFonts w:hint="eastAsia" w:ascii="仿宋" w:hAnsi="仿宋" w:eastAsia="仿宋" w:cs="仿宋"/>
                <w:b w:val="0"/>
                <w:bCs w:val="0"/>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01" w:type="dxa"/>
            <w:vAlign w:val="center"/>
          </w:tcPr>
          <w:p>
            <w:pPr>
              <w:spacing w:line="240" w:lineRule="auto"/>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16</w:t>
            </w:r>
          </w:p>
        </w:tc>
        <w:tc>
          <w:tcPr>
            <w:tcW w:w="2257" w:type="dxa"/>
            <w:vAlign w:val="center"/>
          </w:tcPr>
          <w:p>
            <w:pPr>
              <w:spacing w:line="240" w:lineRule="auto"/>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石坑镇</w:t>
            </w:r>
          </w:p>
        </w:tc>
        <w:tc>
          <w:tcPr>
            <w:tcW w:w="1718" w:type="dxa"/>
            <w:vAlign w:val="center"/>
          </w:tcPr>
          <w:p>
            <w:pPr>
              <w:spacing w:line="240" w:lineRule="auto"/>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8</w:t>
            </w:r>
          </w:p>
        </w:tc>
        <w:tc>
          <w:tcPr>
            <w:tcW w:w="2981" w:type="dxa"/>
            <w:vAlign w:val="center"/>
          </w:tcPr>
          <w:p>
            <w:pPr>
              <w:spacing w:line="240" w:lineRule="auto"/>
              <w:jc w:val="center"/>
              <w:rPr>
                <w:rFonts w:hint="eastAsia" w:ascii="仿宋" w:hAnsi="仿宋" w:eastAsia="仿宋" w:cs="仿宋"/>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01" w:type="dxa"/>
            <w:vAlign w:val="center"/>
          </w:tcPr>
          <w:p>
            <w:pPr>
              <w:spacing w:line="240" w:lineRule="auto"/>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17</w:t>
            </w:r>
          </w:p>
        </w:tc>
        <w:tc>
          <w:tcPr>
            <w:tcW w:w="2257" w:type="dxa"/>
            <w:vAlign w:val="center"/>
          </w:tcPr>
          <w:p>
            <w:pPr>
              <w:spacing w:line="240" w:lineRule="auto"/>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桃尧镇</w:t>
            </w:r>
          </w:p>
        </w:tc>
        <w:tc>
          <w:tcPr>
            <w:tcW w:w="1718" w:type="dxa"/>
            <w:vAlign w:val="center"/>
          </w:tcPr>
          <w:p>
            <w:pPr>
              <w:spacing w:line="240" w:lineRule="auto"/>
              <w:jc w:val="center"/>
              <w:rPr>
                <w:rFonts w:hint="default" w:ascii="仿宋" w:hAnsi="仿宋" w:eastAsia="仿宋" w:cs="仿宋"/>
                <w:b w:val="0"/>
                <w:bCs w:val="0"/>
                <w:kern w:val="2"/>
                <w:sz w:val="32"/>
                <w:szCs w:val="32"/>
                <w:highlight w:val="none"/>
                <w:vertAlign w:val="baseline"/>
                <w:lang w:val="en-US" w:eastAsia="zh-CN" w:bidi="ar-SA"/>
              </w:rPr>
            </w:pPr>
            <w:r>
              <w:rPr>
                <w:rFonts w:hint="eastAsia" w:ascii="仿宋" w:hAnsi="仿宋" w:eastAsia="仿宋" w:cs="仿宋"/>
                <w:b w:val="0"/>
                <w:bCs w:val="0"/>
                <w:kern w:val="2"/>
                <w:sz w:val="32"/>
                <w:szCs w:val="32"/>
                <w:highlight w:val="none"/>
                <w:vertAlign w:val="baseline"/>
                <w:lang w:val="en-US" w:eastAsia="zh-CN" w:bidi="ar-SA"/>
              </w:rPr>
              <w:t>2</w:t>
            </w:r>
          </w:p>
        </w:tc>
        <w:tc>
          <w:tcPr>
            <w:tcW w:w="2981" w:type="dxa"/>
            <w:vAlign w:val="center"/>
          </w:tcPr>
          <w:p>
            <w:pPr>
              <w:spacing w:line="240" w:lineRule="auto"/>
              <w:jc w:val="center"/>
              <w:rPr>
                <w:rFonts w:hint="eastAsia" w:ascii="仿宋" w:hAnsi="仿宋" w:eastAsia="仿宋" w:cs="仿宋"/>
                <w:b w:val="0"/>
                <w:bCs w:val="0"/>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01" w:type="dxa"/>
            <w:vAlign w:val="center"/>
          </w:tcPr>
          <w:p>
            <w:pPr>
              <w:spacing w:line="240" w:lineRule="auto"/>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18</w:t>
            </w:r>
          </w:p>
        </w:tc>
        <w:tc>
          <w:tcPr>
            <w:tcW w:w="2257" w:type="dxa"/>
            <w:vAlign w:val="center"/>
          </w:tcPr>
          <w:p>
            <w:pPr>
              <w:spacing w:line="240" w:lineRule="auto"/>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扶大</w:t>
            </w:r>
          </w:p>
        </w:tc>
        <w:tc>
          <w:tcPr>
            <w:tcW w:w="1718" w:type="dxa"/>
            <w:vAlign w:val="center"/>
          </w:tcPr>
          <w:p>
            <w:pPr>
              <w:spacing w:line="240" w:lineRule="auto"/>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0</w:t>
            </w:r>
          </w:p>
        </w:tc>
        <w:tc>
          <w:tcPr>
            <w:tcW w:w="2981" w:type="dxa"/>
            <w:vAlign w:val="center"/>
          </w:tcPr>
          <w:p>
            <w:pPr>
              <w:spacing w:line="240" w:lineRule="auto"/>
              <w:jc w:val="center"/>
              <w:rPr>
                <w:rFonts w:hint="eastAsia" w:ascii="仿宋" w:hAnsi="仿宋" w:eastAsia="仿宋" w:cs="仿宋"/>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01" w:type="dxa"/>
            <w:vAlign w:val="center"/>
          </w:tcPr>
          <w:p>
            <w:pPr>
              <w:spacing w:line="240" w:lineRule="auto"/>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19</w:t>
            </w:r>
          </w:p>
        </w:tc>
        <w:tc>
          <w:tcPr>
            <w:tcW w:w="2257" w:type="dxa"/>
            <w:vAlign w:val="center"/>
          </w:tcPr>
          <w:p>
            <w:pPr>
              <w:spacing w:line="240" w:lineRule="auto"/>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新城</w:t>
            </w:r>
          </w:p>
        </w:tc>
        <w:tc>
          <w:tcPr>
            <w:tcW w:w="1718" w:type="dxa"/>
            <w:vAlign w:val="center"/>
          </w:tcPr>
          <w:p>
            <w:pPr>
              <w:spacing w:line="240" w:lineRule="auto"/>
              <w:jc w:val="center"/>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kern w:val="2"/>
                <w:sz w:val="32"/>
                <w:szCs w:val="32"/>
                <w:vertAlign w:val="baseline"/>
                <w:lang w:val="en-US" w:eastAsia="zh-CN" w:bidi="ar-SA"/>
              </w:rPr>
              <w:t>0</w:t>
            </w:r>
          </w:p>
        </w:tc>
        <w:tc>
          <w:tcPr>
            <w:tcW w:w="2981" w:type="dxa"/>
            <w:vAlign w:val="center"/>
          </w:tcPr>
          <w:p>
            <w:pPr>
              <w:spacing w:line="240" w:lineRule="auto"/>
              <w:jc w:val="center"/>
              <w:rPr>
                <w:rFonts w:hint="eastAsia" w:ascii="仿宋" w:hAnsi="仿宋" w:eastAsia="仿宋" w:cs="仿宋"/>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jc w:val="center"/>
        </w:trPr>
        <w:tc>
          <w:tcPr>
            <w:tcW w:w="3558" w:type="dxa"/>
            <w:gridSpan w:val="2"/>
            <w:vAlign w:val="center"/>
          </w:tcPr>
          <w:p>
            <w:pPr>
              <w:spacing w:line="240" w:lineRule="auto"/>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合  计</w:t>
            </w:r>
          </w:p>
        </w:tc>
        <w:tc>
          <w:tcPr>
            <w:tcW w:w="1718" w:type="dxa"/>
            <w:vAlign w:val="center"/>
          </w:tcPr>
          <w:p>
            <w:pPr>
              <w:spacing w:line="240" w:lineRule="auto"/>
              <w:jc w:val="center"/>
              <w:rPr>
                <w:rFonts w:hint="default" w:ascii="仿宋" w:hAnsi="仿宋" w:eastAsia="仿宋" w:cs="仿宋"/>
                <w:b/>
                <w:bCs/>
                <w:kern w:val="2"/>
                <w:sz w:val="32"/>
                <w:szCs w:val="32"/>
                <w:vertAlign w:val="baseline"/>
                <w:lang w:val="en-US" w:eastAsia="zh-CN" w:bidi="ar-SA"/>
              </w:rPr>
            </w:pPr>
            <w:r>
              <w:rPr>
                <w:rFonts w:hint="eastAsia" w:ascii="仿宋" w:hAnsi="仿宋" w:eastAsia="仿宋" w:cs="仿宋"/>
                <w:b/>
                <w:bCs/>
                <w:kern w:val="2"/>
                <w:sz w:val="32"/>
                <w:szCs w:val="32"/>
                <w:vertAlign w:val="baseline"/>
                <w:lang w:val="en-US" w:eastAsia="zh-CN" w:bidi="ar-SA"/>
              </w:rPr>
              <w:t>145</w:t>
            </w:r>
          </w:p>
        </w:tc>
        <w:tc>
          <w:tcPr>
            <w:tcW w:w="2981" w:type="dxa"/>
            <w:vAlign w:val="center"/>
          </w:tcPr>
          <w:p>
            <w:pPr>
              <w:spacing w:line="240" w:lineRule="auto"/>
              <w:jc w:val="center"/>
              <w:rPr>
                <w:rFonts w:hint="eastAsia" w:ascii="仿宋" w:hAnsi="仿宋" w:eastAsia="仿宋" w:cs="仿宋"/>
                <w:b/>
                <w:bCs/>
                <w:sz w:val="32"/>
                <w:szCs w:val="32"/>
                <w:vertAlign w:val="baseline"/>
                <w:lang w:val="en-US" w:eastAsia="zh-CN"/>
              </w:rPr>
            </w:pPr>
          </w:p>
        </w:tc>
      </w:tr>
    </w:tbl>
    <w:p>
      <w:pPr>
        <w:spacing w:line="240" w:lineRule="auto"/>
        <w:jc w:val="both"/>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说明：扶大、新城在禁放区内，不作布点规划。</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E68886"/>
    <w:multiLevelType w:val="singleLevel"/>
    <w:tmpl w:val="9BE6888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2OTUxODkzM2E0ZTljMzg3NTc2MWZiMWNiN2ZlYWQifQ=="/>
  </w:docVars>
  <w:rsids>
    <w:rsidRoot w:val="66074410"/>
    <w:rsid w:val="010B4F8B"/>
    <w:rsid w:val="02DC36E2"/>
    <w:rsid w:val="03A35837"/>
    <w:rsid w:val="08E9060F"/>
    <w:rsid w:val="0B46656D"/>
    <w:rsid w:val="0BEF9618"/>
    <w:rsid w:val="0C652EF7"/>
    <w:rsid w:val="0E99333C"/>
    <w:rsid w:val="0F313C96"/>
    <w:rsid w:val="10FC028D"/>
    <w:rsid w:val="1336456D"/>
    <w:rsid w:val="13A34753"/>
    <w:rsid w:val="13BC10A9"/>
    <w:rsid w:val="186A4887"/>
    <w:rsid w:val="192F4F11"/>
    <w:rsid w:val="195FEFA2"/>
    <w:rsid w:val="1A74009A"/>
    <w:rsid w:val="1B6D0A51"/>
    <w:rsid w:val="1B7A2431"/>
    <w:rsid w:val="1FBC153C"/>
    <w:rsid w:val="224643A9"/>
    <w:rsid w:val="23007D6B"/>
    <w:rsid w:val="233174FD"/>
    <w:rsid w:val="250D09CC"/>
    <w:rsid w:val="26BE6053"/>
    <w:rsid w:val="274F2367"/>
    <w:rsid w:val="28EE38D1"/>
    <w:rsid w:val="2E4462A4"/>
    <w:rsid w:val="355218A4"/>
    <w:rsid w:val="37570DA0"/>
    <w:rsid w:val="3BEB1925"/>
    <w:rsid w:val="3D8744A5"/>
    <w:rsid w:val="3D8B1A2A"/>
    <w:rsid w:val="3DF57418"/>
    <w:rsid w:val="3DFD49DE"/>
    <w:rsid w:val="3EA33B01"/>
    <w:rsid w:val="41DE28D6"/>
    <w:rsid w:val="44CF414E"/>
    <w:rsid w:val="47204C37"/>
    <w:rsid w:val="47435C20"/>
    <w:rsid w:val="47BB5670"/>
    <w:rsid w:val="47DD035D"/>
    <w:rsid w:val="481B6E20"/>
    <w:rsid w:val="48B46ADC"/>
    <w:rsid w:val="4B566071"/>
    <w:rsid w:val="4DAB955A"/>
    <w:rsid w:val="4DFF4358"/>
    <w:rsid w:val="4E4C319A"/>
    <w:rsid w:val="4EDFC522"/>
    <w:rsid w:val="4F1C377D"/>
    <w:rsid w:val="5005196B"/>
    <w:rsid w:val="50F06BBA"/>
    <w:rsid w:val="516549CE"/>
    <w:rsid w:val="51B63F9B"/>
    <w:rsid w:val="51FF5E82"/>
    <w:rsid w:val="520619D1"/>
    <w:rsid w:val="52A971D1"/>
    <w:rsid w:val="544638C2"/>
    <w:rsid w:val="547E100A"/>
    <w:rsid w:val="54B507A1"/>
    <w:rsid w:val="56905C4D"/>
    <w:rsid w:val="56B6C293"/>
    <w:rsid w:val="56D2399D"/>
    <w:rsid w:val="574478C4"/>
    <w:rsid w:val="58C42269"/>
    <w:rsid w:val="59D740CC"/>
    <w:rsid w:val="5B7526DA"/>
    <w:rsid w:val="5BA6234A"/>
    <w:rsid w:val="5BD23EEB"/>
    <w:rsid w:val="5BDB49BC"/>
    <w:rsid w:val="5D3221C5"/>
    <w:rsid w:val="5DF78A32"/>
    <w:rsid w:val="5FFDC546"/>
    <w:rsid w:val="5FFE7C0B"/>
    <w:rsid w:val="62AA0F6D"/>
    <w:rsid w:val="62BA3858"/>
    <w:rsid w:val="637F7B9A"/>
    <w:rsid w:val="66074410"/>
    <w:rsid w:val="678011A3"/>
    <w:rsid w:val="67A5204B"/>
    <w:rsid w:val="67F5D3CF"/>
    <w:rsid w:val="687242C3"/>
    <w:rsid w:val="6A003522"/>
    <w:rsid w:val="6B405AFC"/>
    <w:rsid w:val="6CA256E8"/>
    <w:rsid w:val="6D15153D"/>
    <w:rsid w:val="6DBB0EFF"/>
    <w:rsid w:val="6E7F001D"/>
    <w:rsid w:val="6EF21543"/>
    <w:rsid w:val="6F61050D"/>
    <w:rsid w:val="70257C94"/>
    <w:rsid w:val="70B66EEF"/>
    <w:rsid w:val="725BD410"/>
    <w:rsid w:val="73DF00FF"/>
    <w:rsid w:val="74E6E51A"/>
    <w:rsid w:val="76DCDEC8"/>
    <w:rsid w:val="77083FAD"/>
    <w:rsid w:val="77EF7686"/>
    <w:rsid w:val="77FBFBB4"/>
    <w:rsid w:val="77FF5CDA"/>
    <w:rsid w:val="79F629DD"/>
    <w:rsid w:val="7AB44CDF"/>
    <w:rsid w:val="7ADFEB3D"/>
    <w:rsid w:val="7BCE8C22"/>
    <w:rsid w:val="7BDF34CE"/>
    <w:rsid w:val="7BEFA73E"/>
    <w:rsid w:val="7D8A8EC1"/>
    <w:rsid w:val="7DAF9C56"/>
    <w:rsid w:val="7DDD0520"/>
    <w:rsid w:val="7DF31A6A"/>
    <w:rsid w:val="7DF9C214"/>
    <w:rsid w:val="7DFF38EA"/>
    <w:rsid w:val="7EAF4B78"/>
    <w:rsid w:val="7EB71A84"/>
    <w:rsid w:val="7EB93E91"/>
    <w:rsid w:val="7FBB138E"/>
    <w:rsid w:val="7FE5783C"/>
    <w:rsid w:val="7FEFC58A"/>
    <w:rsid w:val="7FFD92B2"/>
    <w:rsid w:val="7FFEB8CE"/>
    <w:rsid w:val="A83FE958"/>
    <w:rsid w:val="B3AF63F5"/>
    <w:rsid w:val="B7CF21ED"/>
    <w:rsid w:val="BD765528"/>
    <w:rsid w:val="BEF9CA56"/>
    <w:rsid w:val="BF54D211"/>
    <w:rsid w:val="BF5FFD64"/>
    <w:rsid w:val="BF7796DB"/>
    <w:rsid w:val="BFFA6994"/>
    <w:rsid w:val="D3FAE3BD"/>
    <w:rsid w:val="D7FE7E2F"/>
    <w:rsid w:val="D9DF5F31"/>
    <w:rsid w:val="DFBE1D29"/>
    <w:rsid w:val="DFFD065F"/>
    <w:rsid w:val="EA8F3C00"/>
    <w:rsid w:val="EAF92C34"/>
    <w:rsid w:val="EE7BC86B"/>
    <w:rsid w:val="EEF7AAC5"/>
    <w:rsid w:val="EF6B79FB"/>
    <w:rsid w:val="EFDD14E6"/>
    <w:rsid w:val="EFF7C035"/>
    <w:rsid w:val="EFFD8C45"/>
    <w:rsid w:val="F0DF9C02"/>
    <w:rsid w:val="F0FCFAEA"/>
    <w:rsid w:val="F2AF1D53"/>
    <w:rsid w:val="F64F44A2"/>
    <w:rsid w:val="F7DF8D40"/>
    <w:rsid w:val="F7F535C2"/>
    <w:rsid w:val="FBAF13EC"/>
    <w:rsid w:val="FBEBE068"/>
    <w:rsid w:val="FBF6333E"/>
    <w:rsid w:val="FCFF97B7"/>
    <w:rsid w:val="FD7DA12D"/>
    <w:rsid w:val="FD97C931"/>
    <w:rsid w:val="FDDBC4FB"/>
    <w:rsid w:val="FEBF7451"/>
    <w:rsid w:val="FEDC63DE"/>
    <w:rsid w:val="FF3F0B50"/>
    <w:rsid w:val="FFC4E6D3"/>
    <w:rsid w:val="FFDBAF2C"/>
    <w:rsid w:val="FFEA007F"/>
    <w:rsid w:val="FFEAC0CA"/>
    <w:rsid w:val="FFF6331C"/>
    <w:rsid w:val="FFFE8D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4418</Words>
  <Characters>4713</Characters>
  <Lines>0</Lines>
  <Paragraphs>0</Paragraphs>
  <TotalTime>35</TotalTime>
  <ScaleCrop>false</ScaleCrop>
  <LinksUpToDate>false</LinksUpToDate>
  <CharactersWithSpaces>5298</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2016-11-07T23:35:00Z</dcterms:created>
  <dc:creator>Administrator</dc:creator>
  <cp:lastModifiedBy>spg</cp:lastModifiedBy>
  <cp:lastPrinted>2024-10-29T08:46:42Z</cp:lastPrinted>
  <dcterms:modified xsi:type="dcterms:W3CDTF">2024-10-29T09:23:35Z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8EDFE829605448488892B639093A0306</vt:lpwstr>
  </property>
</Properties>
</file>