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D6" w:rsidRPr="00315500" w:rsidRDefault="00A336D6" w:rsidP="00A336D6">
      <w:pPr>
        <w:widowControl/>
        <w:spacing w:line="480" w:lineRule="exact"/>
        <w:jc w:val="center"/>
        <w:rPr>
          <w:rFonts w:ascii="Times New Roman" w:eastAsia="黑体" w:hAnsi="Times New Roman" w:cs="黑体"/>
          <w:color w:val="000000"/>
          <w:kern w:val="0"/>
          <w:sz w:val="44"/>
          <w:szCs w:val="44"/>
          <w:shd w:val="clear" w:color="auto" w:fill="FFFFFF"/>
        </w:rPr>
      </w:pPr>
      <w:r w:rsidRPr="00315500">
        <w:rPr>
          <w:rFonts w:ascii="Times New Roman" w:eastAsia="黑体" w:hAnsi="Times New Roman" w:cs="黑体" w:hint="eastAsia"/>
          <w:color w:val="000000"/>
          <w:kern w:val="0"/>
          <w:sz w:val="44"/>
          <w:szCs w:val="44"/>
          <w:shd w:val="clear" w:color="auto" w:fill="FFFFFF"/>
        </w:rPr>
        <w:t>梅州市梅县区医疗保障局</w:t>
      </w:r>
      <w:r w:rsidR="00946728">
        <w:rPr>
          <w:rFonts w:ascii="Times New Roman" w:eastAsia="黑体" w:hAnsi="Times New Roman" w:cs="黑体" w:hint="eastAsia"/>
          <w:color w:val="000000"/>
          <w:kern w:val="0"/>
          <w:sz w:val="44"/>
          <w:szCs w:val="44"/>
          <w:shd w:val="clear" w:color="auto" w:fill="FFFFFF"/>
        </w:rPr>
        <w:t>2023</w:t>
      </w:r>
      <w:r w:rsidRPr="00315500">
        <w:rPr>
          <w:rFonts w:ascii="Times New Roman" w:eastAsia="黑体" w:hAnsi="Times New Roman" w:cs="黑体" w:hint="eastAsia"/>
          <w:color w:val="000000"/>
          <w:kern w:val="0"/>
          <w:sz w:val="44"/>
          <w:szCs w:val="44"/>
          <w:shd w:val="clear" w:color="auto" w:fill="FFFFFF"/>
        </w:rPr>
        <w:t>年政府信息</w:t>
      </w:r>
    </w:p>
    <w:p w:rsidR="00990572" w:rsidRPr="00315500" w:rsidRDefault="00A336D6" w:rsidP="00A336D6">
      <w:pPr>
        <w:widowControl/>
        <w:spacing w:line="480" w:lineRule="exact"/>
        <w:jc w:val="center"/>
        <w:rPr>
          <w:rFonts w:ascii="Times New Roman" w:eastAsia="黑体" w:hAnsi="Times New Roman" w:cs="黑体"/>
          <w:color w:val="000000"/>
          <w:kern w:val="0"/>
          <w:sz w:val="44"/>
          <w:szCs w:val="44"/>
          <w:shd w:val="clear" w:color="auto" w:fill="FFFFFF"/>
        </w:rPr>
      </w:pPr>
      <w:r w:rsidRPr="00315500">
        <w:rPr>
          <w:rFonts w:ascii="Times New Roman" w:eastAsia="黑体" w:hAnsi="Times New Roman" w:cs="黑体" w:hint="eastAsia"/>
          <w:color w:val="000000"/>
          <w:kern w:val="0"/>
          <w:sz w:val="44"/>
          <w:szCs w:val="44"/>
          <w:shd w:val="clear" w:color="auto" w:fill="FFFFFF"/>
        </w:rPr>
        <w:t>公开工作年度报告</w:t>
      </w:r>
    </w:p>
    <w:p w:rsidR="00990572" w:rsidRDefault="00990572">
      <w:pPr>
        <w:widowControl/>
        <w:spacing w:line="480" w:lineRule="exact"/>
        <w:ind w:firstLineChars="500" w:firstLine="1800"/>
        <w:rPr>
          <w:rFonts w:ascii="Times New Roman" w:eastAsia="黑体" w:hAnsi="Times New Roman" w:cs="黑体"/>
          <w:color w:val="000000"/>
          <w:kern w:val="0"/>
          <w:sz w:val="36"/>
          <w:szCs w:val="36"/>
          <w:shd w:val="clear" w:color="auto" w:fill="FFFFFF"/>
        </w:rPr>
      </w:pPr>
    </w:p>
    <w:p w:rsidR="00990572" w:rsidRDefault="00C233AB">
      <w:pPr>
        <w:widowControl/>
        <w:spacing w:line="432" w:lineRule="atLeast"/>
        <w:ind w:firstLine="480"/>
        <w:rPr>
          <w:rFonts w:ascii="文星黑体" w:eastAsia="文星黑体" w:hAnsi="宋体" w:cs="宋体"/>
          <w:kern w:val="0"/>
          <w:sz w:val="32"/>
          <w:szCs w:val="32"/>
        </w:rPr>
      </w:pPr>
      <w:r>
        <w:rPr>
          <w:rFonts w:ascii="文星黑体" w:eastAsia="文星黑体" w:hAnsi="Times New Roman" w:cs="黑体" w:hint="eastAsia"/>
          <w:color w:val="000000"/>
          <w:kern w:val="0"/>
          <w:sz w:val="32"/>
          <w:szCs w:val="32"/>
          <w:shd w:val="clear" w:color="auto" w:fill="FFFFFF"/>
        </w:rPr>
        <w:t>一、总</w:t>
      </w:r>
      <w:r>
        <w:rPr>
          <w:rFonts w:ascii="文星黑体" w:eastAsia="文星黑体" w:hAnsi="宋体" w:cs="宋体" w:hint="eastAsia"/>
          <w:bCs/>
          <w:kern w:val="0"/>
          <w:sz w:val="32"/>
          <w:szCs w:val="32"/>
        </w:rPr>
        <w:t>体情况</w:t>
      </w:r>
    </w:p>
    <w:p w:rsidR="00BF53B7" w:rsidRPr="00115313" w:rsidRDefault="00BF53B7" w:rsidP="00BF53B7">
      <w:pPr>
        <w:widowControl/>
        <w:spacing w:after="240" w:line="432" w:lineRule="atLeast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（一）主动公开方面。认真贯彻落实《中华人民共和国政府信息公开条例》、《广东省政务公开条例》和市、区相关文件精神，积极稳妥推进政府信息公开工作，着力增强行政工作透明度。202</w:t>
      </w:r>
      <w:r w:rsidR="00675A07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年通过“政府信息公开目录”网站专栏发布工作动态类信息</w:t>
      </w:r>
      <w:r w:rsidR="00AE3E5C">
        <w:rPr>
          <w:rFonts w:ascii="宋体" w:eastAsia="宋体" w:hAnsi="宋体" w:cs="宋体" w:hint="eastAsia"/>
          <w:kern w:val="0"/>
          <w:sz w:val="28"/>
          <w:szCs w:val="28"/>
        </w:rPr>
        <w:t>32</w:t>
      </w: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条，财政预决算信息</w:t>
      </w:r>
      <w:r w:rsidR="000D26F4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条，部门文件类信息</w:t>
      </w:r>
      <w:r w:rsidR="00AE3E5C">
        <w:rPr>
          <w:rFonts w:ascii="宋体" w:eastAsia="宋体" w:hAnsi="宋体" w:cs="宋体" w:hint="eastAsia"/>
          <w:kern w:val="0"/>
          <w:sz w:val="28"/>
          <w:szCs w:val="28"/>
        </w:rPr>
        <w:t>21</w:t>
      </w: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条</w:t>
      </w:r>
      <w:r w:rsidR="00F216C7">
        <w:rPr>
          <w:rFonts w:ascii="宋体" w:eastAsia="宋体" w:hAnsi="宋体" w:cs="宋体" w:hint="eastAsia"/>
          <w:kern w:val="0"/>
          <w:sz w:val="28"/>
          <w:szCs w:val="28"/>
        </w:rPr>
        <w:t>，其他类信息8条</w:t>
      </w: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BF53B7" w:rsidRPr="00115313" w:rsidRDefault="00BF53B7" w:rsidP="00BF53B7">
      <w:pPr>
        <w:widowControl/>
        <w:spacing w:after="240" w:line="432" w:lineRule="atLeast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（二）依申请公开方面。严格按照《政府信息公开条例》《广东省政府信息公开申请办理答复规范》的规定和要求，进行依申请公开事项办理。202</w:t>
      </w:r>
      <w:r w:rsidR="00F216C7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年，我局受理政府信息依申请公开0宗。</w:t>
      </w:r>
    </w:p>
    <w:p w:rsidR="00BF53B7" w:rsidRPr="00115313" w:rsidRDefault="00BF53B7" w:rsidP="00BF53B7">
      <w:pPr>
        <w:widowControl/>
        <w:spacing w:after="240" w:line="432" w:lineRule="atLeast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（三）政府信息管理方面。我局政府信息公开目录为组织机构（领导分工、机构职能）、部门文件、办事指南、工作动态、部门预决算和三公经费、其他等，依法、主动、及时、准确公开政务信息。</w:t>
      </w:r>
    </w:p>
    <w:p w:rsidR="00BF53B7" w:rsidRPr="00115313" w:rsidRDefault="00BF53B7" w:rsidP="00BF53B7">
      <w:pPr>
        <w:widowControl/>
        <w:spacing w:after="240" w:line="432" w:lineRule="atLeast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（四）平台建设方面。充分发挥区政府门户网站第一平台作用，保障平台网络安全畅通、政府信息公开栏目更新合</w:t>
      </w:r>
      <w:proofErr w:type="gramStart"/>
      <w:r w:rsidRPr="00115313">
        <w:rPr>
          <w:rFonts w:ascii="宋体" w:eastAsia="宋体" w:hAnsi="宋体" w:cs="宋体" w:hint="eastAsia"/>
          <w:kern w:val="0"/>
          <w:sz w:val="28"/>
          <w:szCs w:val="28"/>
        </w:rPr>
        <w:t>规</w:t>
      </w:r>
      <w:proofErr w:type="gramEnd"/>
      <w:r w:rsidRPr="00115313">
        <w:rPr>
          <w:rFonts w:ascii="宋体" w:eastAsia="宋体" w:hAnsi="宋体" w:cs="宋体" w:hint="eastAsia"/>
          <w:kern w:val="0"/>
          <w:sz w:val="28"/>
          <w:szCs w:val="28"/>
        </w:rPr>
        <w:t>及时。</w:t>
      </w:r>
    </w:p>
    <w:p w:rsidR="00115313" w:rsidRDefault="00BF53B7" w:rsidP="00BF53B7">
      <w:pPr>
        <w:widowControl/>
        <w:spacing w:after="240" w:line="432" w:lineRule="atLeast"/>
        <w:ind w:firstLine="480"/>
        <w:rPr>
          <w:rFonts w:ascii="宋体" w:eastAsia="宋体" w:hAnsi="宋体" w:cs="宋体"/>
          <w:kern w:val="0"/>
          <w:sz w:val="28"/>
          <w:szCs w:val="28"/>
        </w:rPr>
      </w:pP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（五）监督保障方面。</w:t>
      </w:r>
      <w:r w:rsidR="00152043" w:rsidRPr="00152043">
        <w:rPr>
          <w:rFonts w:ascii="宋体" w:eastAsia="宋体" w:hAnsi="宋体" w:cs="宋体" w:hint="eastAsia"/>
          <w:kern w:val="0"/>
          <w:sz w:val="28"/>
          <w:szCs w:val="28"/>
        </w:rPr>
        <w:t>加强政务网络平台信息发布及更新的监督审核，做到及时、准确、安全</w:t>
      </w:r>
      <w:r w:rsidRPr="00115313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990572" w:rsidRDefault="00C233AB" w:rsidP="00BF53B7">
      <w:pPr>
        <w:widowControl/>
        <w:spacing w:after="240" w:line="432" w:lineRule="atLeast"/>
        <w:ind w:firstLine="480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721"/>
        <w:gridCol w:w="1618"/>
        <w:gridCol w:w="1688"/>
      </w:tblGrid>
      <w:tr w:rsidR="00990572" w:rsidRPr="00012B09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:rsidR="00990572" w:rsidRPr="00012B09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</w:t>
            </w:r>
            <w:r w:rsidRPr="00012B09">
              <w:rPr>
                <w:rFonts w:ascii="宋体" w:eastAsia="宋体" w:hAnsi="宋体" w:cs="宋体"/>
                <w:kern w:val="0"/>
                <w:sz w:val="24"/>
                <w:szCs w:val="24"/>
              </w:rPr>
              <w:t>制</w:t>
            </w: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发件数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现行有效件数</w:t>
            </w:r>
          </w:p>
        </w:tc>
      </w:tr>
      <w:tr w:rsidR="00990572" w:rsidRPr="00012B09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842F7" w:rsidP="0028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842F7" w:rsidP="0028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842F7" w:rsidP="0028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842F7" w:rsidP="0028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842F7" w:rsidP="0028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842F7" w:rsidP="0028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trHeight w:val="480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990572" w:rsidRPr="00012B09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:rsidR="00990572" w:rsidRPr="00012B09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842F7" w:rsidP="00F819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trHeight w:val="40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990572" w:rsidRPr="00012B09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:rsidR="00990572" w:rsidRPr="00012B09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11D25" w:rsidP="00F819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90572" w:rsidRPr="00012B09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2842F7" w:rsidP="00F819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trHeight w:val="474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990572" w:rsidRPr="00012B09">
        <w:trPr>
          <w:trHeight w:val="49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990572" w:rsidRPr="00012B09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F819A6" w:rsidP="00F819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990572" w:rsidRDefault="00990572">
      <w:pPr>
        <w:widowControl/>
        <w:spacing w:after="240" w:line="432" w:lineRule="atLeast"/>
        <w:ind w:firstLineChars="200" w:firstLine="643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990572" w:rsidRDefault="00990572">
      <w:pPr>
        <w:widowControl/>
        <w:spacing w:after="240" w:line="432" w:lineRule="atLeast"/>
        <w:ind w:firstLineChars="200" w:firstLine="643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012B09" w:rsidRDefault="00012B09">
      <w:pPr>
        <w:widowControl/>
        <w:spacing w:after="240" w:line="432" w:lineRule="atLeast"/>
        <w:ind w:firstLineChars="200" w:firstLine="643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012B09" w:rsidRDefault="00012B09">
      <w:pPr>
        <w:widowControl/>
        <w:spacing w:after="240" w:line="432" w:lineRule="atLeast"/>
        <w:ind w:firstLineChars="200" w:firstLine="643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012B09" w:rsidRDefault="00012B09">
      <w:pPr>
        <w:widowControl/>
        <w:spacing w:after="240" w:line="432" w:lineRule="atLeast"/>
        <w:ind w:firstLineChars="200" w:firstLine="643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990572" w:rsidRDefault="00C233AB">
      <w:pPr>
        <w:widowControl/>
        <w:spacing w:after="240" w:line="432" w:lineRule="atLeast"/>
        <w:ind w:firstLineChars="200" w:firstLine="643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W w:w="90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193"/>
        <w:gridCol w:w="2096"/>
        <w:gridCol w:w="723"/>
        <w:gridCol w:w="703"/>
        <w:gridCol w:w="703"/>
        <w:gridCol w:w="752"/>
        <w:gridCol w:w="887"/>
        <w:gridCol w:w="665"/>
        <w:gridCol w:w="652"/>
      </w:tblGrid>
      <w:tr w:rsidR="00990572" w:rsidRPr="00012B09">
        <w:trPr>
          <w:jc w:val="center"/>
        </w:trPr>
        <w:tc>
          <w:tcPr>
            <w:tcW w:w="394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（本列数据的勾</w:t>
            </w:r>
            <w:proofErr w:type="gramStart"/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稽</w:t>
            </w:r>
            <w:proofErr w:type="gramEnd"/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关系为：第一项加第二项之和，等于第三项加第四项之和）</w:t>
            </w:r>
          </w:p>
        </w:tc>
        <w:tc>
          <w:tcPr>
            <w:tcW w:w="512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申请人情况</w:t>
            </w:r>
          </w:p>
        </w:tc>
      </w:tr>
      <w:tr w:rsidR="00990572" w:rsidRPr="00012B09">
        <w:trPr>
          <w:jc w:val="center"/>
        </w:trPr>
        <w:tc>
          <w:tcPr>
            <w:tcW w:w="3942" w:type="dxa"/>
            <w:gridSpan w:val="3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7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</w:tr>
      <w:tr w:rsidR="00990572" w:rsidRPr="00012B09">
        <w:trPr>
          <w:trHeight w:val="1105"/>
          <w:jc w:val="center"/>
        </w:trPr>
        <w:tc>
          <w:tcPr>
            <w:tcW w:w="3942" w:type="dxa"/>
            <w:gridSpan w:val="3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0572" w:rsidRPr="00012B09">
        <w:trPr>
          <w:jc w:val="center"/>
        </w:trPr>
        <w:tc>
          <w:tcPr>
            <w:tcW w:w="39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trHeight w:val="488"/>
          <w:jc w:val="center"/>
        </w:trPr>
        <w:tc>
          <w:tcPr>
            <w:tcW w:w="39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jc w:val="center"/>
        </w:trPr>
        <w:tc>
          <w:tcPr>
            <w:tcW w:w="6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jc w:val="center"/>
        </w:trPr>
        <w:tc>
          <w:tcPr>
            <w:tcW w:w="0" w:type="auto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jc w:val="center"/>
        </w:trPr>
        <w:tc>
          <w:tcPr>
            <w:tcW w:w="0" w:type="auto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jc w:val="center"/>
        </w:trPr>
        <w:tc>
          <w:tcPr>
            <w:tcW w:w="0" w:type="auto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815FA" w:rsidP="007815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</w:tr>
      <w:tr w:rsidR="00990572" w:rsidRPr="00012B09">
        <w:trPr>
          <w:jc w:val="center"/>
        </w:trPr>
        <w:tc>
          <w:tcPr>
            <w:tcW w:w="0" w:type="auto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3.危及“三安全</w:t>
            </w:r>
            <w:proofErr w:type="gramStart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稳定”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117C2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117C2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117C2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117C2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117C2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117C2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7117C2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Calibri" w:eastAsia="宋体" w:hAnsi="Calibri" w:cs="宋体"/>
                <w:kern w:val="0"/>
                <w:sz w:val="24"/>
                <w:szCs w:val="24"/>
              </w:rPr>
              <w:t>0</w:t>
            </w:r>
          </w:p>
        </w:tc>
      </w:tr>
      <w:tr w:rsidR="007117C2" w:rsidRPr="00012B09" w:rsidTr="00620F1F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620F1F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620F1F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（五）</w:t>
            </w:r>
            <w:proofErr w:type="gramStart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不</w:t>
            </w: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予处理</w:t>
            </w:r>
            <w:proofErr w:type="gramEnd"/>
          </w:p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（五）</w:t>
            </w:r>
            <w:proofErr w:type="gramStart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不予处理</w:t>
            </w:r>
            <w:proofErr w:type="gram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1.信访举报投诉类申请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trHeight w:val="493"/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trHeight w:val="928"/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1.申请人无正当理由逾期</w:t>
            </w:r>
            <w:proofErr w:type="gramStart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补正、行政机关</w:t>
            </w:r>
            <w:proofErr w:type="gramStart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再处理其政府信息公开申请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2.申请逾期未</w:t>
            </w:r>
            <w:proofErr w:type="gramStart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按接疏通知要求</w:t>
            </w:r>
            <w:proofErr w:type="gramEnd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不缴纳费用行政机关</w:t>
            </w:r>
            <w:proofErr w:type="gramStart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再处理其政府信息公开申请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3.其他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0" w:type="auto"/>
            <w:vMerge/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B64B17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  <w:tr w:rsidR="007117C2" w:rsidRPr="00012B09" w:rsidTr="00161FAA">
        <w:trPr>
          <w:jc w:val="center"/>
        </w:trPr>
        <w:tc>
          <w:tcPr>
            <w:tcW w:w="39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B64B17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C2" w:rsidRPr="00012B09" w:rsidRDefault="007117C2" w:rsidP="007117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</w:tbl>
    <w:p w:rsidR="00990572" w:rsidRDefault="00C233AB">
      <w:pPr>
        <w:widowControl/>
        <w:spacing w:line="432" w:lineRule="atLeast"/>
        <w:ind w:firstLineChars="200" w:firstLine="643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990572" w:rsidRPr="00012B09">
        <w:trPr>
          <w:trHeight w:val="486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行政诉讼</w:t>
            </w:r>
          </w:p>
        </w:tc>
      </w:tr>
      <w:tr w:rsidR="00990572" w:rsidRPr="00012B09">
        <w:trPr>
          <w:trHeight w:val="564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复议后起诉</w:t>
            </w:r>
          </w:p>
        </w:tc>
      </w:tr>
      <w:tr w:rsidR="00990572" w:rsidRPr="00012B0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572" w:rsidRPr="00012B09" w:rsidRDefault="009905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572" w:rsidRPr="00012B09" w:rsidRDefault="00C233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7117C2" w:rsidRPr="00012B09" w:rsidTr="006C70DA">
        <w:trPr>
          <w:trHeight w:val="532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2" w:rsidRPr="00012B09" w:rsidRDefault="007117C2" w:rsidP="007117C2">
            <w:pPr>
              <w:jc w:val="center"/>
              <w:rPr>
                <w:sz w:val="24"/>
                <w:szCs w:val="24"/>
              </w:rPr>
            </w:pPr>
            <w:r w:rsidRPr="00012B09">
              <w:rPr>
                <w:sz w:val="24"/>
                <w:szCs w:val="24"/>
              </w:rPr>
              <w:t>0</w:t>
            </w:r>
          </w:p>
        </w:tc>
      </w:tr>
    </w:tbl>
    <w:p w:rsidR="00990572" w:rsidRDefault="00C233AB">
      <w:pPr>
        <w:widowControl/>
        <w:spacing w:line="432" w:lineRule="atLeast"/>
        <w:ind w:firstLineChars="200" w:firstLine="640"/>
        <w:rPr>
          <w:rFonts w:ascii="文星黑体" w:eastAsia="文星黑体" w:hAnsi="宋体" w:cs="宋体"/>
          <w:kern w:val="0"/>
          <w:sz w:val="32"/>
          <w:szCs w:val="32"/>
        </w:rPr>
      </w:pPr>
      <w:r>
        <w:rPr>
          <w:rFonts w:ascii="文星黑体" w:eastAsia="文星黑体" w:hAnsi="Times New Roman" w:cs="黑体" w:hint="eastAsia"/>
          <w:bCs/>
          <w:color w:val="000000"/>
          <w:kern w:val="0"/>
          <w:sz w:val="32"/>
          <w:szCs w:val="32"/>
          <w:shd w:val="clear" w:color="auto" w:fill="FFFFFF"/>
        </w:rPr>
        <w:t>五、</w:t>
      </w:r>
      <w:r>
        <w:rPr>
          <w:rFonts w:ascii="文星黑体" w:eastAsia="文星黑体" w:hAnsi="Calibri" w:cs="Times New Roman" w:hint="eastAsia"/>
          <w:color w:val="000000"/>
          <w:sz w:val="32"/>
          <w:szCs w:val="32"/>
        </w:rPr>
        <w:t>存在的主要问题及改进情况</w:t>
      </w:r>
    </w:p>
    <w:p w:rsidR="007117C2" w:rsidRDefault="00EF0AA8">
      <w:pPr>
        <w:widowControl/>
        <w:spacing w:line="432" w:lineRule="atLeas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EF0AA8">
        <w:rPr>
          <w:rFonts w:ascii="宋体" w:eastAsia="宋体" w:hAnsi="宋体" w:cs="宋体" w:hint="eastAsia"/>
          <w:kern w:val="0"/>
          <w:sz w:val="32"/>
          <w:szCs w:val="32"/>
        </w:rPr>
        <w:t>（一）存在问题：</w:t>
      </w:r>
      <w:r w:rsidR="00944E7E">
        <w:rPr>
          <w:rFonts w:ascii="宋体" w:eastAsia="宋体" w:hAnsi="宋体" w:cs="宋体" w:hint="eastAsia"/>
          <w:kern w:val="0"/>
          <w:sz w:val="32"/>
          <w:szCs w:val="32"/>
        </w:rPr>
        <w:t>一是公开内容</w:t>
      </w:r>
      <w:r w:rsidR="00FA1797" w:rsidRPr="00FA1797">
        <w:rPr>
          <w:rFonts w:ascii="宋体" w:eastAsia="宋体" w:hAnsi="宋体" w:cs="宋体" w:hint="eastAsia"/>
          <w:kern w:val="0"/>
          <w:sz w:val="32"/>
          <w:szCs w:val="32"/>
        </w:rPr>
        <w:t>不够丰富</w:t>
      </w:r>
      <w:r w:rsidR="00211D25">
        <w:rPr>
          <w:rFonts w:ascii="宋体" w:eastAsia="宋体" w:hAnsi="宋体" w:cs="宋体" w:hint="eastAsia"/>
          <w:kern w:val="0"/>
          <w:sz w:val="32"/>
          <w:szCs w:val="32"/>
        </w:rPr>
        <w:t>；二</w:t>
      </w:r>
      <w:r w:rsidR="00944E7E">
        <w:rPr>
          <w:rFonts w:ascii="宋体" w:eastAsia="宋体" w:hAnsi="宋体" w:cs="宋体" w:hint="eastAsia"/>
          <w:kern w:val="0"/>
          <w:sz w:val="32"/>
          <w:szCs w:val="32"/>
        </w:rPr>
        <w:t>是</w:t>
      </w:r>
      <w:r w:rsidR="00944E7E">
        <w:rPr>
          <w:rFonts w:hint="eastAsia"/>
          <w:color w:val="424242"/>
          <w:sz w:val="32"/>
          <w:szCs w:val="32"/>
          <w:shd w:val="clear" w:color="auto" w:fill="FFFFFF"/>
        </w:rPr>
        <w:t>工作人员的</w:t>
      </w:r>
      <w:r w:rsidR="00B930D7">
        <w:rPr>
          <w:rFonts w:hint="eastAsia"/>
          <w:color w:val="424242"/>
          <w:sz w:val="32"/>
          <w:szCs w:val="32"/>
          <w:shd w:val="clear" w:color="auto" w:fill="FFFFFF"/>
        </w:rPr>
        <w:t>政府</w:t>
      </w:r>
      <w:r w:rsidR="00944E7E">
        <w:rPr>
          <w:rFonts w:hint="eastAsia"/>
          <w:color w:val="424242"/>
          <w:sz w:val="32"/>
          <w:szCs w:val="32"/>
          <w:shd w:val="clear" w:color="auto" w:fill="FFFFFF"/>
        </w:rPr>
        <w:t>信息公开意识有待进一步提高</w:t>
      </w:r>
      <w:r w:rsidR="00FA1797">
        <w:rPr>
          <w:rFonts w:ascii="宋体" w:eastAsia="宋体" w:hAnsi="宋体" w:cs="宋体" w:hint="eastAsia"/>
          <w:kern w:val="0"/>
          <w:sz w:val="32"/>
          <w:szCs w:val="32"/>
        </w:rPr>
        <w:t>等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EF0AA8" w:rsidRDefault="00EF0AA8">
      <w:pPr>
        <w:widowControl/>
        <w:spacing w:line="432" w:lineRule="atLeas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EF0AA8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（二）改进措施：</w:t>
      </w:r>
      <w:r>
        <w:rPr>
          <w:rFonts w:ascii="宋体" w:eastAsia="宋体" w:hAnsi="宋体" w:cs="宋体" w:hint="eastAsia"/>
          <w:kern w:val="0"/>
          <w:sz w:val="32"/>
          <w:szCs w:val="32"/>
        </w:rPr>
        <w:t>一是</w:t>
      </w:r>
      <w:r w:rsidR="00211D25">
        <w:rPr>
          <w:rFonts w:ascii="宋体" w:eastAsia="宋体" w:hAnsi="宋体" w:cs="宋体" w:hint="eastAsia"/>
          <w:kern w:val="0"/>
          <w:sz w:val="32"/>
          <w:szCs w:val="32"/>
        </w:rPr>
        <w:t>严格按照政务公开工作的要求，进一步丰富政府信息公开内容，做到应公开尽公开</w:t>
      </w:r>
      <w:r>
        <w:rPr>
          <w:rFonts w:ascii="宋体" w:eastAsia="宋体" w:hAnsi="宋体" w:cs="宋体" w:hint="eastAsia"/>
          <w:kern w:val="0"/>
          <w:sz w:val="32"/>
          <w:szCs w:val="32"/>
        </w:rPr>
        <w:t>；二是</w:t>
      </w:r>
      <w:r w:rsidR="00B930D7" w:rsidRPr="00B930D7">
        <w:rPr>
          <w:rFonts w:ascii="宋体" w:eastAsia="宋体" w:hAnsi="宋体" w:cs="宋体" w:hint="eastAsia"/>
          <w:kern w:val="0"/>
          <w:sz w:val="32"/>
          <w:szCs w:val="32"/>
        </w:rPr>
        <w:t>加强</w:t>
      </w:r>
      <w:r w:rsidR="00211D25">
        <w:rPr>
          <w:rFonts w:ascii="宋体" w:eastAsia="宋体" w:hAnsi="宋体" w:cs="宋体" w:hint="eastAsia"/>
          <w:kern w:val="0"/>
          <w:sz w:val="32"/>
          <w:szCs w:val="32"/>
        </w:rPr>
        <w:t>本局工作人员的政府信息公开意识。</w:t>
      </w:r>
      <w:bookmarkStart w:id="0" w:name="_GoBack"/>
      <w:bookmarkEnd w:id="0"/>
    </w:p>
    <w:p w:rsidR="00990572" w:rsidRDefault="00C233AB">
      <w:pPr>
        <w:widowControl/>
        <w:spacing w:line="432" w:lineRule="atLeast"/>
        <w:ind w:firstLineChars="200" w:firstLine="640"/>
        <w:rPr>
          <w:rFonts w:ascii="文星黑体" w:eastAsia="文星黑体" w:hAnsi="Times New Roman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文星黑体" w:eastAsia="文星黑体" w:hAnsi="Times New Roman" w:cs="黑体" w:hint="eastAsia"/>
          <w:bCs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 w:rsidR="00990572" w:rsidRPr="00C61B1C" w:rsidRDefault="00EF0AA8" w:rsidP="00C61B1C">
      <w:pPr>
        <w:spacing w:line="500" w:lineRule="exact"/>
        <w:ind w:left="720"/>
        <w:rPr>
          <w:rFonts w:ascii="文星黑体" w:eastAsia="文星黑体" w:hAnsi="仿宋" w:cs="仿宋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无。</w:t>
      </w:r>
    </w:p>
    <w:sectPr w:rsidR="00990572" w:rsidRPr="00C61B1C" w:rsidSect="00040DC9">
      <w:footerReference w:type="default" r:id="rId9"/>
      <w:pgSz w:w="11906" w:h="16838"/>
      <w:pgMar w:top="2155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FB" w:rsidRDefault="00D73EFB">
      <w:r>
        <w:separator/>
      </w:r>
    </w:p>
  </w:endnote>
  <w:endnote w:type="continuationSeparator" w:id="0">
    <w:p w:rsidR="00D73EFB" w:rsidRDefault="00D7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黑体">
    <w:altName w:val="黑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8144"/>
    </w:sdtPr>
    <w:sdtEndPr>
      <w:rPr>
        <w:sz w:val="24"/>
        <w:szCs w:val="24"/>
      </w:rPr>
    </w:sdtEndPr>
    <w:sdtContent>
      <w:p w:rsidR="00990572" w:rsidRDefault="00040DC9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C233AB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211D25" w:rsidRPr="00211D25">
          <w:rPr>
            <w:noProof/>
            <w:sz w:val="24"/>
            <w:szCs w:val="24"/>
            <w:lang w:val="zh-CN"/>
          </w:rPr>
          <w:t>-</w:t>
        </w:r>
        <w:r w:rsidR="00211D25">
          <w:rPr>
            <w:noProof/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  <w:p w:rsidR="00990572" w:rsidRDefault="009905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FB" w:rsidRDefault="00D73EFB">
      <w:r>
        <w:separator/>
      </w:r>
    </w:p>
  </w:footnote>
  <w:footnote w:type="continuationSeparator" w:id="0">
    <w:p w:rsidR="00D73EFB" w:rsidRDefault="00D73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ED3"/>
    <w:rsid w:val="00012B09"/>
    <w:rsid w:val="00040DC9"/>
    <w:rsid w:val="000C3133"/>
    <w:rsid w:val="000D26F4"/>
    <w:rsid w:val="000F741D"/>
    <w:rsid w:val="00100C5F"/>
    <w:rsid w:val="00106C98"/>
    <w:rsid w:val="00115313"/>
    <w:rsid w:val="00152043"/>
    <w:rsid w:val="00164DEE"/>
    <w:rsid w:val="00190659"/>
    <w:rsid w:val="001C25E2"/>
    <w:rsid w:val="00211D25"/>
    <w:rsid w:val="002842F7"/>
    <w:rsid w:val="002D040F"/>
    <w:rsid w:val="00315500"/>
    <w:rsid w:val="00367D86"/>
    <w:rsid w:val="003B4D02"/>
    <w:rsid w:val="003C2104"/>
    <w:rsid w:val="003D474D"/>
    <w:rsid w:val="00400F7F"/>
    <w:rsid w:val="00436147"/>
    <w:rsid w:val="00453904"/>
    <w:rsid w:val="00675A07"/>
    <w:rsid w:val="006A248E"/>
    <w:rsid w:val="007117C2"/>
    <w:rsid w:val="0077500A"/>
    <w:rsid w:val="007815FA"/>
    <w:rsid w:val="00795E6A"/>
    <w:rsid w:val="007B1412"/>
    <w:rsid w:val="007C4ED3"/>
    <w:rsid w:val="007F7257"/>
    <w:rsid w:val="00853146"/>
    <w:rsid w:val="0087275C"/>
    <w:rsid w:val="0093026C"/>
    <w:rsid w:val="00944E7E"/>
    <w:rsid w:val="00946728"/>
    <w:rsid w:val="009552A4"/>
    <w:rsid w:val="00990572"/>
    <w:rsid w:val="009C2E45"/>
    <w:rsid w:val="00A336D6"/>
    <w:rsid w:val="00A57407"/>
    <w:rsid w:val="00A64778"/>
    <w:rsid w:val="00AB2DDE"/>
    <w:rsid w:val="00AE3E5C"/>
    <w:rsid w:val="00B64B17"/>
    <w:rsid w:val="00B930D7"/>
    <w:rsid w:val="00BF53B7"/>
    <w:rsid w:val="00C233AB"/>
    <w:rsid w:val="00C25E0E"/>
    <w:rsid w:val="00C41195"/>
    <w:rsid w:val="00C54786"/>
    <w:rsid w:val="00C61B1C"/>
    <w:rsid w:val="00C67F47"/>
    <w:rsid w:val="00CF0F80"/>
    <w:rsid w:val="00D5215D"/>
    <w:rsid w:val="00D73EFB"/>
    <w:rsid w:val="00E15145"/>
    <w:rsid w:val="00EF0AA8"/>
    <w:rsid w:val="00F216C7"/>
    <w:rsid w:val="00F819A6"/>
    <w:rsid w:val="00FA1797"/>
    <w:rsid w:val="00FE4652"/>
    <w:rsid w:val="00FF583B"/>
    <w:rsid w:val="00FF7F32"/>
    <w:rsid w:val="40451600"/>
    <w:rsid w:val="43B2195F"/>
    <w:rsid w:val="590E0A4E"/>
    <w:rsid w:val="7CE3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40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40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0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40D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40DC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40D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40D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99E5B-0C37-41E2-8A4F-C032E8F4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283</Words>
  <Characters>1616</Characters>
  <Application>Microsoft Office Word</Application>
  <DocSecurity>0</DocSecurity>
  <Lines>13</Lines>
  <Paragraphs>3</Paragraphs>
  <ScaleCrop>false</ScaleCrop>
  <Company>P R C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Chinese User</cp:lastModifiedBy>
  <cp:revision>29</cp:revision>
  <cp:lastPrinted>2021-11-09T09:02:00Z</cp:lastPrinted>
  <dcterms:created xsi:type="dcterms:W3CDTF">2022-01-04T00:48:00Z</dcterms:created>
  <dcterms:modified xsi:type="dcterms:W3CDTF">2024-01-05T07:01:00Z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F9321F2BCCC746649E26C733350DFB15</vt:lpwstr>
  </property>
</Properties>
</file>