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楷体_GB2312" w:hAnsi="楷体_GB2312" w:eastAsia="楷体_GB2312" w:cs="楷体_GB2312"/>
          <w:b/>
          <w:bCs/>
          <w:kern w:val="0"/>
          <w:sz w:val="32"/>
          <w:szCs w:val="32"/>
          <w:lang w:val="en-US" w:eastAsia="zh-CN"/>
        </w:rPr>
      </w:pPr>
      <w:bookmarkStart w:id="0" w:name="OLE_LINK1"/>
      <w:r>
        <w:rPr>
          <w:rFonts w:hint="eastAsia" w:ascii="楷体_GB2312" w:hAnsi="楷体_GB2312" w:eastAsia="楷体_GB2312" w:cs="楷体_GB2312"/>
          <w:b/>
          <w:bCs/>
          <w:kern w:val="0"/>
          <w:sz w:val="32"/>
          <w:szCs w:val="32"/>
          <w:lang w:val="en-US" w:eastAsia="zh-CN"/>
        </w:rPr>
        <w:t>附件2</w:t>
      </w:r>
      <w:bookmarkStart w:id="3" w:name="_GoBack"/>
      <w:bookmarkEnd w:id="3"/>
    </w:p>
    <w:p>
      <w:pPr>
        <w:adjustRightInd w:val="0"/>
        <w:snapToGrid w:val="0"/>
        <w:spacing w:line="360" w:lineRule="auto"/>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GF-202</w:t>
      </w:r>
      <w:r>
        <w:rPr>
          <w:rFonts w:ascii="楷体_GB2312" w:hAnsi="楷体_GB2312" w:eastAsia="楷体_GB2312" w:cs="楷体_GB2312"/>
          <w:b/>
          <w:bCs/>
          <w:kern w:val="0"/>
          <w:sz w:val="32"/>
          <w:szCs w:val="32"/>
        </w:rPr>
        <w:t>1</w:t>
      </w:r>
      <w:r>
        <w:rPr>
          <w:rFonts w:hint="eastAsia" w:ascii="楷体_GB2312" w:hAnsi="楷体_GB2312" w:eastAsia="楷体_GB2312" w:cs="楷体_GB2312"/>
          <w:b/>
          <w:bCs/>
          <w:kern w:val="0"/>
          <w:sz w:val="32"/>
          <w:szCs w:val="32"/>
        </w:rPr>
        <w:t>-</w:t>
      </w:r>
      <w:r>
        <w:rPr>
          <w:rFonts w:ascii="楷体_GB2312" w:hAnsi="楷体_GB2312" w:eastAsia="楷体_GB2312" w:cs="楷体_GB2312"/>
          <w:b/>
          <w:bCs/>
          <w:kern w:val="0"/>
          <w:sz w:val="32"/>
          <w:szCs w:val="32"/>
        </w:rPr>
        <w:t>2604</w:t>
      </w:r>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（示范文本）</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（2</w:t>
      </w:r>
      <w:r>
        <w:rPr>
          <w:rFonts w:ascii="宋体" w:hAnsi="宋体" w:eastAsia="宋体" w:cs="Times New Roman"/>
          <w:b/>
          <w:bCs/>
          <w:sz w:val="44"/>
          <w:szCs w:val="44"/>
        </w:rPr>
        <w:t>021</w:t>
      </w:r>
      <w:r>
        <w:rPr>
          <w:rFonts w:hint="eastAsia" w:ascii="宋体" w:hAnsi="宋体" w:eastAsia="宋体" w:cs="Times New Roman"/>
          <w:b/>
          <w:bCs/>
          <w:sz w:val="44"/>
          <w:szCs w:val="44"/>
        </w:rPr>
        <w:t>年修订版）</w:t>
      </w:r>
    </w:p>
    <w:bookmarkEnd w:id="0"/>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ind w:firstLine="2530" w:firstLineChars="900"/>
        <w:rPr>
          <w:rFonts w:ascii="仿宋_GB2312" w:hAnsi="Calibri" w:eastAsia="华文中宋" w:cs="Times New Roman"/>
          <w:b/>
          <w:bCs/>
          <w:sz w:val="28"/>
          <w:szCs w:val="24"/>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制定部门：[教育部 市场监管总局]</w:t>
      </w:r>
    </w:p>
    <w:p>
      <w:pPr>
        <w:spacing w:line="420" w:lineRule="exact"/>
        <w:jc w:val="center"/>
        <w:rPr>
          <w:rFonts w:hint="eastAsia" w:ascii="楷体_GB2312" w:hAnsi="宋体" w:eastAsia="楷体_GB2312" w:cs="Times New Roman"/>
          <w:b/>
          <w:bCs/>
          <w:sz w:val="36"/>
          <w:szCs w:val="24"/>
        </w:rPr>
      </w:pPr>
    </w:p>
    <w:p>
      <w:pPr>
        <w:spacing w:line="420" w:lineRule="exact"/>
        <w:jc w:val="center"/>
        <w:rPr>
          <w:rFonts w:hint="eastAsia" w:ascii="楷体_GB2312" w:hAnsi="宋体" w:eastAsia="楷体_GB2312" w:cs="Times New Roman"/>
          <w:b/>
          <w:bCs/>
          <w:sz w:val="36"/>
          <w:szCs w:val="24"/>
        </w:rPr>
      </w:pPr>
    </w:p>
    <w:p>
      <w:pPr>
        <w:spacing w:line="420" w:lineRule="exact"/>
        <w:jc w:val="center"/>
        <w:rPr>
          <w:rFonts w:ascii="仿宋_GB2312" w:hAnsi="宋体" w:eastAsia="仿宋_GB2312" w:cs="Times New Roman"/>
          <w:sz w:val="28"/>
          <w:szCs w:val="28"/>
        </w:rPr>
      </w:pPr>
      <w:r>
        <w:rPr>
          <w:rFonts w:hint="eastAsia" w:ascii="楷体_GB2312" w:hAnsi="宋体" w:eastAsia="楷体_GB2312" w:cs="Times New Roman"/>
          <w:b/>
          <w:bCs/>
          <w:sz w:val="36"/>
          <w:szCs w:val="24"/>
        </w:rPr>
        <w:t>使用说明</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本合同文本所称校外培训机构是指，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六、本合同适用受培训者（学员）一般为在校的中小学生（含3至6岁学龄前儿童）。</w:t>
      </w:r>
    </w:p>
    <w:p>
      <w:pPr>
        <w:spacing w:line="420" w:lineRule="exact"/>
        <w:jc w:val="both"/>
        <w:rPr>
          <w:rFonts w:hint="eastAsia" w:ascii="楷体_GB2312" w:hAnsi="宋体" w:eastAsia="楷体_GB2312" w:cs="Times New Roman"/>
          <w:b/>
          <w:bCs/>
          <w:sz w:val="36"/>
          <w:szCs w:val="24"/>
        </w:rPr>
      </w:pPr>
    </w:p>
    <w:p>
      <w:pPr>
        <w:spacing w:line="420" w:lineRule="exact"/>
        <w:jc w:val="center"/>
        <w:rPr>
          <w:rFonts w:hint="eastAsia" w:ascii="楷体_GB2312" w:hAnsi="宋体" w:eastAsia="楷体_GB2312" w:cs="Times New Roman"/>
          <w:b/>
          <w:bCs/>
          <w:sz w:val="36"/>
          <w:szCs w:val="24"/>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特别提示</w:t>
      </w:r>
    </w:p>
    <w:p>
      <w:pPr>
        <w:spacing w:line="420" w:lineRule="exact"/>
        <w:rPr>
          <w:rFonts w:ascii="楷体_GB2312" w:hAnsi="宋体" w:eastAsia="楷体_GB2312" w:cs="Times New Roman"/>
          <w:b/>
          <w:bCs/>
          <w:sz w:val="36"/>
          <w:szCs w:val="24"/>
        </w:rPr>
      </w:pPr>
    </w:p>
    <w:p>
      <w:pPr>
        <w:spacing w:line="600" w:lineRule="exact"/>
        <w:ind w:firstLine="640" w:firstLineChars="200"/>
        <w:rPr>
          <w:rFonts w:ascii="仿宋_GB2312" w:hAnsi="微软雅黑" w:eastAsia="仿宋_GB2312" w:cs="宋体"/>
          <w:kern w:val="0"/>
          <w:sz w:val="32"/>
          <w:szCs w:val="32"/>
        </w:rPr>
      </w:pPr>
      <w:bookmarkStart w:id="1" w:name="_Hlk83287263"/>
      <w:r>
        <w:rPr>
          <w:rFonts w:hint="eastAsia" w:ascii="仿宋_GB2312" w:hAnsi="微软雅黑" w:eastAsia="仿宋_GB2312" w:cs="宋体"/>
          <w:kern w:val="0"/>
          <w:sz w:val="32"/>
          <w:szCs w:val="32"/>
        </w:rPr>
        <w:t>一、仅持线上培训许可的培训机构不得开展线下培训，仅持线下培训许可的培训机构不得开展线上培训，学科类培训机构未经许可不得开展非学科类培训。</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培训机构不得使用培训贷方式收取费用，预收费须</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全部进入培训机构收费专用账户，并根据属地监管部门要求，通过银行托管或风险保证金方式全额纳入监管范围。</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面向义务教育阶段的学科类校外培训</w:t>
      </w:r>
      <w:r>
        <w:rPr>
          <w:rFonts w:hint="eastAsia" w:ascii="仿宋_GB2312" w:hAnsi="微软雅黑" w:eastAsia="仿宋_GB2312" w:cs="宋体"/>
          <w:spacing w:val="-12"/>
          <w:kern w:val="0"/>
          <w:sz w:val="32"/>
          <w:szCs w:val="32"/>
        </w:rPr>
        <w:t>收费依法实行</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政府指导价管理，培训机构在政府制定的基准收费标准和浮动幅度内，确定具体收费标准。</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培训机构培训时间不得和接受培训方</w:t>
      </w:r>
      <w:r>
        <w:rPr>
          <w:rFonts w:hint="eastAsia" w:ascii="仿宋_GB2312" w:hAnsi="微软雅黑" w:eastAsia="仿宋_GB2312" w:cs="宋体"/>
          <w:spacing w:val="-10"/>
          <w:kern w:val="0"/>
          <w:sz w:val="32"/>
          <w:szCs w:val="32"/>
        </w:rPr>
        <w:t>当地中小学校</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教学时间相冲突，培训结束时间线下不得晚于</w:t>
      </w:r>
      <w:r>
        <w:rPr>
          <w:rFonts w:ascii="仿宋_GB2312" w:hAnsi="微软雅黑" w:eastAsia="仿宋_GB2312" w:cs="宋体"/>
          <w:kern w:val="0"/>
          <w:sz w:val="32"/>
          <w:szCs w:val="32"/>
        </w:rPr>
        <w:t>20:30</w:t>
      </w:r>
      <w:r>
        <w:rPr>
          <w:rFonts w:hint="eastAsia" w:ascii="仿宋_GB2312" w:hAnsi="微软雅黑" w:eastAsia="仿宋_GB2312" w:cs="宋体"/>
          <w:kern w:val="0"/>
          <w:sz w:val="32"/>
          <w:szCs w:val="32"/>
        </w:rPr>
        <w:t>，线上不得晚于</w:t>
      </w:r>
      <w:r>
        <w:rPr>
          <w:rFonts w:ascii="仿宋_GB2312" w:hAnsi="微软雅黑" w:eastAsia="仿宋_GB2312" w:cs="宋体"/>
          <w:kern w:val="0"/>
          <w:sz w:val="32"/>
          <w:szCs w:val="32"/>
        </w:rPr>
        <w:t>21:00</w:t>
      </w:r>
      <w:r>
        <w:rPr>
          <w:rFonts w:hint="eastAsia" w:ascii="仿宋_GB2312" w:hAnsi="微软雅黑" w:eastAsia="仿宋_GB2312" w:cs="宋体"/>
          <w:kern w:val="0"/>
          <w:sz w:val="32"/>
          <w:szCs w:val="32"/>
        </w:rPr>
        <w:t>，且不得留作业。线上培训机构每课时不超过</w:t>
      </w: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分钟，课程间隔不少于</w:t>
      </w:r>
      <w:r>
        <w:rPr>
          <w:rFonts w:ascii="仿宋_GB2312" w:hAnsi="微软雅黑" w:eastAsia="仿宋_GB2312" w:cs="宋体"/>
          <w:kern w:val="0"/>
          <w:sz w:val="32"/>
          <w:szCs w:val="32"/>
        </w:rPr>
        <w:t>10</w:t>
      </w:r>
      <w:r>
        <w:rPr>
          <w:rFonts w:hint="eastAsia" w:ascii="仿宋_GB2312" w:hAnsi="微软雅黑" w:eastAsia="仿宋_GB2312" w:cs="宋体"/>
          <w:kern w:val="0"/>
          <w:sz w:val="32"/>
          <w:szCs w:val="32"/>
        </w:rPr>
        <w:t>分钟。</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学科类培训机构不得超标超前开展培训，严禁占用</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国家法定节假日、休息日及寒暑假期组织培训。</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培训机构培训内容应符合党的教育方针，坚持社会</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主义办学方向，落实立德树人根本任务，遵循学生身心发展特点以及教育教学规律，价值导向正确。</w:t>
      </w:r>
    </w:p>
    <w:p>
      <w:pPr>
        <w:pStyle w:val="9"/>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培训机构严禁提供境外教育课程</w:t>
      </w:r>
      <w:r>
        <w:rPr>
          <w:rFonts w:ascii="仿宋_GB2312" w:hAnsi="微软雅黑" w:eastAsia="仿宋_GB2312" w:cs="宋体"/>
          <w:kern w:val="0"/>
          <w:sz w:val="32"/>
          <w:szCs w:val="32"/>
        </w:rPr>
        <w:t>;培训材料管理工</w:t>
      </w:r>
    </w:p>
    <w:p>
      <w:pPr>
        <w:rPr>
          <w:rFonts w:ascii="仿宋_GB2312" w:hAnsi="微软雅黑" w:eastAsia="仿宋_GB2312" w:cs="宋体"/>
          <w:kern w:val="0"/>
          <w:sz w:val="32"/>
          <w:szCs w:val="32"/>
        </w:rPr>
      </w:pPr>
      <w:r>
        <w:rPr>
          <w:rFonts w:ascii="仿宋_GB2312" w:hAnsi="微软雅黑" w:eastAsia="仿宋_GB2312" w:cs="宋体"/>
          <w:kern w:val="0"/>
          <w:sz w:val="32"/>
          <w:szCs w:val="32"/>
        </w:rPr>
        <w:t>作，遵照《校外培训机构培训材料管理办法（试行）》执行。</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线上培训机构不得提供和传播“拍照搜题”等惰化</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学生思维能力、影响学生独立思考、违背教育教学规律的不良学习方法。</w:t>
      </w:r>
    </w:p>
    <w:p>
      <w:pPr>
        <w:numPr>
          <w:ilvl w:val="0"/>
          <w:numId w:val="1"/>
        </w:numPr>
        <w:rPr>
          <w:rFonts w:ascii="仿宋_GB2312" w:hAnsi="微软雅黑" w:eastAsia="仿宋_GB2312" w:cs="宋体"/>
          <w:kern w:val="0"/>
          <w:sz w:val="32"/>
          <w:szCs w:val="32"/>
        </w:rPr>
      </w:pPr>
      <w:r>
        <w:rPr>
          <w:rFonts w:hint="eastAsia" w:ascii="仿宋_GB2312" w:hAnsi="微软雅黑" w:eastAsia="仿宋_GB2312" w:cs="宋体"/>
          <w:kern w:val="0"/>
          <w:sz w:val="32"/>
          <w:szCs w:val="32"/>
        </w:rPr>
        <w:t>从事学科类培训的教学、教研人员必须具备相应教</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师资格，并将教师资格信息在培训机构场所及网站显著位置公布；培训机构聘请在境内的外籍人员要符合国家有关规定，严禁聘请在境外的外籍人员开展培训活动。</w:t>
      </w:r>
    </w:p>
    <w:p>
      <w:pPr>
        <w:pStyle w:val="9"/>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培训机构开展宣传活动须依法依规，不得随意夸大</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培训效果、误导公众教育观念、制造家长焦虑，</w:t>
      </w:r>
      <w:r>
        <w:rPr>
          <w:rFonts w:hint="eastAsia" w:ascii="仿宋_GB2312" w:hAnsi="仿宋_GB2312" w:eastAsia="仿宋_GB2312" w:cs="仿宋_GB2312"/>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color w:val="FF0000"/>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60" w:lineRule="exact"/>
        <w:rPr>
          <w:rFonts w:ascii="方正小标宋简体" w:hAnsi="黑体" w:eastAsia="方正小标宋简体" w:cs="宋体"/>
          <w:kern w:val="0"/>
          <w:sz w:val="44"/>
          <w:szCs w:val="44"/>
        </w:rPr>
      </w:pPr>
    </w:p>
    <w:p>
      <w:pPr>
        <w:adjustRightInd w:val="0"/>
        <w:snapToGrid w:val="0"/>
        <w:spacing w:line="56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60" w:lineRule="exact"/>
        <w:rPr>
          <w:rFonts w:ascii="仿宋_GB2312" w:hAnsi="微软雅黑" w:eastAsia="仿宋_GB2312" w:cs="宋体"/>
          <w:b/>
          <w:kern w:val="0"/>
          <w:sz w:val="30"/>
          <w:szCs w:val="30"/>
        </w:rPr>
      </w:pP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机构名称（与民非登记证/营业执照或办学许可证一致）：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办学地址：</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日</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日 </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numPr>
          <w:ilvl w:val="0"/>
          <w:numId w:val="2"/>
        </w:numPr>
        <w:adjustRightInd w:val="0"/>
        <w:snapToGrid w:val="0"/>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培训服务</w:t>
      </w:r>
    </w:p>
    <w:p>
      <w:pPr>
        <w:adjustRightInd w:val="0"/>
        <w:snapToGrid w:val="0"/>
        <w:spacing w:line="560" w:lineRule="exact"/>
        <w:ind w:left="640"/>
        <w:rPr>
          <w:rFonts w:ascii="Segoe UI Symbol" w:hAnsi="Segoe UI Symbol" w:eastAsia="仿宋_GB2312" w:cs="Segoe UI Symbol"/>
          <w:kern w:val="0"/>
          <w:sz w:val="32"/>
          <w:szCs w:val="32"/>
        </w:rPr>
      </w:pPr>
      <w:r>
        <w:rPr>
          <w:rFonts w:hint="eastAsia" w:ascii="仿宋_GB2312" w:hAnsi="微软雅黑" w:eastAsia="仿宋_GB2312" w:cs="宋体"/>
          <w:kern w:val="0"/>
          <w:sz w:val="32"/>
          <w:szCs w:val="32"/>
        </w:rPr>
        <w:t>本培训项目属于（单选）</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 xml:space="preserve">线下学科类培训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w:t>
      </w:r>
      <w:r>
        <w:rPr>
          <w:rFonts w:ascii="Segoe UI Symbol" w:hAnsi="Segoe UI Symbol" w:eastAsia="仿宋_GB2312" w:cs="Segoe UI Symbol"/>
          <w:kern w:val="0"/>
          <w:sz w:val="32"/>
          <w:szCs w:val="32"/>
        </w:rPr>
        <w:t>学</w:t>
      </w:r>
    </w:p>
    <w:p>
      <w:pPr>
        <w:adjustRightInd w:val="0"/>
        <w:snapToGrid w:val="0"/>
        <w:spacing w:line="560" w:lineRule="exact"/>
        <w:rPr>
          <w:rFonts w:ascii="仿宋_GB2312" w:hAnsi="微软雅黑" w:eastAsia="仿宋_GB2312" w:cs="宋体"/>
          <w:kern w:val="0"/>
          <w:sz w:val="32"/>
          <w:szCs w:val="32"/>
        </w:rPr>
      </w:pPr>
      <w:r>
        <w:rPr>
          <w:rFonts w:ascii="Segoe UI Symbol" w:hAnsi="Segoe UI Symbol" w:eastAsia="仿宋_GB2312" w:cs="Segoe UI Symbol"/>
          <w:kern w:val="0"/>
          <w:sz w:val="32"/>
          <w:szCs w:val="32"/>
        </w:rPr>
        <w:t>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线下非</w:t>
      </w:r>
      <w:r>
        <w:rPr>
          <w:rFonts w:ascii="Segoe UI Symbol" w:hAnsi="Segoe UI Symbol" w:eastAsia="仿宋_GB2312" w:cs="Segoe UI Symbol"/>
          <w:kern w:val="0"/>
          <w:sz w:val="32"/>
          <w:szCs w:val="32"/>
        </w:rPr>
        <w:t>学科类培训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上非</w:t>
      </w:r>
      <w:r>
        <w:rPr>
          <w:rFonts w:ascii="Segoe UI Symbol" w:hAnsi="Segoe UI Symbol" w:eastAsia="仿宋_GB2312" w:cs="Segoe UI Symbol"/>
          <w:kern w:val="0"/>
          <w:sz w:val="32"/>
          <w:szCs w:val="32"/>
        </w:rPr>
        <w:t>学科类培训</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）面授</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2.是否指定授课教学人员：</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是（指定教学人员</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，指定教学人员未经乙方书面同意不得更换）；是否具备相应的教师资格或资质  </w:t>
      </w:r>
      <w:bookmarkStart w:id="2" w:name="_Hlk82183348"/>
      <w:r>
        <w:rPr>
          <w:rFonts w:hint="eastAsia" w:ascii="MS Mincho" w:hAnsi="MS Mincho" w:eastAsia="MS Mincho" w:cs="MS Mincho"/>
          <w:sz w:val="32"/>
          <w:szCs w:val="32"/>
        </w:rPr>
        <w:t>☐</w:t>
      </w:r>
      <w:bookmarkEnd w:id="2"/>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6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527"/>
        <w:rPr>
          <w:rFonts w:ascii="黑体" w:hAnsi="黑体" w:eastAsia="黑体" w:cs="黑体"/>
          <w:bCs/>
          <w:kern w:val="0"/>
          <w:sz w:val="32"/>
          <w:szCs w:val="32"/>
        </w:rPr>
      </w:pPr>
      <w:r>
        <w:rPr>
          <w:rFonts w:hint="eastAsia" w:ascii="黑体" w:hAnsi="黑体" w:eastAsia="黑体" w:cs="黑体"/>
          <w:bCs/>
          <w:kern w:val="0"/>
          <w:sz w:val="32"/>
          <w:szCs w:val="32"/>
        </w:rPr>
        <w:t>第二条  培训收费</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（一）收费标准（人民币）</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（小写）元，其中：</w:t>
      </w:r>
    </w:p>
    <w:p>
      <w:pPr>
        <w:adjustRightInd w:val="0"/>
        <w:snapToGrid w:val="0"/>
        <w:spacing w:line="560" w:lineRule="exact"/>
        <w:ind w:firstLine="525"/>
        <w:rPr>
          <w:rFonts w:ascii="仿宋_GB2312" w:hAnsi="仿宋_GB2312" w:eastAsia="仿宋_GB2312" w:cs="仿宋_GB2312"/>
          <w:b/>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其他费用：</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（二）付费方式（人民币）</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经甲乙双方协商，乙方采取以下方式付款（单选）：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方式支付培训费用。甲方的培训费用收款专用账户信息如下：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（四）预收费监管方式</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银行托管</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风险保证金</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第三条  甲方的权利和义务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。甲方收取培训费用后应当及时向乙方提供以培训机构名义开具的正规发票等消费凭证。（按照国家有关政策要求，甲方不得一次性向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rPr>
        <w:t>；按课时收费的，每科不得一次性收取超过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rPr>
        <w:t>且不超过3个月。）</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（二）甲方应当向乙方明示培训机构有效证明文件、收费项目、收费标准、收退费办法、培训范围、培训时间、教学人员资格和服务承诺等内容，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（五）甲方保证，按照国家有关政策要求，配备与培训内容及</w:t>
      </w:r>
      <w:r>
        <w:rPr>
          <w:rFonts w:ascii="仿宋_GB2312" w:hAnsi="微软雅黑" w:eastAsia="仿宋_GB2312" w:cs="宋体"/>
          <w:kern w:val="0"/>
          <w:sz w:val="32"/>
          <w:szCs w:val="32"/>
        </w:rPr>
        <w:t>规模</w:t>
      </w:r>
      <w:r>
        <w:rPr>
          <w:rFonts w:hint="eastAsia" w:ascii="仿宋_GB2312" w:hAnsi="微软雅黑" w:eastAsia="仿宋_GB2312" w:cs="宋体"/>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（七）甲方若改变培训方式，须双方协商一致。</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（八）甲方应当保护乙方个人信息，确保在收集、存储、使用、加工、公开等个人信息处理活动中严格遵守《中华人民共和国个人信息保护法》《中华人民共和国未成年人保护法》的规定。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（九）未经乙方书面同意，甲方不得将本合同约定的培训服务转让给第三方，不得擅自将学员转交给第三方机构进行培训。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第四条  乙方的权利和义务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支付</w:t>
      </w:r>
      <w:r>
        <w:rPr>
          <w:rFonts w:ascii="仿宋_GB2312" w:hAnsi="微软雅黑" w:eastAsia="仿宋_GB2312" w:cs="宋体"/>
          <w:kern w:val="0"/>
          <w:sz w:val="32"/>
          <w:szCs w:val="32"/>
        </w:rPr>
        <w:t>培训费用。</w:t>
      </w:r>
      <w:r>
        <w:rPr>
          <w:rFonts w:hint="eastAsia" w:ascii="仿宋_GB2312" w:hAnsi="微软雅黑" w:eastAsia="仿宋_GB2312" w:cs="宋体"/>
          <w:kern w:val="0"/>
          <w:sz w:val="32"/>
          <w:szCs w:val="32"/>
        </w:rPr>
        <w:t>如甲方采用银行托管方式进行预收费监管，乙方应在托管协议规定的时间内对甲方授课完成和资金拨付予以确认；超过规定时限未确认的，视为确认同意。</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（六）未经甲方书面同意，乙方不得擅自将本合同课程转让给第三方，或者将听课凭证转让、出借给他人使用，否则甲方有权拒绝提供培训服务。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（七）如学员身体健康状况有特殊情形不再适合参与培训的，乙方应及时书面通知甲方，甲乙双方一致同意按如下方式处理（单选）：</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按照实际消耗课时结算培训费用</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Segoe UI Symbol" w:hAnsi="Segoe UI Symbol" w:eastAsia="仿宋_GB2312" w:cs="Segoe UI Symbol"/>
          <w:bCs/>
          <w:kern w:val="0"/>
          <w:sz w:val="32"/>
          <w:szCs w:val="32"/>
        </w:rPr>
        <w:t>调整</w:t>
      </w:r>
      <w:r>
        <w:rPr>
          <w:rFonts w:hint="eastAsia" w:ascii="仿宋_GB2312" w:hAnsi="微软雅黑" w:eastAsia="仿宋_GB2312" w:cs="宋体"/>
          <w:bCs/>
          <w:kern w:val="0"/>
          <w:sz w:val="32"/>
          <w:szCs w:val="32"/>
        </w:rPr>
        <w:t>培训时间或内容</w:t>
      </w:r>
    </w:p>
    <w:p>
      <w:pPr>
        <w:adjustRightInd w:val="0"/>
        <w:snapToGrid w:val="0"/>
        <w:spacing w:line="560" w:lineRule="exact"/>
        <w:ind w:firstLine="527"/>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其他</w:t>
      </w:r>
      <w:r>
        <w:rPr>
          <w:rFonts w:hint="eastAsia" w:ascii="仿宋_GB2312" w:hAnsi="微软雅黑" w:eastAsia="仿宋_GB2312" w:cs="宋体"/>
          <w:bCs/>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第五条  培训退费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课时前提出退学的，有权要求全额退费。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（二）由于乙方的原因申请提前退学的，双方一致同意按如下方式办理退费（单选）：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退还乙方未消耗课时所对应的培训费余额。</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参加课程培训未达[   ]%者，退还乙方未消耗课时所对应的培训费余额；参加课程培训超过[   ]%者，退还乙方未消耗课时所对应培训费余额的[   ]%。</w:t>
      </w:r>
    </w:p>
    <w:p>
      <w:pPr>
        <w:adjustRightInd w:val="0"/>
        <w:snapToGrid w:val="0"/>
        <w:spacing w:line="560" w:lineRule="exact"/>
        <w:ind w:firstLine="640" w:firstLineChars="200"/>
        <w:rPr>
          <w:rFonts w:ascii="仿宋_GB2312" w:hAnsi="仿宋_GB2312" w:eastAsia="仿宋_GB2312" w:cs="仿宋_GB2312"/>
          <w:kern w:val="0"/>
          <w:sz w:val="32"/>
          <w:szCs w:val="32"/>
          <w:u w:val="single"/>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（≤20）个工作日内，将相应退费款项支付给乙方。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第六条  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hint="eastAsia" w:ascii="仿宋_GB2312" w:hAnsi="仿宋_GB2312" w:eastAsia="仿宋_GB2312" w:cs="仿宋_GB2312"/>
          <w:sz w:val="32"/>
          <w:szCs w:val="32"/>
        </w:rPr>
        <w:t>要求甲方退还剩余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费并支付剩余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w:t>
      </w:r>
      <w:r>
        <w:rPr>
          <w:rFonts w:hint="eastAsia" w:ascii="仿宋_GB2312" w:hAnsi="仿宋_GB2312" w:eastAsia="仿宋_GB2312" w:cs="仿宋_GB2312"/>
          <w:kern w:val="0"/>
          <w:sz w:val="32"/>
          <w:szCs w:val="32"/>
        </w:rPr>
        <w:t>[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（四）未经乙方书面同意，甲方擅自将本合同约定的服务转给第三方或将学员转交给第三方机构进行培训的，乙方有权要求解除合同，要求甲方退还剩余培训费并支付剩余培训费[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（五）因甲方违约，双方就退费事宜书面达成一致后，</w:t>
      </w:r>
      <w:r>
        <w:rPr>
          <w:rFonts w:hint="eastAsia" w:ascii="仿宋_GB2312" w:hAnsi="仿宋_GB2312" w:eastAsia="仿宋_GB2312" w:cs="仿宋_GB2312"/>
          <w:sz w:val="32"/>
          <w:szCs w:val="32"/>
        </w:rPr>
        <w:t>甲方应于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（七）由于乙方的原因，无法继续接受培训服务的，甲方不承担违约责任。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（八）因战争、自然灾害、传染性疾病等不可抗力致使本合同无法继续履行的，双方互不承担违约责任，受不可抗力影响的一方应及时书面通知对方，双方一致同意按如下方式处理（单选）：</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bCs/>
          <w:kern w:val="0"/>
          <w:sz w:val="32"/>
          <w:szCs w:val="32"/>
        </w:rPr>
        <w:t>按照实际消耗课时结算培训费用</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调整培训时间或内容</w:t>
      </w:r>
    </w:p>
    <w:p>
      <w:pPr>
        <w:adjustRightInd w:val="0"/>
        <w:snapToGrid w:val="0"/>
        <w:spacing w:line="560" w:lineRule="exact"/>
        <w:ind w:firstLine="640" w:firstLineChars="200"/>
        <w:rPr>
          <w:rFonts w:ascii="黑体" w:hAnsi="黑体" w:eastAsia="黑体" w:cs="黑体"/>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其他</w:t>
      </w:r>
      <w:r>
        <w:rPr>
          <w:rFonts w:ascii="黑体" w:hAnsi="黑体" w:eastAsia="黑体" w:cs="黑体"/>
          <w:bCs/>
          <w:kern w:val="0"/>
          <w:sz w:val="32"/>
          <w:szCs w:val="32"/>
        </w:rPr>
        <w:t>______________________</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第七条  争议处理</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本合同在履行过程中发生争议，双方可协商解决，协商不成的，一方可以向行业协会申请调解，仍无法解决的，双方一致同意按如下方式处理（单选）：</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第八条  其他约定</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本合同未尽事宜，由下列条款进行约定。</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第九条  生效方式</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第十条  合同附件</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w:t>
      </w:r>
    </w:p>
    <w:p>
      <w:pPr>
        <w:adjustRightInd w:val="0"/>
        <w:snapToGrid w:val="0"/>
        <w:spacing w:line="560" w:lineRule="exact"/>
        <w:ind w:firstLine="527"/>
        <w:rPr>
          <w:rFonts w:ascii="黑体" w:hAnsi="黑体" w:eastAsia="黑体" w:cs="黑体"/>
          <w:bCs/>
          <w:kern w:val="0"/>
          <w:sz w:val="32"/>
          <w:szCs w:val="32"/>
        </w:rPr>
      </w:pPr>
    </w:p>
    <w:p>
      <w:pPr>
        <w:adjustRightInd w:val="0"/>
        <w:snapToGrid w:val="0"/>
        <w:spacing w:line="560" w:lineRule="exact"/>
        <w:ind w:firstLine="525"/>
        <w:rPr>
          <w:rFonts w:ascii="仿宋_GB2312" w:hAnsi="微软雅黑" w:eastAsia="仿宋_GB2312" w:cs="宋体"/>
          <w:kern w:val="0"/>
          <w:sz w:val="32"/>
          <w:szCs w:val="32"/>
        </w:rPr>
      </w:pPr>
    </w:p>
    <w:p>
      <w:pPr>
        <w:adjustRightInd w:val="0"/>
        <w:snapToGrid w:val="0"/>
        <w:spacing w:line="560" w:lineRule="exac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60" w:lineRule="exac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60" w:lineRule="exac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lang w:val="en-US" w:eastAsia="zh-CN"/>
        </w:rPr>
        <w:t xml:space="preserve">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sectPr>
      <w:footerReference r:id="rId3" w:type="default"/>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747959"/>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46515"/>
    <w:multiLevelType w:val="multilevel"/>
    <w:tmpl w:val="6BD46515"/>
    <w:lvl w:ilvl="0" w:tentative="0">
      <w:start w:val="1"/>
      <w:numFmt w:val="japaneseCounting"/>
      <w:lvlText w:val="第%1条"/>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0D329A2"/>
    <w:multiLevelType w:val="multilevel"/>
    <w:tmpl w:val="70D329A2"/>
    <w:lvl w:ilvl="0" w:tentative="0">
      <w:start w:val="2"/>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GJkYjA4NzQ2MWFhOWZiMWVhNjViZjRiMmVhNzUifQ=="/>
  </w:docVars>
  <w:rsids>
    <w:rsidRoot w:val="003D2A22"/>
    <w:rsid w:val="000328DE"/>
    <w:rsid w:val="0004444A"/>
    <w:rsid w:val="00072EDE"/>
    <w:rsid w:val="000739F6"/>
    <w:rsid w:val="00085C25"/>
    <w:rsid w:val="000938F0"/>
    <w:rsid w:val="00107EDA"/>
    <w:rsid w:val="001330F3"/>
    <w:rsid w:val="001447C1"/>
    <w:rsid w:val="001632B9"/>
    <w:rsid w:val="001679BF"/>
    <w:rsid w:val="00184004"/>
    <w:rsid w:val="0019643B"/>
    <w:rsid w:val="001B0F45"/>
    <w:rsid w:val="001B24E7"/>
    <w:rsid w:val="001B2FC6"/>
    <w:rsid w:val="001B61E1"/>
    <w:rsid w:val="001F726A"/>
    <w:rsid w:val="001F77E4"/>
    <w:rsid w:val="00202F46"/>
    <w:rsid w:val="00214CC8"/>
    <w:rsid w:val="002504A2"/>
    <w:rsid w:val="00253261"/>
    <w:rsid w:val="00256FDA"/>
    <w:rsid w:val="0028279C"/>
    <w:rsid w:val="002D1989"/>
    <w:rsid w:val="002F2253"/>
    <w:rsid w:val="00315FD3"/>
    <w:rsid w:val="00324A2C"/>
    <w:rsid w:val="00333206"/>
    <w:rsid w:val="00333307"/>
    <w:rsid w:val="00340772"/>
    <w:rsid w:val="00370859"/>
    <w:rsid w:val="00382154"/>
    <w:rsid w:val="003A05EF"/>
    <w:rsid w:val="003C7EEF"/>
    <w:rsid w:val="003D2153"/>
    <w:rsid w:val="003D2A22"/>
    <w:rsid w:val="003F2FC1"/>
    <w:rsid w:val="003F36EF"/>
    <w:rsid w:val="003F3AD1"/>
    <w:rsid w:val="003F6D10"/>
    <w:rsid w:val="004067F6"/>
    <w:rsid w:val="00422664"/>
    <w:rsid w:val="00423AB3"/>
    <w:rsid w:val="004345BF"/>
    <w:rsid w:val="00450827"/>
    <w:rsid w:val="00451734"/>
    <w:rsid w:val="004718A0"/>
    <w:rsid w:val="004B0A07"/>
    <w:rsid w:val="00501337"/>
    <w:rsid w:val="00502276"/>
    <w:rsid w:val="00507FE1"/>
    <w:rsid w:val="0052341A"/>
    <w:rsid w:val="00540C0D"/>
    <w:rsid w:val="00574C2A"/>
    <w:rsid w:val="00583230"/>
    <w:rsid w:val="00584320"/>
    <w:rsid w:val="0059473C"/>
    <w:rsid w:val="00595F0B"/>
    <w:rsid w:val="005B4256"/>
    <w:rsid w:val="005D19FF"/>
    <w:rsid w:val="0061306A"/>
    <w:rsid w:val="00631127"/>
    <w:rsid w:val="006365BA"/>
    <w:rsid w:val="00684A8D"/>
    <w:rsid w:val="00691211"/>
    <w:rsid w:val="0069203F"/>
    <w:rsid w:val="006E10AF"/>
    <w:rsid w:val="006E6AA9"/>
    <w:rsid w:val="00704B72"/>
    <w:rsid w:val="007136EF"/>
    <w:rsid w:val="00713C73"/>
    <w:rsid w:val="00717BD2"/>
    <w:rsid w:val="007237CD"/>
    <w:rsid w:val="00723824"/>
    <w:rsid w:val="00727C9E"/>
    <w:rsid w:val="00733BC6"/>
    <w:rsid w:val="00746C5D"/>
    <w:rsid w:val="00756472"/>
    <w:rsid w:val="00783588"/>
    <w:rsid w:val="0078582D"/>
    <w:rsid w:val="00787414"/>
    <w:rsid w:val="00790E5C"/>
    <w:rsid w:val="007A5883"/>
    <w:rsid w:val="007B158B"/>
    <w:rsid w:val="007B43E0"/>
    <w:rsid w:val="007E59A4"/>
    <w:rsid w:val="007E5C25"/>
    <w:rsid w:val="00830220"/>
    <w:rsid w:val="00853FC5"/>
    <w:rsid w:val="00857CBD"/>
    <w:rsid w:val="008615E9"/>
    <w:rsid w:val="00863A63"/>
    <w:rsid w:val="00894592"/>
    <w:rsid w:val="00894F8E"/>
    <w:rsid w:val="008C7DF2"/>
    <w:rsid w:val="008D7491"/>
    <w:rsid w:val="008F1F09"/>
    <w:rsid w:val="008F4BD1"/>
    <w:rsid w:val="0090446E"/>
    <w:rsid w:val="00913A70"/>
    <w:rsid w:val="00914FD7"/>
    <w:rsid w:val="00916B0D"/>
    <w:rsid w:val="00934C73"/>
    <w:rsid w:val="00940AE0"/>
    <w:rsid w:val="00946E5F"/>
    <w:rsid w:val="00964D2E"/>
    <w:rsid w:val="009738E6"/>
    <w:rsid w:val="00984324"/>
    <w:rsid w:val="009B143D"/>
    <w:rsid w:val="009B5E21"/>
    <w:rsid w:val="00A1567F"/>
    <w:rsid w:val="00A4613F"/>
    <w:rsid w:val="00A7246E"/>
    <w:rsid w:val="00A74732"/>
    <w:rsid w:val="00A77C91"/>
    <w:rsid w:val="00A86019"/>
    <w:rsid w:val="00AA5C1A"/>
    <w:rsid w:val="00B2242E"/>
    <w:rsid w:val="00B3189B"/>
    <w:rsid w:val="00B4167C"/>
    <w:rsid w:val="00B46D07"/>
    <w:rsid w:val="00B4749F"/>
    <w:rsid w:val="00B551A5"/>
    <w:rsid w:val="00B56C69"/>
    <w:rsid w:val="00B86840"/>
    <w:rsid w:val="00B92094"/>
    <w:rsid w:val="00BA7266"/>
    <w:rsid w:val="00C01330"/>
    <w:rsid w:val="00C0197C"/>
    <w:rsid w:val="00C57E35"/>
    <w:rsid w:val="00C679DD"/>
    <w:rsid w:val="00C82F81"/>
    <w:rsid w:val="00C87025"/>
    <w:rsid w:val="00C952FF"/>
    <w:rsid w:val="00CA638A"/>
    <w:rsid w:val="00CC5CA7"/>
    <w:rsid w:val="00CD6314"/>
    <w:rsid w:val="00CF5BC4"/>
    <w:rsid w:val="00D03B90"/>
    <w:rsid w:val="00D1745B"/>
    <w:rsid w:val="00D203FB"/>
    <w:rsid w:val="00D3691F"/>
    <w:rsid w:val="00D5177B"/>
    <w:rsid w:val="00D517B9"/>
    <w:rsid w:val="00D51C95"/>
    <w:rsid w:val="00D91854"/>
    <w:rsid w:val="00DA725C"/>
    <w:rsid w:val="00DC7857"/>
    <w:rsid w:val="00DE4AF4"/>
    <w:rsid w:val="00DE56A0"/>
    <w:rsid w:val="00E0042F"/>
    <w:rsid w:val="00E07799"/>
    <w:rsid w:val="00E1705E"/>
    <w:rsid w:val="00E42143"/>
    <w:rsid w:val="00E723D4"/>
    <w:rsid w:val="00E829D5"/>
    <w:rsid w:val="00E856FB"/>
    <w:rsid w:val="00E91541"/>
    <w:rsid w:val="00E96B3A"/>
    <w:rsid w:val="00EA19EA"/>
    <w:rsid w:val="00EB58C0"/>
    <w:rsid w:val="00EC3666"/>
    <w:rsid w:val="00EC6854"/>
    <w:rsid w:val="00ED1BD1"/>
    <w:rsid w:val="00EE260C"/>
    <w:rsid w:val="00EF004E"/>
    <w:rsid w:val="00EF6D70"/>
    <w:rsid w:val="00F006B9"/>
    <w:rsid w:val="00F1602F"/>
    <w:rsid w:val="00F27F63"/>
    <w:rsid w:val="00F55718"/>
    <w:rsid w:val="00F557B7"/>
    <w:rsid w:val="00F6746A"/>
    <w:rsid w:val="00F67E50"/>
    <w:rsid w:val="00F86C07"/>
    <w:rsid w:val="00F94BD1"/>
    <w:rsid w:val="00F97BD5"/>
    <w:rsid w:val="00FB4C4E"/>
    <w:rsid w:val="00FC4E0E"/>
    <w:rsid w:val="00FD45EA"/>
    <w:rsid w:val="00FE22B2"/>
    <w:rsid w:val="00FE7EDF"/>
    <w:rsid w:val="00FF0A93"/>
    <w:rsid w:val="00FF2012"/>
    <w:rsid w:val="00FF6CE2"/>
    <w:rsid w:val="03E14019"/>
    <w:rsid w:val="1A6B02B6"/>
    <w:rsid w:val="1F453D09"/>
    <w:rsid w:val="2D6A0F0A"/>
    <w:rsid w:val="48495919"/>
    <w:rsid w:val="4BEE4F08"/>
    <w:rsid w:val="75BF2020"/>
    <w:rsid w:val="7922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5357</Words>
  <Characters>5427</Characters>
  <Lines>50</Lines>
  <Paragraphs>14</Paragraphs>
  <TotalTime>4</TotalTime>
  <ScaleCrop>false</ScaleCrop>
  <LinksUpToDate>false</LinksUpToDate>
  <CharactersWithSpaces>6947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2021-12-20T07:49:00Z</dcterms:created>
  <dc:creator>licheng zhu</dc:creator>
  <cp:lastModifiedBy>兔兔爸爸</cp:lastModifiedBy>
  <cp:lastPrinted>2021-09-23T09:24:00Z</cp:lastPrinted>
  <dcterms:modified xsi:type="dcterms:W3CDTF">2022-07-11T02:49:46Z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3F84DB37FEA2428BB36B288E9B92959F</vt:lpwstr>
  </property>
</Properties>
</file>