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2016年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梅州市梅县区石坑镇人民政府部门预算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梅州市梅县区石坑镇人民政府概况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2016年梅州市梅县区石坑镇人民政府部门预算表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2016年梅州市梅县区石坑镇人民政府部门预算情况说明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ind w:firstLine="640" w:firstLineChars="200"/>
        <w:jc w:val="both"/>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梅州市梅县区石坑镇人民政府概况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①负责贯彻、执行党的路线、方针、政策、法律、法规和上级党委、政府、镇党委的指示、决定、决议。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②负责全镇的经济建设、计划统筹、人事劳动、财政、统计、乡镇企业管理、劳务管理和信访工作。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③负责全镇的科学技术工作、农业综合开发工作、农村经济工作、水利工作和林业工作。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④负责全镇的民政、民族、宗教、老龄和残疾人等工作。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⑤负责全镇的计划生育、文体广播电视、劳动安全、村镇建设管理和城镇管理工作。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⑥协同有关部门搞好教育、卫生保健、国土资源、公安、司法、工商、税务、金融、环保、交通安全等方面的工作。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⑦负责指导、支持、帮助村（居）民委员会的组织制度建设和业务建设，促进村（居）民委员会民主自治。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⑧完成上级交办的其他工作。</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ind w:firstLine="640"/>
        <w:jc w:val="both"/>
        <w:rPr>
          <w:rFonts w:hint="eastAsia" w:ascii="仿宋" w:hAnsi="仿宋" w:eastAsia="仿宋" w:cs="仿宋"/>
          <w:sz w:val="28"/>
          <w:szCs w:val="28"/>
        </w:rPr>
      </w:pPr>
      <w:r>
        <w:rPr>
          <w:rFonts w:hint="eastAsia" w:ascii="仿宋" w:hAnsi="仿宋" w:eastAsia="仿宋" w:cs="仿宋"/>
          <w:sz w:val="28"/>
          <w:szCs w:val="28"/>
        </w:rPr>
        <w:t>梅县区</w:t>
      </w:r>
      <w:r>
        <w:rPr>
          <w:rFonts w:hint="eastAsia" w:ascii="仿宋" w:hAnsi="仿宋" w:eastAsia="仿宋" w:cs="仿宋"/>
          <w:sz w:val="28"/>
          <w:szCs w:val="28"/>
          <w:lang w:eastAsia="zh-CN"/>
        </w:rPr>
        <w:t>石坑</w:t>
      </w:r>
      <w:r>
        <w:rPr>
          <w:rFonts w:hint="eastAsia" w:ascii="仿宋" w:hAnsi="仿宋" w:eastAsia="仿宋" w:cs="仿宋"/>
          <w:sz w:val="28"/>
          <w:szCs w:val="28"/>
        </w:rPr>
        <w:t>镇人民政府为一级预算单位。本单位没有所属预算单位。</w:t>
      </w:r>
    </w:p>
    <w:p>
      <w:pPr>
        <w:jc w:val="center"/>
        <w:rPr>
          <w:rFonts w:hint="eastAsia" w:ascii="仿宋" w:hAnsi="仿宋" w:eastAsia="仿宋" w:cs="仿宋"/>
          <w:sz w:val="28"/>
          <w:szCs w:val="28"/>
        </w:rPr>
      </w:pPr>
      <w:r>
        <w:rPr>
          <w:rFonts w:hint="eastAsia" w:ascii="仿宋" w:hAnsi="仿宋" w:eastAsia="仿宋" w:cs="仿宋"/>
          <w:sz w:val="28"/>
          <w:szCs w:val="28"/>
        </w:rPr>
        <w:t>部门机构设置情况</w:t>
      </w:r>
    </w:p>
    <w:tbl>
      <w:tblPr>
        <w:tblStyle w:val="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1600"/>
        <w:gridCol w:w="1660"/>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16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单位性质</w:t>
            </w:r>
          </w:p>
        </w:tc>
        <w:tc>
          <w:tcPr>
            <w:tcW w:w="16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单位规格</w:t>
            </w:r>
          </w:p>
        </w:tc>
        <w:tc>
          <w:tcPr>
            <w:tcW w:w="260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梅县区</w:t>
            </w:r>
            <w:r>
              <w:rPr>
                <w:rFonts w:hint="eastAsia" w:ascii="仿宋" w:hAnsi="仿宋" w:eastAsia="仿宋" w:cs="仿宋"/>
                <w:sz w:val="28"/>
                <w:szCs w:val="28"/>
                <w:lang w:eastAsia="zh-CN"/>
              </w:rPr>
              <w:t>石坑</w:t>
            </w:r>
            <w:r>
              <w:rPr>
                <w:rFonts w:hint="eastAsia" w:ascii="仿宋" w:hAnsi="仿宋" w:eastAsia="仿宋" w:cs="仿宋"/>
                <w:sz w:val="28"/>
                <w:szCs w:val="28"/>
              </w:rPr>
              <w:t>镇</w:t>
            </w:r>
          </w:p>
          <w:p>
            <w:pPr>
              <w:jc w:val="center"/>
              <w:rPr>
                <w:rFonts w:hint="eastAsia" w:ascii="仿宋" w:hAnsi="仿宋" w:eastAsia="仿宋" w:cs="仿宋"/>
                <w:sz w:val="28"/>
                <w:szCs w:val="28"/>
              </w:rPr>
            </w:pPr>
            <w:r>
              <w:rPr>
                <w:rFonts w:hint="eastAsia" w:ascii="仿宋" w:hAnsi="仿宋" w:eastAsia="仿宋" w:cs="仿宋"/>
                <w:sz w:val="28"/>
                <w:szCs w:val="28"/>
              </w:rPr>
              <w:t>人民政府</w:t>
            </w:r>
          </w:p>
        </w:tc>
        <w:tc>
          <w:tcPr>
            <w:tcW w:w="16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行政</w:t>
            </w:r>
          </w:p>
        </w:tc>
        <w:tc>
          <w:tcPr>
            <w:tcW w:w="16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正科级</w:t>
            </w:r>
          </w:p>
        </w:tc>
        <w:tc>
          <w:tcPr>
            <w:tcW w:w="260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财政性资金</w:t>
            </w:r>
          </w:p>
          <w:p>
            <w:pPr>
              <w:jc w:val="center"/>
              <w:rPr>
                <w:rFonts w:hint="eastAsia" w:ascii="仿宋" w:hAnsi="仿宋" w:eastAsia="仿宋" w:cs="仿宋"/>
                <w:sz w:val="28"/>
                <w:szCs w:val="28"/>
              </w:rPr>
            </w:pPr>
            <w:r>
              <w:rPr>
                <w:rFonts w:hint="eastAsia" w:ascii="仿宋" w:hAnsi="仿宋" w:eastAsia="仿宋" w:cs="仿宋"/>
                <w:sz w:val="28"/>
                <w:szCs w:val="28"/>
              </w:rPr>
              <w:t>基本保证</w:t>
            </w:r>
          </w:p>
        </w:tc>
      </w:tr>
    </w:tbl>
    <w:p>
      <w:pPr>
        <w:ind w:firstLine="560" w:firstLineChars="200"/>
        <w:rPr>
          <w:rFonts w:hint="eastAsia" w:ascii="仿宋" w:hAnsi="仿宋" w:eastAsia="仿宋" w:cs="仿宋"/>
          <w:sz w:val="28"/>
          <w:szCs w:val="28"/>
        </w:rPr>
      </w:pPr>
      <w:r>
        <w:rPr>
          <w:rFonts w:hint="eastAsia" w:ascii="仿宋" w:hAnsi="仿宋" w:eastAsia="仿宋" w:cs="仿宋"/>
          <w:sz w:val="28"/>
          <w:szCs w:val="28"/>
        </w:rPr>
        <w:t>机关组织内部机构设置“七办、四中心”：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办”：党政办公室、社会事务办公室、社会治安综合治理信坊维稳办公室、卫生和计划生育办公室、农业事务办公室；“四中心”：社会保障服务中心、农业服务中心、财政结算服务中心、文教体育服务中心。</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人员设置：</w:t>
      </w:r>
      <w:r>
        <w:rPr>
          <w:rFonts w:hint="eastAsia" w:ascii="仿宋" w:hAnsi="仿宋" w:eastAsia="仿宋" w:cs="仿宋"/>
          <w:color w:val="000000"/>
          <w:sz w:val="28"/>
          <w:szCs w:val="28"/>
        </w:rPr>
        <w:t>机关行政编制</w:t>
      </w:r>
      <w:r>
        <w:rPr>
          <w:rFonts w:hint="eastAsia" w:ascii="仿宋" w:hAnsi="仿宋" w:eastAsia="仿宋" w:cs="仿宋"/>
          <w:sz w:val="28"/>
          <w:szCs w:val="28"/>
          <w:lang w:val="en-US" w:eastAsia="zh-CN"/>
        </w:rPr>
        <w:t>41</w:t>
      </w:r>
      <w:r>
        <w:rPr>
          <w:rFonts w:hint="eastAsia" w:ascii="仿宋" w:hAnsi="仿宋" w:eastAsia="仿宋" w:cs="仿宋"/>
          <w:color w:val="000000"/>
          <w:sz w:val="28"/>
          <w:szCs w:val="28"/>
        </w:rPr>
        <w:t>名，事业编制</w:t>
      </w: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rPr>
        <w:t>名</w:t>
      </w:r>
      <w:r>
        <w:rPr>
          <w:rFonts w:hint="eastAsia" w:ascii="仿宋" w:hAnsi="仿宋" w:eastAsia="仿宋" w:cs="仿宋"/>
          <w:color w:val="000000"/>
          <w:sz w:val="28"/>
          <w:szCs w:val="28"/>
          <w:lang w:val="en-US" w:eastAsia="zh-CN"/>
        </w:rPr>
        <w:t>（其中：财政3名、人社2名、农业20名、文化3名）</w:t>
      </w:r>
      <w:r>
        <w:rPr>
          <w:rFonts w:hint="eastAsia" w:ascii="仿宋" w:hAnsi="仿宋" w:eastAsia="仿宋" w:cs="仿宋"/>
          <w:color w:val="000000"/>
          <w:sz w:val="28"/>
          <w:szCs w:val="28"/>
        </w:rPr>
        <w:t>。至2017年，实有行政人员</w:t>
      </w:r>
      <w:r>
        <w:rPr>
          <w:rFonts w:hint="eastAsia" w:ascii="仿宋" w:hAnsi="仿宋" w:eastAsia="仿宋" w:cs="仿宋"/>
          <w:sz w:val="28"/>
          <w:szCs w:val="28"/>
          <w:lang w:val="en-US" w:eastAsia="zh-CN"/>
        </w:rPr>
        <w:t>31</w:t>
      </w:r>
      <w:r>
        <w:rPr>
          <w:rFonts w:hint="eastAsia" w:ascii="仿宋" w:hAnsi="仿宋" w:eastAsia="仿宋" w:cs="仿宋"/>
          <w:color w:val="000000"/>
          <w:sz w:val="28"/>
          <w:szCs w:val="28"/>
        </w:rPr>
        <w:t>名，机关后勤人员</w:t>
      </w:r>
      <w:r>
        <w:rPr>
          <w:rFonts w:hint="eastAsia" w:ascii="仿宋" w:hAnsi="仿宋" w:eastAsia="仿宋" w:cs="仿宋"/>
          <w:sz w:val="28"/>
          <w:szCs w:val="28"/>
        </w:rPr>
        <w:t>1</w:t>
      </w:r>
      <w:r>
        <w:rPr>
          <w:rFonts w:hint="eastAsia" w:ascii="仿宋" w:hAnsi="仿宋" w:eastAsia="仿宋" w:cs="仿宋"/>
          <w:color w:val="000000"/>
          <w:sz w:val="28"/>
          <w:szCs w:val="28"/>
        </w:rPr>
        <w:t>人，事业人员</w:t>
      </w:r>
      <w:r>
        <w:rPr>
          <w:rFonts w:hint="eastAsia" w:ascii="仿宋" w:hAnsi="仿宋" w:eastAsia="仿宋" w:cs="仿宋"/>
          <w:sz w:val="28"/>
          <w:szCs w:val="28"/>
          <w:lang w:val="en-US" w:eastAsia="zh-CN"/>
        </w:rPr>
        <w:t>19</w:t>
      </w:r>
      <w:r>
        <w:rPr>
          <w:rFonts w:hint="eastAsia" w:ascii="仿宋" w:hAnsi="仿宋" w:eastAsia="仿宋" w:cs="仿宋"/>
          <w:color w:val="000000"/>
          <w:sz w:val="28"/>
          <w:szCs w:val="28"/>
        </w:rPr>
        <w:t>人，离退休人员</w:t>
      </w:r>
      <w:r>
        <w:rPr>
          <w:rFonts w:hint="eastAsia" w:ascii="仿宋" w:hAnsi="仿宋" w:eastAsia="仿宋" w:cs="仿宋"/>
          <w:sz w:val="28"/>
          <w:szCs w:val="28"/>
          <w:lang w:val="en-US" w:eastAsia="zh-CN"/>
        </w:rPr>
        <w:t>18</w:t>
      </w:r>
      <w:r>
        <w:rPr>
          <w:rFonts w:hint="eastAsia" w:ascii="仿宋" w:hAnsi="仿宋" w:eastAsia="仿宋" w:cs="仿宋"/>
          <w:color w:val="000000"/>
          <w:sz w:val="28"/>
          <w:szCs w:val="28"/>
        </w:rPr>
        <w:t>人。</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梅县区石坑镇人民政府为一级预算单位。本单位没有所属预算单位。</w:t>
      </w:r>
    </w:p>
    <w:p>
      <w:pPr>
        <w:numPr>
          <w:ilvl w:val="0"/>
          <w:numId w:val="0"/>
        </w:numPr>
        <w:ind w:firstLine="2880" w:firstLineChars="9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部门机构设置情况</w:t>
      </w:r>
    </w:p>
    <w:tbl>
      <w:tblPr>
        <w:tblStyle w:val="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1600"/>
        <w:gridCol w:w="1660"/>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tc>
        <w:tc>
          <w:tcPr>
            <w:tcW w:w="160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单位性质</w:t>
            </w:r>
          </w:p>
        </w:tc>
        <w:tc>
          <w:tcPr>
            <w:tcW w:w="1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单位规格</w:t>
            </w:r>
          </w:p>
        </w:tc>
        <w:tc>
          <w:tcPr>
            <w:tcW w:w="2602"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梅县区石坑镇</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人民政府</w:t>
            </w:r>
          </w:p>
        </w:tc>
        <w:tc>
          <w:tcPr>
            <w:tcW w:w="160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w:t>
            </w:r>
          </w:p>
        </w:tc>
        <w:tc>
          <w:tcPr>
            <w:tcW w:w="1660"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正科级</w:t>
            </w:r>
          </w:p>
        </w:tc>
        <w:tc>
          <w:tcPr>
            <w:tcW w:w="2602" w:type="dxa"/>
            <w:vAlign w:val="center"/>
          </w:tcPr>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财政性资金</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基本保证</w:t>
            </w:r>
          </w:p>
        </w:tc>
      </w:tr>
    </w:tbl>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机关组织内部机构设置“七办、四中心”：</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办”：党政办公室、社会事务办公室、社会治安综合治理信坊维稳办公室、卫生和计划生育办公室、农业事务办公室；“四中心”：社会保障服务中心、农业服务中心、财政结算服务中心、文教体育服务中心。</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本部门内设机构、人员构成情况：机关行政编制41名，事业编制28名（其中：财政3名、人社2名、农业20名、文化3名）。至2017年，实有行政人员31名，机关后勤人员1人，事业人员19人，离退休人员18人。</w:t>
      </w:r>
    </w:p>
    <w:p>
      <w:pPr>
        <w:ind w:firstLine="640" w:firstLineChars="200"/>
        <w:jc w:val="both"/>
        <w:rPr>
          <w:rFonts w:hint="eastAsia" w:ascii="仿宋_GB2312" w:hAnsi="仿宋_GB2312" w:eastAsia="仿宋_GB2312" w:cs="仿宋_GB2312"/>
          <w:sz w:val="32"/>
          <w:szCs w:val="32"/>
          <w:lang w:val="en-US" w:eastAsia="zh-CN"/>
        </w:rPr>
      </w:pPr>
    </w:p>
    <w:p>
      <w:pPr>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2016年梅州市梅县区石坑镇人民政府部门预算表</w:t>
      </w:r>
    </w:p>
    <w:p>
      <w:pPr>
        <w:jc w:val="both"/>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：详情见附件内容）</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二、收入总体情况表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四、财政拨款收支总体情况表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五、一般公共预算支出情况表（按功能分类科目）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六、一般公共预算基本支出情况表（按支出经济分类科目）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七、一般公共预算项目支出情况表（按支出经济分类科目）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八、一般公共预算安排的行政经费及“三公”经费预算表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九、政府性基金预算支出情况表</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十、部门预算基本支出预算表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十一、部门预算项目支出及其他支出预算表</w:t>
      </w:r>
    </w:p>
    <w:p>
      <w:pPr>
        <w:ind w:firstLine="640" w:firstLineChars="200"/>
        <w:jc w:val="both"/>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2016年梅州市梅县区石坑镇人民政府部门预算情况说明</w:t>
      </w:r>
    </w:p>
    <w:p>
      <w:pPr>
        <w:numPr>
          <w:ilvl w:val="0"/>
          <w:numId w:val="0"/>
        </w:numPr>
        <w:ind w:firstLine="640"/>
        <w:jc w:val="both"/>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：在以下必须公开的基本说明基础上，可根据本部门情况加以细化说明）</w:t>
      </w:r>
    </w:p>
    <w:p>
      <w:pPr>
        <w:jc w:val="both"/>
        <w:rPr>
          <w:rFonts w:hint="eastAsia" w:ascii="方正小标宋简体" w:hAnsi="方正小标宋简体" w:eastAsia="方正小标宋简体" w:cs="方正小标宋简体"/>
          <w:sz w:val="44"/>
          <w:szCs w:val="44"/>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1、收入预算927.38万元，比上年增加338.82万元，增长57.57%，其中：一般公共预算拨款927.38万元，比上年增加338.82万元；政府性基金预算拨款收入0万元。</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2、支出预算927.38万元，比上年增加338.82万元，增长57.57%，主要原因：一是根据国家统一调资政策，调整人员经费；二是将部分已细化至具体用款单位、用途的事业发展性支出列入部门预算； </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一般公共预算拨款支出预算按用途划分，基本支出预算797.38万元，占85.98，比上年增加338.82万元，增长73.89%。其中：工资福利支出735.37万元，对个人和家庭的补助36.96万元，商品和服务支出25.05万元；项目支出预算130万元.</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3、政府性基金预算拨款安排的支出0万元。</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spacing w:line="360" w:lineRule="auto"/>
        <w:ind w:firstLine="618" w:firstLineChars="221"/>
        <w:rPr>
          <w:rFonts w:hint="eastAsia" w:ascii="仿宋" w:hAnsi="仿宋" w:eastAsia="仿宋" w:cs="仿宋"/>
          <w:color w:val="000000"/>
          <w:sz w:val="28"/>
          <w:szCs w:val="28"/>
        </w:rPr>
      </w:pPr>
      <w:r>
        <w:rPr>
          <w:rFonts w:hint="eastAsia" w:ascii="仿宋" w:hAnsi="仿宋" w:eastAsia="仿宋" w:cs="仿宋"/>
          <w:color w:val="000000"/>
          <w:sz w:val="28"/>
          <w:szCs w:val="28"/>
        </w:rPr>
        <w:t>201</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年“三公经费”支出</w:t>
      </w:r>
      <w:r>
        <w:rPr>
          <w:rFonts w:hint="eastAsia" w:ascii="仿宋" w:hAnsi="仿宋" w:eastAsia="仿宋" w:cs="仿宋"/>
          <w:sz w:val="28"/>
          <w:szCs w:val="28"/>
        </w:rPr>
        <w:t>4</w:t>
      </w:r>
      <w:r>
        <w:rPr>
          <w:rFonts w:hint="eastAsia" w:ascii="仿宋" w:hAnsi="仿宋" w:eastAsia="仿宋" w:cs="仿宋"/>
          <w:sz w:val="28"/>
          <w:szCs w:val="28"/>
          <w:lang w:val="en-US" w:eastAsia="zh-CN"/>
        </w:rPr>
        <w:t>6</w:t>
      </w:r>
      <w:r>
        <w:rPr>
          <w:rFonts w:hint="eastAsia" w:ascii="仿宋" w:hAnsi="仿宋" w:eastAsia="仿宋" w:cs="仿宋"/>
          <w:color w:val="000000"/>
          <w:sz w:val="28"/>
          <w:szCs w:val="28"/>
        </w:rPr>
        <w:t>万元，与上年</w:t>
      </w:r>
      <w:r>
        <w:rPr>
          <w:rFonts w:hint="eastAsia" w:ascii="仿宋" w:hAnsi="仿宋" w:eastAsia="仿宋" w:cs="仿宋"/>
          <w:sz w:val="28"/>
          <w:szCs w:val="28"/>
        </w:rPr>
        <w:t>持平</w:t>
      </w:r>
      <w:r>
        <w:rPr>
          <w:rFonts w:hint="eastAsia" w:ascii="仿宋" w:hAnsi="仿宋" w:eastAsia="仿宋" w:cs="仿宋"/>
          <w:color w:val="000000"/>
          <w:sz w:val="28"/>
          <w:szCs w:val="28"/>
        </w:rPr>
        <w:t>。</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1.因公出国（境）费支出0万元，与上年持平，单位出国团组0个、0人次。</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2.公务用车购置及运行费支出16万元，与上年持平，其中公务用车置费0万元，公务用车运行费16万元。公务用车购置数0辆及保有量2辆；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3.公务接待费支出30万元，与上年持平，主要用于执行任务、学习交流、检查指导等公务活动中发生的费用。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“三公经费”下降主要原因是根据厉行节约和"三公"经费只减不增的精神。以节约为原则，严格按规范要求开支各类“三公经费”。</w:t>
      </w:r>
    </w:p>
    <w:p>
      <w:pPr>
        <w:numPr>
          <w:ilvl w:val="0"/>
          <w:numId w:val="0"/>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　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2016年，本部门机关运行经费安排25.05万元，比上年增加1.8万元，增长7.74%，主要原因是：一是根据国家统一调资政策，调整人员经费；二是将部分已细化至具体用款单位、用途的事业发展性支出列入部门预算。</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2016年本部门政府采购安排0万元，其中：货物类采购预算0万元，工程类采购预算0万元，服务类采购预算0万元等。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2016年本部门共有车辆2辆，其中：一般公务用车1辆，一般执法执勤用车1辆，特种专业用车0辆；单位价值50万元以上通用设备0台（套），单价100万元以上专用设备0台（套）。</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选取基础资料完备、公开条件成熟的资产项目探索公开。如占有使用车辆情况，共有车辆**辆，其中：领导干部用车*辆，一般公务用车*辆等，**年预计购置/报废*辆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按财政部门批复下达年度预算，进一步增强支出责任和效率意识，全面加强预算管理，优化资源配置，提高财政资金使用绩效和科学精细化管理水平，提升政府执行力和公信力，积极推进预算支出绩效管理工作。</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：本项为推进性公开工作，可结合本部门实际情况简要介绍。如项目绩效目标覆盖率**；对比上年推进**工作等。）</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楷体_GB2312" w:hAnsi="楷体_GB2312" w:eastAsia="楷体_GB2312" w:cs="楷体_GB2312"/>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sz w:val="32"/>
          <w:szCs w:val="32"/>
          <w:highlight w:val="lightGray"/>
          <w:lang w:val="en-US" w:eastAsia="zh-CN"/>
        </w:rPr>
        <w:t>：本项为必须公开内容，可解释本部门预算特有的较为专业的名词，或是财政预算编制方面名词。）</w:t>
      </w:r>
    </w:p>
    <w:p>
      <w:pPr>
        <w:ind w:firstLine="640" w:firstLineChars="200"/>
        <w:jc w:val="left"/>
        <w:rPr>
          <w:rFonts w:hint="eastAsia" w:ascii="楷体_GB2312" w:hAnsi="楷体_GB2312" w:eastAsia="楷体_GB2312" w:cs="楷体_GB2312"/>
          <w:sz w:val="32"/>
          <w:szCs w:val="32"/>
          <w:highlight w:val="lightGray"/>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为便于社会公众的理解，各部门需对公开内容中涉及的专业名词进行解释，格式如下：（以下专业名词解释供参考，各部门可以根据公开内容中涉及的专业名词自行予以增减）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一、财政拨款收入：指财政当年拨付的资金事业收入。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二、事业收入：指事业单位开展专业业务活动及辅动所取得的收入。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三、经营收入：指事业单位在专业业务活动及其辅助活动之外开展非独立核算经营活动取得的收入。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四、其他收入：指除上述“财政拨款收入”、“事业收入”、“经营收入”等以外的收入。主要是非本级财政拨款、存款利息收入、事业单位固定资产出租收入等。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六、年初结转和结余：指以前年度尚未完成、结转到本年按有关规定继续使用的资金。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七、结余分配：指事业事位按规定提取的职工福利基金、事业基金和缴纳的所得税，以及建设单位按规定应交回的基本建设竣工项目结余资金。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八、年末结转和结余：指本年度或以前年度预算安排、因客观条件发生变化无法按原计划实施，需要延迟到以后年度按有关规定继续使用的资金。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九、基本支出：指为保障机构正常运转、完成日常工作任务面发生的人员支出和公用支出。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十、项目支出：指在基本支出这外为完成特定行政任务和事业发展目标所发生的支出。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十一、经营支出：指事业单位在专业业务活动及其辅助活动之外开展非独立核算经营活动所发生的支出。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二、“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w:t>
      </w:r>
    </w:p>
    <w:p>
      <w:pPr>
        <w:ind w:firstLine="640" w:firstLineChars="200"/>
        <w:jc w:val="left"/>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B7113"/>
    <w:rsid w:val="13016A31"/>
    <w:rsid w:val="20EE6A13"/>
    <w:rsid w:val="265D15D1"/>
    <w:rsid w:val="303B4679"/>
    <w:rsid w:val="36E602DD"/>
    <w:rsid w:val="4FC57C4E"/>
    <w:rsid w:val="4FE25621"/>
    <w:rsid w:val="50CB6A87"/>
    <w:rsid w:val="60E37A9B"/>
    <w:rsid w:val="62901C3E"/>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Emphasis"/>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财管所</cp:lastModifiedBy>
  <cp:lastPrinted>2018-02-09T07:39:00Z</cp:lastPrinted>
  <dcterms:modified xsi:type="dcterms:W3CDTF">2018-04-04T02:10:15Z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