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2017年</w:t>
      </w:r>
    </w:p>
    <w:p>
      <w:pPr>
        <w:jc w:val="center"/>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梅州市梅县区石坑镇人民政府部门预算</w:t>
      </w:r>
    </w:p>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黑体" w:hAnsi="黑体" w:eastAsia="黑体" w:cs="黑体"/>
          <w:sz w:val="44"/>
          <w:szCs w:val="44"/>
          <w:lang w:val="en-US" w:eastAsia="zh-CN"/>
        </w:rPr>
      </w:pPr>
      <w:r>
        <w:rPr>
          <w:rFonts w:hint="eastAsia" w:ascii="方正小标宋简体" w:hAnsi="方正小标宋简体" w:eastAsia="方正小标宋简体" w:cs="方正小标宋简体"/>
          <w:sz w:val="84"/>
          <w:szCs w:val="84"/>
          <w:lang w:val="en-US" w:eastAsia="zh-CN"/>
        </w:rPr>
        <w:br w:type="page"/>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目 录</w:t>
      </w:r>
    </w:p>
    <w:p>
      <w:pPr>
        <w:jc w:val="center"/>
        <w:rPr>
          <w:rFonts w:hint="eastAsia" w:ascii="黑体" w:hAnsi="黑体" w:eastAsia="黑体" w:cs="黑体"/>
          <w:sz w:val="44"/>
          <w:szCs w:val="44"/>
          <w:lang w:val="en-US" w:eastAsia="zh-CN"/>
        </w:rPr>
      </w:pP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第一部分  梅州市梅县区石坑镇人民政府概况</w:t>
      </w:r>
    </w:p>
    <w:p>
      <w:pPr>
        <w:numPr>
          <w:ilvl w:val="0"/>
          <w:numId w:val="1"/>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主要职责</w:t>
      </w:r>
    </w:p>
    <w:p>
      <w:pPr>
        <w:numPr>
          <w:ilvl w:val="0"/>
          <w:numId w:val="1"/>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机构设置</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第二部分  2017年梅州市梅县区石坑镇人民政府部门预算表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收支总体情况表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收入总体情况表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支出总体情况表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财政拨款收支总体情况表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一般公共预算支出情况表（按功能分类科目）</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一般公共预算基本支出情况表（按支出经济分类科目）</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一般公共预算项目支出情况表（按支出经济分类科目）</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一般公共预算安排的行政经费及“三公”经费预算表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政府性基金预算支出情况表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部门预算基本支出预算表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部门预算项目支出及其他支出预算表</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第三部分  2017年梅州市梅县区石坑镇人民政府部门预算情况说明</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第四部分  名词解释</w:t>
      </w:r>
    </w:p>
    <w:p>
      <w:pPr>
        <w:ind w:firstLine="640" w:firstLineChars="200"/>
        <w:jc w:val="both"/>
        <w:rPr>
          <w:rFonts w:hint="eastAsia" w:ascii="黑体" w:hAnsi="黑体" w:eastAsia="黑体" w:cs="黑体"/>
          <w:sz w:val="32"/>
          <w:szCs w:val="32"/>
          <w:lang w:val="en-US" w:eastAsia="zh-CN"/>
        </w:rPr>
      </w:pPr>
      <w:bookmarkStart w:id="0" w:name="_GoBack"/>
      <w:bookmarkEnd w:id="0"/>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第一部分  梅州市梅县区石坑镇人民政府概况</w:t>
      </w:r>
    </w:p>
    <w:p>
      <w:pPr>
        <w:jc w:val="both"/>
        <w:rPr>
          <w:rFonts w:hint="eastAsia" w:ascii="黑体" w:hAnsi="黑体" w:eastAsia="黑体" w:cs="黑体"/>
          <w:sz w:val="44"/>
          <w:szCs w:val="44"/>
          <w:lang w:val="en-US" w:eastAsia="zh-CN"/>
        </w:rPr>
      </w:pPr>
    </w:p>
    <w:p>
      <w:pPr>
        <w:numPr>
          <w:ilvl w:val="0"/>
          <w:numId w:val="3"/>
        </w:numPr>
        <w:ind w:firstLine="64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主要职责</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①负责贯彻、执行党的路线、方针、政策、法律、法规和上级党委、政府、镇党委的指示、决定、决议。</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②负责全镇的经济建设、计划统筹、人事劳动、财政、统计、乡镇企业管理、劳务管理和信访工作。</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③负责全镇的科学技术工作、农业综合开发工作、农村经济工作、水利工作和林业工作。</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④负责全镇的民政、民族、宗教、老龄和残疾人等工作。</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⑤负责全镇的计划生育、文体广播电视、劳动安全、村镇建设管理和城镇管理工作。</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⑥协同有关部门搞好教育、卫生保健、国土资源、公安、司法、工商、税务、金融、环保、交通安全等方面的工作。</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⑦负责指导、支持、帮助村（居）民委员会的组织制度建设和业务建设，促进村（居）民委员会民主自治。</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⑧完成上级交办的其他工作。</w:t>
      </w:r>
    </w:p>
    <w:p>
      <w:pPr>
        <w:numPr>
          <w:ilvl w:val="0"/>
          <w:numId w:val="0"/>
        </w:numPr>
        <w:ind w:firstLine="640"/>
        <w:jc w:val="both"/>
        <w:rPr>
          <w:rFonts w:hint="eastAsia" w:ascii="仿宋_GB2312" w:hAnsi="仿宋_GB2312" w:eastAsia="仿宋_GB2312" w:cs="仿宋_GB2312"/>
          <w:sz w:val="32"/>
          <w:szCs w:val="32"/>
          <w:lang w:val="en-US" w:eastAsia="zh-CN"/>
        </w:rPr>
      </w:pPr>
    </w:p>
    <w:p>
      <w:pPr>
        <w:numPr>
          <w:ilvl w:val="0"/>
          <w:numId w:val="0"/>
        </w:numPr>
        <w:ind w:firstLine="640"/>
        <w:jc w:val="both"/>
        <w:rPr>
          <w:rFonts w:hint="eastAsia" w:ascii="仿宋_GB2312" w:hAnsi="仿宋_GB2312" w:eastAsia="仿宋_GB2312" w:cs="仿宋_GB2312"/>
          <w:sz w:val="32"/>
          <w:szCs w:val="32"/>
          <w:lang w:val="en-US" w:eastAsia="zh-CN"/>
        </w:rPr>
      </w:pPr>
    </w:p>
    <w:p>
      <w:pPr>
        <w:numPr>
          <w:ilvl w:val="0"/>
          <w:numId w:val="0"/>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二、机构设置</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梅县区石坑镇人民政府为一级预算单位。本单位没有所属预算单位。</w:t>
      </w:r>
    </w:p>
    <w:p>
      <w:pPr>
        <w:numPr>
          <w:ilvl w:val="0"/>
          <w:numId w:val="0"/>
        </w:numPr>
        <w:ind w:firstLine="2880" w:firstLineChars="9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部门机构设置情况</w:t>
      </w:r>
    </w:p>
    <w:tbl>
      <w:tblPr>
        <w:tblStyle w:val="5"/>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1600"/>
        <w:gridCol w:w="1660"/>
        <w:gridCol w:w="26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660" w:type="dxa"/>
            <w:vAlign w:val="center"/>
          </w:tcPr>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单位名称</w:t>
            </w:r>
          </w:p>
        </w:tc>
        <w:tc>
          <w:tcPr>
            <w:tcW w:w="1600" w:type="dxa"/>
            <w:vAlign w:val="center"/>
          </w:tcPr>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单位性质</w:t>
            </w:r>
          </w:p>
        </w:tc>
        <w:tc>
          <w:tcPr>
            <w:tcW w:w="1660" w:type="dxa"/>
            <w:vAlign w:val="center"/>
          </w:tcPr>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单位规格</w:t>
            </w:r>
          </w:p>
        </w:tc>
        <w:tc>
          <w:tcPr>
            <w:tcW w:w="2602" w:type="dxa"/>
            <w:vAlign w:val="center"/>
          </w:tcPr>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经费保障形式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660" w:type="dxa"/>
            <w:vAlign w:val="center"/>
          </w:tcPr>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梅县区石坑镇</w:t>
            </w:r>
          </w:p>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人民政府</w:t>
            </w:r>
          </w:p>
        </w:tc>
        <w:tc>
          <w:tcPr>
            <w:tcW w:w="1600" w:type="dxa"/>
            <w:vAlign w:val="center"/>
          </w:tcPr>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w:t>
            </w:r>
          </w:p>
        </w:tc>
        <w:tc>
          <w:tcPr>
            <w:tcW w:w="1660" w:type="dxa"/>
            <w:vAlign w:val="center"/>
          </w:tcPr>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正科级</w:t>
            </w:r>
          </w:p>
        </w:tc>
        <w:tc>
          <w:tcPr>
            <w:tcW w:w="2602" w:type="dxa"/>
            <w:vAlign w:val="center"/>
          </w:tcPr>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财政性资金</w:t>
            </w:r>
          </w:p>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基本保证</w:t>
            </w:r>
          </w:p>
        </w:tc>
      </w:tr>
    </w:tbl>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机关组织内部机构设置“七办、四中心”：</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办”：党政办公室、社会事务办公室、社会治安综合治理信坊维稳办公室、卫生和计划生育办公室、农业事务办公室；“四中心”：社会保障服务中心、农业服务中心、财政结算服务中心、文教体育服务中心。</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人员设置：机关行政编制41名，机关后勤编制 1名，事业编制28名。至2017年，实有行政人员31名，机关后勤人员1人，事业人员24人，离退休人员17人。</w:t>
      </w:r>
    </w:p>
    <w:p>
      <w:pPr>
        <w:numPr>
          <w:ilvl w:val="0"/>
          <w:numId w:val="0"/>
        </w:numPr>
        <w:ind w:firstLine="640" w:firstLineChars="200"/>
        <w:jc w:val="both"/>
        <w:rPr>
          <w:rFonts w:hint="eastAsia" w:ascii="仿宋_GB2312" w:hAnsi="仿宋_GB2312" w:eastAsia="仿宋_GB2312" w:cs="仿宋_GB2312"/>
          <w:sz w:val="32"/>
          <w:szCs w:val="32"/>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第二部分  2017年梅州市梅县区石坑镇人民政府部门预算表</w:t>
      </w:r>
    </w:p>
    <w:p>
      <w:pPr>
        <w:jc w:val="both"/>
        <w:rPr>
          <w:rFonts w:hint="eastAsia" w:ascii="楷体_GB2312" w:hAnsi="楷体_GB2312" w:eastAsia="楷体_GB2312" w:cs="楷体_GB2312"/>
          <w:sz w:val="32"/>
          <w:szCs w:val="32"/>
          <w:highlight w:val="lightGray"/>
          <w:lang w:val="en-US" w:eastAsia="zh-CN"/>
        </w:rPr>
      </w:pPr>
      <w:r>
        <w:rPr>
          <w:rFonts w:hint="eastAsia" w:ascii="楷体_GB2312" w:hAnsi="楷体_GB2312" w:eastAsia="楷体_GB2312" w:cs="楷体_GB2312"/>
          <w:sz w:val="32"/>
          <w:szCs w:val="32"/>
          <w:highlight w:val="lightGray"/>
          <w:lang w:val="en-US" w:eastAsia="zh-CN"/>
        </w:rPr>
        <w:t>（</w:t>
      </w:r>
      <w:r>
        <w:rPr>
          <w:rFonts w:hint="eastAsia" w:ascii="楷体_GB2312" w:hAnsi="楷体_GB2312" w:eastAsia="楷体_GB2312" w:cs="楷体_GB2312"/>
          <w:b/>
          <w:bCs/>
          <w:sz w:val="32"/>
          <w:szCs w:val="32"/>
          <w:highlight w:val="lightGray"/>
          <w:lang w:val="en-US" w:eastAsia="zh-CN"/>
        </w:rPr>
        <w:t>说明</w:t>
      </w:r>
      <w:r>
        <w:rPr>
          <w:rFonts w:hint="eastAsia" w:ascii="楷体_GB2312" w:hAnsi="楷体_GB2312" w:eastAsia="楷体_GB2312" w:cs="楷体_GB2312"/>
          <w:sz w:val="32"/>
          <w:szCs w:val="32"/>
          <w:highlight w:val="lightGray"/>
          <w:lang w:val="en-US" w:eastAsia="zh-CN"/>
        </w:rPr>
        <w:t>：详情见附件内容）</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一、收支总体情况表</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二、收入总体情况表</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三、支出总体情况表</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四、财政拨款收支总体情况表</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五、一般公共预算支出情况表（按功能分类科目）</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六、一般公共预算基本支出情况表（按支出经济分类科目）</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七、一般公共预算项目支出情况表（按支出经济分类科目）</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八、一般公共预算安排的行政经费及“三公”经费预算表</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九、政府性基金预算支出情况表</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十、部门预算基本支出预算表</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十一、部门预算项目支出及其他支出预算表</w:t>
      </w:r>
    </w:p>
    <w:p>
      <w:pPr>
        <w:ind w:firstLine="640" w:firstLineChars="200"/>
        <w:jc w:val="both"/>
        <w:rPr>
          <w:rFonts w:hint="eastAsia" w:ascii="仿宋_GB2312" w:hAnsi="仿宋_GB2312" w:eastAsia="仿宋_GB2312" w:cs="仿宋_GB2312"/>
          <w:sz w:val="32"/>
          <w:szCs w:val="32"/>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第三部分  2017年梅州市梅县区石坑镇人民政府部门预算情况说明</w:t>
      </w:r>
    </w:p>
    <w:p>
      <w:pPr>
        <w:numPr>
          <w:ilvl w:val="0"/>
          <w:numId w:val="0"/>
        </w:numPr>
        <w:ind w:firstLine="640"/>
        <w:jc w:val="both"/>
        <w:rPr>
          <w:rFonts w:hint="eastAsia" w:ascii="楷体_GB2312" w:hAnsi="楷体_GB2312" w:eastAsia="楷体_GB2312" w:cs="楷体_GB2312"/>
          <w:sz w:val="32"/>
          <w:szCs w:val="32"/>
          <w:highlight w:val="lightGray"/>
          <w:lang w:val="en-US" w:eastAsia="zh-CN"/>
        </w:rPr>
      </w:pPr>
      <w:r>
        <w:rPr>
          <w:rFonts w:hint="eastAsia" w:ascii="楷体_GB2312" w:hAnsi="楷体_GB2312" w:eastAsia="楷体_GB2312" w:cs="楷体_GB2312"/>
          <w:sz w:val="32"/>
          <w:szCs w:val="32"/>
          <w:highlight w:val="lightGray"/>
          <w:lang w:val="en-US" w:eastAsia="zh-CN"/>
        </w:rPr>
        <w:t>（</w:t>
      </w:r>
      <w:r>
        <w:rPr>
          <w:rFonts w:hint="eastAsia" w:ascii="楷体_GB2312" w:hAnsi="楷体_GB2312" w:eastAsia="楷体_GB2312" w:cs="楷体_GB2312"/>
          <w:b/>
          <w:bCs/>
          <w:sz w:val="32"/>
          <w:szCs w:val="32"/>
          <w:highlight w:val="lightGray"/>
          <w:lang w:val="en-US" w:eastAsia="zh-CN"/>
        </w:rPr>
        <w:t>说明</w:t>
      </w:r>
      <w:r>
        <w:rPr>
          <w:rFonts w:hint="eastAsia" w:ascii="楷体_GB2312" w:hAnsi="楷体_GB2312" w:eastAsia="楷体_GB2312" w:cs="楷体_GB2312"/>
          <w:sz w:val="32"/>
          <w:szCs w:val="32"/>
          <w:highlight w:val="lightGray"/>
          <w:lang w:val="en-US" w:eastAsia="zh-CN"/>
        </w:rPr>
        <w:t>：在以下必须公开的基本说明基础上，可根据本部门情况加以细化说明）</w:t>
      </w:r>
    </w:p>
    <w:p>
      <w:pPr>
        <w:jc w:val="both"/>
        <w:rPr>
          <w:rFonts w:hint="eastAsia" w:ascii="方正小标宋简体" w:hAnsi="方正小标宋简体" w:eastAsia="方正小标宋简体" w:cs="方正小标宋简体"/>
          <w:sz w:val="44"/>
          <w:szCs w:val="44"/>
          <w:lang w:val="en-US" w:eastAsia="zh-CN"/>
        </w:rPr>
      </w:pPr>
    </w:p>
    <w:p>
      <w:pPr>
        <w:numPr>
          <w:ilvl w:val="0"/>
          <w:numId w:val="4"/>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部门预算收支增减变化情况</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1、收入预算1065.33万元，比上年增加137.95万元，增长14.88%，其中：一般公共预算拨款1065.33万元，比上年增加137.95万元；政府性基金预算拨款收入0万元。</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2、支出预算1065.33万元，比上年增加137.95万元，增长14.88%，主要原因：一是根据国家统一调资政策，调整人员经费；二是将部分已细化至具体用款单位、用途的事业发展性支出列入部门预算； </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2017年一般公共预算拨款支出预算按用途划分，基本支出预算965.33万元，占90.61%，比上年增加167.95万元，增长21.06%。其中：工资福利支出686.05万元，对个人和家庭的补助243.68万元，商品和服务支出35.6万元；项目支出预算100万元，占9.39%，比上年减少30万元，减少30%。</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3、政府性基金预算拨款安排的支出0万元。</w:t>
      </w:r>
    </w:p>
    <w:p>
      <w:pPr>
        <w:numPr>
          <w:ilvl w:val="0"/>
          <w:numId w:val="4"/>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“三公”经费安排情况说明</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2017年“三公经费”支出46万元，与上年持平。</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1.因公出国（境）费支出0万元，与上年持平，单位出国团组0个、0人次。</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2.公务用车购置及运行费支出16万元，与上年持平，其中公务用车置费0万元，公务用车运行费16万元。公务用车购置数0辆及保有量2辆；</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3.公务接待费支出0万元，与上年持平，主要用于执行任务、学习交流、检查指导等公务活动中发生的费用。</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“三公经费”下降主要原因是根据厉行节约和"三公"经费只减不增的精神。以节约为原则，严格按规范要求开支各类“三公经费”。</w:t>
      </w:r>
    </w:p>
    <w:p>
      <w:pPr>
        <w:numPr>
          <w:ilvl w:val="0"/>
          <w:numId w:val="4"/>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机关运行经费安排情况</w:t>
      </w:r>
    </w:p>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2017年，本部门机关运行经费安排35.60万元，比上年增加9.55万元，增长38.12%，主要原因是一是根据国家统一调资政策，调整人员经费；二是将部分已细化至具体用款单位、用途的事业发展性支出列入部门预算。</w:t>
      </w:r>
    </w:p>
    <w:p>
      <w:pPr>
        <w:numPr>
          <w:ilvl w:val="0"/>
          <w:numId w:val="4"/>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政府采购情况</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2017年本部门政府采购安排0万元，其中：货物类采购预算0万元，工程类采购预算0万元，服务类采购预算0万元等。</w:t>
      </w:r>
    </w:p>
    <w:p>
      <w:pPr>
        <w:numPr>
          <w:ilvl w:val="0"/>
          <w:numId w:val="4"/>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国有资产占有使用情况</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2017年本部门共有车辆2辆，其中：一般公务用车1辆，一般执法执勤用车1辆，特种专业用车0辆；单位价值50万元以上通用设备0台（套），单价100万元以上专用设备0台（套）。</w:t>
      </w:r>
    </w:p>
    <w:p>
      <w:pPr>
        <w:numPr>
          <w:ilvl w:val="0"/>
          <w:numId w:val="0"/>
        </w:numPr>
        <w:ind w:firstLine="640"/>
        <w:jc w:val="both"/>
        <w:rPr>
          <w:rFonts w:hint="eastAsia" w:ascii="楷体_GB2312" w:hAnsi="楷体_GB2312" w:eastAsia="楷体_GB2312" w:cs="楷体_GB2312"/>
          <w:b w:val="0"/>
          <w:bCs w:val="0"/>
          <w:sz w:val="32"/>
          <w:szCs w:val="32"/>
          <w:highlight w:val="lightGray"/>
          <w:lang w:val="en-US" w:eastAsia="zh-CN"/>
        </w:rPr>
      </w:pPr>
      <w:r>
        <w:rPr>
          <w:rFonts w:hint="eastAsia" w:ascii="楷体_GB2312" w:hAnsi="楷体_GB2312" w:eastAsia="楷体_GB2312" w:cs="楷体_GB2312"/>
          <w:b w:val="0"/>
          <w:bCs w:val="0"/>
          <w:sz w:val="32"/>
          <w:szCs w:val="32"/>
          <w:highlight w:val="lightGray"/>
          <w:lang w:val="en-US" w:eastAsia="zh-CN"/>
        </w:rPr>
        <w:t>（</w:t>
      </w:r>
      <w:r>
        <w:rPr>
          <w:rFonts w:hint="eastAsia" w:ascii="楷体_GB2312" w:hAnsi="楷体_GB2312" w:eastAsia="楷体_GB2312" w:cs="楷体_GB2312"/>
          <w:b/>
          <w:bCs/>
          <w:sz w:val="32"/>
          <w:szCs w:val="32"/>
          <w:highlight w:val="lightGray"/>
          <w:lang w:val="en-US" w:eastAsia="zh-CN"/>
        </w:rPr>
        <w:t>说明</w:t>
      </w:r>
      <w:r>
        <w:rPr>
          <w:rFonts w:hint="eastAsia" w:ascii="楷体_GB2312" w:hAnsi="楷体_GB2312" w:eastAsia="楷体_GB2312" w:cs="楷体_GB2312"/>
          <w:b w:val="0"/>
          <w:bCs w:val="0"/>
          <w:sz w:val="32"/>
          <w:szCs w:val="32"/>
          <w:highlight w:val="lightGray"/>
          <w:lang w:val="en-US" w:eastAsia="zh-CN"/>
        </w:rPr>
        <w:t>：本项为推进性公开工作，可结合本部门实际情况，选取基础资料完备、公开条件成熟的资产项目探索公开。如占有使用车辆情况，共有车辆**辆，其中：领导干部用车*辆，一般公务用车*辆等，**年预计购置/报废*辆等。）</w:t>
      </w:r>
    </w:p>
    <w:p>
      <w:pPr>
        <w:numPr>
          <w:ilvl w:val="0"/>
          <w:numId w:val="4"/>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预算绩效信息公开情况</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2017年，本部门按财政部门批复下达年度预算，进一步增强支出责任和效率意识，全面加强预算管理，优化资源配置，提高财政资金使用绩效和科学精细化管理水平，提升政府执行力和公信力，积极推进预算支出绩效管理工作。</w:t>
      </w:r>
    </w:p>
    <w:p>
      <w:pPr>
        <w:numPr>
          <w:ilvl w:val="0"/>
          <w:numId w:val="0"/>
        </w:numPr>
        <w:ind w:firstLine="640"/>
        <w:jc w:val="both"/>
        <w:rPr>
          <w:rFonts w:hint="eastAsia" w:ascii="方正小标宋简体" w:hAnsi="方正小标宋简体" w:eastAsia="方正小标宋简体" w:cs="方正小标宋简体"/>
          <w:sz w:val="44"/>
          <w:szCs w:val="44"/>
          <w:lang w:val="en-US" w:eastAsia="zh-CN"/>
        </w:rPr>
      </w:pPr>
      <w:r>
        <w:rPr>
          <w:rFonts w:hint="eastAsia" w:ascii="楷体_GB2312" w:hAnsi="楷体_GB2312" w:eastAsia="楷体_GB2312" w:cs="楷体_GB2312"/>
          <w:b w:val="0"/>
          <w:bCs w:val="0"/>
          <w:sz w:val="32"/>
          <w:szCs w:val="32"/>
          <w:highlight w:val="lightGray"/>
          <w:lang w:val="en-US" w:eastAsia="zh-CN"/>
        </w:rPr>
        <w:t>（</w:t>
      </w:r>
      <w:r>
        <w:rPr>
          <w:rFonts w:hint="eastAsia" w:ascii="楷体_GB2312" w:hAnsi="楷体_GB2312" w:eastAsia="楷体_GB2312" w:cs="楷体_GB2312"/>
          <w:b/>
          <w:bCs/>
          <w:sz w:val="32"/>
          <w:szCs w:val="32"/>
          <w:highlight w:val="lightGray"/>
          <w:lang w:val="en-US" w:eastAsia="zh-CN"/>
        </w:rPr>
        <w:t>说明</w:t>
      </w:r>
      <w:r>
        <w:rPr>
          <w:rFonts w:hint="eastAsia" w:ascii="楷体_GB2312" w:hAnsi="楷体_GB2312" w:eastAsia="楷体_GB2312" w:cs="楷体_GB2312"/>
          <w:b w:val="0"/>
          <w:bCs w:val="0"/>
          <w:sz w:val="32"/>
          <w:szCs w:val="32"/>
          <w:highlight w:val="lightGray"/>
          <w:lang w:val="en-US" w:eastAsia="zh-CN"/>
        </w:rPr>
        <w:t>：本项为推进性公开工作，可结合本部门实际情况简要介绍。如项目绩效目标覆盖率**；对比上年推进**工作等。）</w:t>
      </w: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第四部分  名词解释</w:t>
      </w:r>
    </w:p>
    <w:p>
      <w:pPr>
        <w:ind w:firstLine="640" w:firstLineChars="200"/>
        <w:jc w:val="left"/>
        <w:rPr>
          <w:rFonts w:hint="eastAsia" w:ascii="楷体_GB2312" w:hAnsi="楷体_GB2312" w:eastAsia="楷体_GB2312" w:cs="楷体_GB2312"/>
          <w:sz w:val="32"/>
          <w:szCs w:val="32"/>
          <w:highlight w:val="lightGray"/>
          <w:lang w:val="en-US" w:eastAsia="zh-CN"/>
        </w:rPr>
      </w:pPr>
      <w:r>
        <w:rPr>
          <w:rFonts w:hint="eastAsia" w:ascii="楷体_GB2312" w:hAnsi="楷体_GB2312" w:eastAsia="楷体_GB2312" w:cs="楷体_GB2312"/>
          <w:sz w:val="32"/>
          <w:szCs w:val="32"/>
          <w:highlight w:val="lightGray"/>
          <w:lang w:val="en-US" w:eastAsia="zh-CN"/>
        </w:rPr>
        <w:t>（</w:t>
      </w:r>
      <w:r>
        <w:rPr>
          <w:rFonts w:hint="eastAsia" w:ascii="楷体_GB2312" w:hAnsi="楷体_GB2312" w:eastAsia="楷体_GB2312" w:cs="楷体_GB2312"/>
          <w:b/>
          <w:bCs/>
          <w:sz w:val="32"/>
          <w:szCs w:val="32"/>
          <w:highlight w:val="lightGray"/>
          <w:lang w:val="en-US" w:eastAsia="zh-CN"/>
        </w:rPr>
        <w:t>说明</w:t>
      </w:r>
      <w:r>
        <w:rPr>
          <w:rFonts w:hint="eastAsia" w:ascii="楷体_GB2312" w:hAnsi="楷体_GB2312" w:eastAsia="楷体_GB2312" w:cs="楷体_GB2312"/>
          <w:sz w:val="32"/>
          <w:szCs w:val="32"/>
          <w:highlight w:val="lightGray"/>
          <w:lang w:val="en-US" w:eastAsia="zh-CN"/>
        </w:rPr>
        <w:t>：本项为必须公开内容，可解释本部门预算特有的较为专业的名词，或是财政预算编制方面名词。）</w:t>
      </w:r>
    </w:p>
    <w:p>
      <w:pPr>
        <w:ind w:firstLine="640" w:firstLineChars="200"/>
        <w:jc w:val="left"/>
        <w:rPr>
          <w:rFonts w:hint="eastAsia" w:ascii="楷体_GB2312" w:hAnsi="楷体_GB2312" w:eastAsia="楷体_GB2312" w:cs="楷体_GB2312"/>
          <w:sz w:val="32"/>
          <w:szCs w:val="32"/>
          <w:highlight w:val="lightGray"/>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为便于社会公众的理解，各部门需对公开内容中涉及的专业名词进行解释，格式如下：（以下专业名词解释供参考，各部门可以根据公开内容中涉及的专业名词自行予以增减）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一、财政拨款收入：指财政当年拨付的资金事业收入。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二、事业收入：指事业单位开展专业业务活动及辅动所取得的收入。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三、经营收入：指事业单位在专业业务活动及其辅助活动之外开展非独立核算经营活动取得的收入。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四、其他收入：指除上述“财政拨款收入”、“事业收入”、“经营收入”等以外的收入。主要是非本级财政拨款、存款利息收入、事业单位固定资产出租收入等。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五、用事业基金弥补收支差额：指事业单位在用当年的“财政拨款收入”、 “事业收入”、“经营收入”、“其他收入”不足以安排当年支出的情况下，使用以前年度积累的事业基金（事业单位当年收支相抵后按国家规定提取、用于弥补以后年度收支差额的基金）弥补本年度收支缺口的资金。</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六、年初结转和结余：指以前年度尚未完成、结转到本年按有关规定继续使用的资金。</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七、结余分配：指事业事位按规定提取的职工福利基金、事业基金和缴纳的所得税，以及建设单位按规定应交回的基本建设竣工项目结余资金。</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八、年末结转和结余：指本年度或以前年度预算安排、因客观条件发生变化无法按原计划实施，需要延迟到以后年度按有关规定继续使用的资金。</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九、基本支出：指为保障机构正常运转、完成日常工作任务面发生的人员支出和公用支出。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十、项目支出：指在基本支出这外为完成特定行政任务和事业发展目标所发生的支出。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十一、经营支出：指事业单位在专业业务活动及其辅助活动之外开展非独立核算经营活动所发生的支出。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十二、“三公”经费：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十三、机关运行经费：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w:t>
      </w:r>
    </w:p>
    <w:p>
      <w:pPr>
        <w:ind w:firstLine="640" w:firstLineChars="200"/>
        <w:jc w:val="left"/>
        <w:rPr>
          <w:rFonts w:hint="eastAsia" w:ascii="仿宋_GB2312" w:hAnsi="仿宋_GB2312" w:eastAsia="仿宋_GB2312" w:cs="仿宋_GB2312"/>
          <w:sz w:val="32"/>
          <w:szCs w:val="32"/>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F2250"/>
    <w:multiLevelType w:val="singleLevel"/>
    <w:tmpl w:val="5A5F2250"/>
    <w:lvl w:ilvl="0" w:tentative="0">
      <w:start w:val="1"/>
      <w:numFmt w:val="chineseCounting"/>
      <w:suff w:val="nothing"/>
      <w:lvlText w:val="%1、"/>
      <w:lvlJc w:val="left"/>
    </w:lvl>
  </w:abstractNum>
  <w:abstractNum w:abstractNumId="1">
    <w:nsid w:val="5A5F2384"/>
    <w:multiLevelType w:val="singleLevel"/>
    <w:tmpl w:val="5A5F2384"/>
    <w:lvl w:ilvl="0" w:tentative="0">
      <w:start w:val="1"/>
      <w:numFmt w:val="chineseCounting"/>
      <w:suff w:val="nothing"/>
      <w:lvlText w:val="%1、"/>
      <w:lvlJc w:val="left"/>
    </w:lvl>
  </w:abstractNum>
  <w:abstractNum w:abstractNumId="2">
    <w:nsid w:val="5A5F2A51"/>
    <w:multiLevelType w:val="singleLevel"/>
    <w:tmpl w:val="5A5F2A51"/>
    <w:lvl w:ilvl="0" w:tentative="0">
      <w:start w:val="1"/>
      <w:numFmt w:val="chineseCounting"/>
      <w:suff w:val="nothing"/>
      <w:lvlText w:val="%1、"/>
      <w:lvlJc w:val="left"/>
    </w:lvl>
  </w:abstractNum>
  <w:abstractNum w:abstractNumId="3">
    <w:nsid w:val="5A600927"/>
    <w:multiLevelType w:val="singleLevel"/>
    <w:tmpl w:val="5A600927"/>
    <w:lvl w:ilvl="0" w:tentative="0">
      <w:start w:val="1"/>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2F0711"/>
    <w:rsid w:val="081B7113"/>
    <w:rsid w:val="13016A31"/>
    <w:rsid w:val="1B7E427F"/>
    <w:rsid w:val="20EE6A13"/>
    <w:rsid w:val="36E602DD"/>
    <w:rsid w:val="50CB6A87"/>
    <w:rsid w:val="60E37A9B"/>
    <w:rsid w:val="66D06120"/>
    <w:rsid w:val="6D9B07DA"/>
    <w:rsid w:val="7A3D118F"/>
    <w:rsid w:val="7F193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4">
    <w:name w:val="Emphasis"/>
    <w:basedOn w:val="3"/>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huangzj</dc:creator>
  <cp:lastModifiedBy>财管所</cp:lastModifiedBy>
  <cp:lastPrinted>2018-02-09T07:39:00Z</cp:lastPrinted>
  <dcterms:modified xsi:type="dcterms:W3CDTF">2018-04-04T02:10:52Z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