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梅县区政务服务数据管理局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center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eastAsia" w:ascii="Calibri" w:hAnsi="Calibri" w:cs="Calibri"/>
          <w:color w:val="222222"/>
          <w:sz w:val="21"/>
          <w:szCs w:val="21"/>
        </w:rPr>
      </w:pPr>
      <w:r>
        <w:rPr>
          <w:rFonts w:hint="eastAsia" w:ascii="Calibri" w:hAnsi="Calibri" w:cs="Calibri"/>
          <w:color w:val="222222"/>
          <w:sz w:val="21"/>
          <w:szCs w:val="21"/>
        </w:rPr>
        <w:t>根据《中华人民共和国政府信息公开条例》的规定，现公布梅县区政务服务数据管理局</w:t>
      </w:r>
      <w:r>
        <w:rPr>
          <w:rFonts w:hint="default" w:ascii="Calibri" w:hAnsi="Calibri" w:cs="Calibri"/>
          <w:color w:val="222222"/>
          <w:sz w:val="21"/>
          <w:szCs w:val="21"/>
        </w:rPr>
        <w:t>2020年政府信息公开工作年度报告。本报告由总体情况、主动公开政府信息情况、收到和处理政府信息公开申请情况、政府信息公开行政复议和行政诉讼情况、存在问题及改进措施、其他需要报告的事项等六部分组成，内容涵盖梅县区政务服务数据管理局2020年1月1日起至12月31日期间的政府信息公开工作情况。如对本报告有疑问，请联系梅县区政务服务数据管理局办公室（地址：梅县新县城文体中心三楼，联系电话：0753-2589502）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ascii="宋体" w:hAnsi="宋体" w:eastAsia="宋体" w:cs="宋体"/>
          <w:b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eastAsia" w:ascii="Calibri" w:hAnsi="Calibri" w:cs="Calibri"/>
          <w:color w:val="222222"/>
          <w:sz w:val="21"/>
          <w:szCs w:val="21"/>
        </w:rPr>
        <w:t> </w:t>
      </w:r>
      <w:r>
        <w:rPr>
          <w:rFonts w:hint="default" w:ascii="Calibri" w:hAnsi="Calibri" w:cs="Calibri"/>
          <w:color w:val="222222"/>
          <w:sz w:val="21"/>
          <w:szCs w:val="21"/>
        </w:rPr>
        <w:t>2020年，我局认真贯彻落实《中华人民共和国政府信息公开条例》、《广东省政务公开条例》和市、区相关文件精神，积极稳妥推进政府信息公开工作，进一步健全完善政府信息公开工作机制，加大政府信息公开工作力度，着力增强行政工作透明度。一年来，我局认真做好政府信息主动公开工作，将属于主动公开范围的政府信息编为组织机构（领导分工、机构职能）、部门文件、工作动态、部门预决算和三公经费、其他等5个类别；“政府信息公开目录”网站专栏发布政府信息40条，其中工作动态类信息34条，财政预决算信息1条，部门文件5条。其次，切实做好政府信息依申请公开工作，全年共收到、处理政府信息公开申请0件，全部按时完成做好答复工作。在政府信息管理方面，我局严格按照上级部门文件指示精神，及时更新局内动态，严格遵守政府信息公开条例。在平台建设方面，加强对我局政务新媒体的监督管理，对政府网站、公众号等进行常态化管理。在监督保障方面，通过网上检查、软件查找等方式对政府网站和政务新媒体进行监督、检查，对发现的问题立行立改，确保整改落实到位。</w:t>
      </w: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hint="eastAsia" w:ascii="宋体" w:hAnsi="宋体" w:eastAsia="宋体" w:cs="宋体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516"/>
        <w:gridCol w:w="1371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6D9F1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制作数量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公开数量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6D9F1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6D9F1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6D9F1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hint="eastAsia" w:ascii="微软雅黑" w:hAnsi="微软雅黑" w:eastAsia="微软雅黑" w:cs="微软雅黑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C6D9F1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97.53万元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240" w:afterAutospacing="0" w:line="432" w:lineRule="atLeast"/>
        <w:ind w:firstLine="480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jc w:val="center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 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84"/>
        <w:gridCol w:w="1704"/>
        <w:gridCol w:w="660"/>
        <w:gridCol w:w="612"/>
        <w:gridCol w:w="612"/>
        <w:gridCol w:w="660"/>
        <w:gridCol w:w="792"/>
        <w:gridCol w:w="576"/>
        <w:gridCol w:w="5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8" w:type="dxa"/>
            <w:gridSpan w:val="3"/>
            <w:vMerge w:val="restart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（本列数据的勾稽关系为：第一项加第二项之和，等于第三项加第四项之和）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7"/>
            <w:tcBorders>
              <w:top w:val="inset" w:color="auto" w:sz="8" w:space="0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申请人情况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8" w:type="dxa"/>
            <w:gridSpan w:val="3"/>
            <w:vMerge w:val="continue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自然人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法人或其他组织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总计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2808" w:type="dxa"/>
            <w:gridSpan w:val="3"/>
            <w:vMerge w:val="continue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商业企业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科研机构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社会公益组织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法律服务机构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其他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8" w:type="dxa"/>
            <w:gridSpan w:val="3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一、本年新收政府信息公开申请数量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8" w:type="dxa"/>
            <w:gridSpan w:val="3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二、上年结转政府信息公开申请数量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三、本年度办理结果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D3D3D"/>
                <w:sz w:val="20"/>
                <w:szCs w:val="20"/>
              </w:rPr>
              <w:t>（一）予以公开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（二）部分公开（区分处理的，只计这一情形，不计其他情形）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（三）不予公开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1.属于国家秘密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2.其他法律行政法规禁止公开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3.危及“三安全一稳定”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4.保护第三方合法权益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5.属于三类内部事务信息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6.属于四类过程性信息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7.属于行政执法案卷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8.属于行政查询事项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（四）无法提供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1.本机关不掌握相关政府信息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2.没有现成信息需要另行制作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3.补正后申请内容仍不明确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（五）不予处理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1.信访举报投诉类申请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2.重复申请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3.要求提供公开出版物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4.无正当理由大量反复申请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5.要求行政机关确认或重新出具已获取信息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（六）其他处理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D3D3D"/>
                <w:sz w:val="20"/>
                <w:szCs w:val="20"/>
              </w:rPr>
              <w:t>（七）总计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8" w:type="dxa"/>
            <w:gridSpan w:val="3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四、结转下年度继续办理</w:t>
            </w:r>
          </w:p>
          <w:p>
            <w:pPr>
              <w:pStyle w:val="4"/>
              <w:widowControl/>
              <w:spacing w:beforeAutospacing="0" w:afterAutospacing="0" w:line="330" w:lineRule="atLeas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32" w:lineRule="atLeast"/>
        <w:ind w:firstLine="361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 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80"/>
        <w:gridCol w:w="480"/>
        <w:gridCol w:w="480"/>
        <w:gridCol w:w="528"/>
        <w:gridCol w:w="432"/>
        <w:gridCol w:w="480"/>
        <w:gridCol w:w="480"/>
        <w:gridCol w:w="480"/>
        <w:gridCol w:w="504"/>
        <w:gridCol w:w="480"/>
        <w:gridCol w:w="480"/>
        <w:gridCol w:w="480"/>
        <w:gridCol w:w="480"/>
        <w:gridCol w:w="4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5"/>
            <w:tcBorders>
              <w:top w:val="inset" w:color="auto" w:sz="8" w:space="0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行政复议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788" w:type="dxa"/>
            <w:gridSpan w:val="10"/>
            <w:tcBorders>
              <w:top w:val="inset" w:color="auto" w:sz="8" w:space="0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行政诉讼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结果维持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结果纠正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其他结果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尚未审结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总计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未经复议直接起诉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复议后起诉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结果维持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结果纠正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其他结果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尚未审结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结果维持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结果纠正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</w:rPr>
              <w:t>尚未审结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" w:type="dxa"/>
            <w:tcBorders>
              <w:top w:val="nil"/>
              <w:left w:val="inset" w:color="auto" w:sz="8" w:space="0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0 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0"/>
                <w:szCs w:val="20"/>
              </w:rPr>
              <w:t> 0</w:t>
            </w:r>
          </w:p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inset" w:color="auto" w:sz="8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33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　　存在的主要问题：一是各股室工作人员政府信息公开意识有待进一步提高；二是政策解读能力有待加强。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　　改进情况：一是加强组织领导，提高政治站位，进一步健全和完善政务公开制度，着力提高机关工作人员信息公开意识；二是加强信息员与股室的衔接和沟通，努力将信息收集与公开同步进行，确保信息的及时、准确、全面；三是加强对政策解读的能力，通过通俗易懂的方式，如漫画、视频等方式对政策文件进行解读，让人民群众能够清晰得了解政策带来的福利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both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　　无其他需报告的事项。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right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梅县区政务服务数据管理局</w:t>
      </w:r>
    </w:p>
    <w:p>
      <w:pPr>
        <w:pStyle w:val="4"/>
        <w:widowControl/>
        <w:shd w:val="clear" w:color="auto" w:fill="FFFFFF"/>
        <w:spacing w:beforeAutospacing="0" w:afterAutospacing="0" w:line="432" w:lineRule="atLeast"/>
        <w:ind w:firstLine="480"/>
        <w:jc w:val="right"/>
        <w:rPr>
          <w:rFonts w:hint="default" w:ascii="Calibri" w:hAnsi="Calibri" w:cs="Calibri"/>
          <w:color w:val="222222"/>
          <w:sz w:val="21"/>
          <w:szCs w:val="21"/>
        </w:rPr>
      </w:pPr>
      <w:r>
        <w:rPr>
          <w:rFonts w:hint="default" w:ascii="Calibri" w:hAnsi="Calibri" w:cs="Calibri"/>
          <w:color w:val="222222"/>
          <w:sz w:val="21"/>
          <w:szCs w:val="21"/>
        </w:rPr>
        <w:t>2021年1月11号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34FED"/>
    <w:rsid w:val="000F2732"/>
    <w:rsid w:val="001C7C2C"/>
    <w:rsid w:val="005B3A85"/>
    <w:rsid w:val="00680847"/>
    <w:rsid w:val="00A22837"/>
    <w:rsid w:val="00EB7F05"/>
    <w:rsid w:val="00F6332F"/>
    <w:rsid w:val="00FB6B78"/>
    <w:rsid w:val="58C8400D"/>
    <w:rsid w:val="5A134FED"/>
    <w:rsid w:val="6AE800FD"/>
    <w:rsid w:val="7BA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341</Words>
  <Characters>1949</Characters>
  <Lines>16</Lines>
  <Paragraphs>4</Paragraphs>
  <TotalTime>5</TotalTime>
  <ScaleCrop>false</ScaleCrop>
  <LinksUpToDate>false</LinksUpToDate>
  <CharactersWithSpaces>2286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2021-01-11T01:07:00Z</dcterms:created>
  <dc:creator>李伟雄</dc:creator>
  <cp:lastModifiedBy>WPS_1601451688</cp:lastModifiedBy>
  <dcterms:modified xsi:type="dcterms:W3CDTF">2021-05-28T09:24:08Z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7A22D5049B5742B8A8F42C4E38AEC9C6</vt:lpwstr>
  </property>
</Properties>
</file>