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center"/>
        <w:textAlignment w:val="auto"/>
        <w:rPr>
          <w:rFonts w:hint="eastAsia" w:ascii="方正小标宋简体" w:hAnsi="方正小标宋简体" w:eastAsia="方正小标宋简体" w:cs="方正小标宋简体"/>
          <w:b w:val="0"/>
          <w:bCs/>
          <w:i w:val="0"/>
          <w:caps w:val="0"/>
          <w:color w:val="auto"/>
          <w:spacing w:val="0"/>
          <w:kern w:val="0"/>
          <w:sz w:val="44"/>
          <w:szCs w:val="44"/>
          <w:highlight w:val="none"/>
          <w:shd w:val="clear" w:fill="FFFFFF"/>
          <w:lang w:val="en-US" w:eastAsia="zh-CN" w:bidi="ar"/>
        </w:rPr>
      </w:pPr>
      <w:r>
        <w:rPr>
          <w:rFonts w:hint="eastAsia" w:ascii="方正小标宋简体" w:hAnsi="方正小标宋简体" w:eastAsia="方正小标宋简体" w:cs="方正小标宋简体"/>
          <w:b w:val="0"/>
          <w:bCs/>
          <w:i w:val="0"/>
          <w:caps w:val="0"/>
          <w:color w:val="auto"/>
          <w:spacing w:val="0"/>
          <w:kern w:val="0"/>
          <w:sz w:val="44"/>
          <w:szCs w:val="44"/>
          <w:highlight w:val="none"/>
          <w:shd w:val="clear" w:fill="FFFFFF"/>
          <w:lang w:val="en-US" w:eastAsia="zh-CN" w:bidi="ar"/>
        </w:rPr>
        <w:t>对梅县区关于2024年度区级预算执行</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center"/>
        <w:textAlignment w:val="auto"/>
        <w:rPr>
          <w:rFonts w:hint="eastAsia" w:ascii="方正小标宋简体" w:hAnsi="方正小标宋简体" w:eastAsia="方正小标宋简体" w:cs="方正小标宋简体"/>
          <w:b w:val="0"/>
          <w:bCs/>
          <w:i w:val="0"/>
          <w:caps w:val="0"/>
          <w:color w:val="auto"/>
          <w:spacing w:val="0"/>
          <w:kern w:val="0"/>
          <w:sz w:val="44"/>
          <w:szCs w:val="44"/>
          <w:highlight w:val="none"/>
          <w:shd w:val="clear" w:fill="FFFFFF"/>
          <w:lang w:val="en-US" w:eastAsia="zh-CN" w:bidi="ar"/>
        </w:rPr>
      </w:pPr>
      <w:r>
        <w:rPr>
          <w:rFonts w:hint="eastAsia" w:ascii="方正小标宋简体" w:hAnsi="方正小标宋简体" w:eastAsia="方正小标宋简体" w:cs="方正小标宋简体"/>
          <w:b w:val="0"/>
          <w:bCs/>
          <w:i w:val="0"/>
          <w:caps w:val="0"/>
          <w:color w:val="auto"/>
          <w:spacing w:val="0"/>
          <w:kern w:val="0"/>
          <w:sz w:val="44"/>
          <w:szCs w:val="44"/>
          <w:highlight w:val="none"/>
          <w:shd w:val="clear" w:fill="FFFFFF"/>
          <w:lang w:val="en-US" w:eastAsia="zh-CN" w:bidi="ar"/>
        </w:rPr>
        <w:t>和其他财政收支审计查出突出问题</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60" w:lineRule="exact"/>
        <w:ind w:left="0" w:right="0" w:firstLine="0"/>
        <w:jc w:val="center"/>
        <w:textAlignment w:val="auto"/>
        <w:rPr>
          <w:rFonts w:hint="eastAsia" w:ascii="方正小标宋简体" w:hAnsi="方正小标宋简体" w:eastAsia="方正小标宋简体" w:cs="方正小标宋简体"/>
          <w:b w:val="0"/>
          <w:bCs/>
          <w:i w:val="0"/>
          <w:caps w:val="0"/>
          <w:color w:val="auto"/>
          <w:spacing w:val="0"/>
          <w:sz w:val="44"/>
          <w:szCs w:val="44"/>
          <w:highlight w:val="none"/>
        </w:rPr>
      </w:pPr>
      <w:r>
        <w:rPr>
          <w:rFonts w:hint="eastAsia" w:ascii="方正小标宋简体" w:hAnsi="方正小标宋简体" w:eastAsia="方正小标宋简体" w:cs="方正小标宋简体"/>
          <w:b w:val="0"/>
          <w:bCs/>
          <w:i w:val="0"/>
          <w:caps w:val="0"/>
          <w:color w:val="auto"/>
          <w:spacing w:val="0"/>
          <w:kern w:val="0"/>
          <w:sz w:val="44"/>
          <w:szCs w:val="44"/>
          <w:highlight w:val="none"/>
          <w:shd w:val="clear" w:fill="FFFFFF"/>
          <w:lang w:val="en-US" w:eastAsia="zh-CN" w:bidi="ar"/>
        </w:rPr>
        <w:t>整改情况报告的解读</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i w:val="0"/>
          <w:caps w:val="0"/>
          <w:color w:val="auto"/>
          <w:spacing w:val="0"/>
          <w:sz w:val="32"/>
          <w:szCs w:val="32"/>
          <w:highlight w:val="none"/>
          <w:shd w:val="clear" w:fill="FFFFFF"/>
        </w:r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2026年6</w:t>
      </w:r>
      <w:r>
        <w:rPr>
          <w:rFonts w:hint="eastAsia" w:ascii="仿宋_GB2312" w:hAnsi="仿宋_GB2312" w:eastAsia="仿宋_GB2312" w:cs="仿宋_GB2312"/>
          <w:b w:val="0"/>
          <w:i w:val="0"/>
          <w:caps w:val="0"/>
          <w:color w:val="auto"/>
          <w:spacing w:val="0"/>
          <w:sz w:val="32"/>
          <w:szCs w:val="32"/>
          <w:highlight w:val="none"/>
          <w:shd w:val="clear" w:fill="FFFFFF"/>
        </w:rPr>
        <w:t>月</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9</w:t>
      </w:r>
      <w:r>
        <w:rPr>
          <w:rFonts w:hint="eastAsia" w:ascii="仿宋_GB2312" w:hAnsi="仿宋_GB2312" w:eastAsia="仿宋_GB2312" w:cs="仿宋_GB2312"/>
          <w:b w:val="0"/>
          <w:i w:val="0"/>
          <w:caps w:val="0"/>
          <w:color w:val="auto"/>
          <w:spacing w:val="0"/>
          <w:sz w:val="32"/>
          <w:szCs w:val="32"/>
          <w:highlight w:val="none"/>
          <w:shd w:val="clear" w:fill="FFFFFF"/>
        </w:rPr>
        <w:t>日，梅县区二届人大常委会第</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三十七</w:t>
      </w:r>
      <w:r>
        <w:rPr>
          <w:rFonts w:hint="eastAsia" w:ascii="仿宋_GB2312" w:hAnsi="仿宋_GB2312" w:eastAsia="仿宋_GB2312" w:cs="仿宋_GB2312"/>
          <w:b w:val="0"/>
          <w:i w:val="0"/>
          <w:caps w:val="0"/>
          <w:color w:val="auto"/>
          <w:spacing w:val="0"/>
          <w:sz w:val="32"/>
          <w:szCs w:val="32"/>
          <w:highlight w:val="none"/>
          <w:shd w:val="clear" w:fill="FFFFFF"/>
        </w:rPr>
        <w:t>次会议审议通过《梅县区关于202</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4</w:t>
      </w:r>
      <w:r>
        <w:rPr>
          <w:rFonts w:hint="eastAsia" w:ascii="仿宋_GB2312" w:hAnsi="仿宋_GB2312" w:eastAsia="仿宋_GB2312" w:cs="仿宋_GB2312"/>
          <w:b w:val="0"/>
          <w:i w:val="0"/>
          <w:caps w:val="0"/>
          <w:color w:val="auto"/>
          <w:spacing w:val="0"/>
          <w:sz w:val="32"/>
          <w:szCs w:val="32"/>
          <w:highlight w:val="none"/>
          <w:shd w:val="clear" w:fill="FFFFFF"/>
        </w:rPr>
        <w:t>年度</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区级</w:t>
      </w:r>
      <w:r>
        <w:rPr>
          <w:rFonts w:hint="eastAsia" w:ascii="仿宋_GB2312" w:hAnsi="仿宋_GB2312" w:eastAsia="仿宋_GB2312" w:cs="仿宋_GB2312"/>
          <w:b w:val="0"/>
          <w:i w:val="0"/>
          <w:caps w:val="0"/>
          <w:color w:val="auto"/>
          <w:spacing w:val="0"/>
          <w:sz w:val="32"/>
          <w:szCs w:val="32"/>
          <w:highlight w:val="none"/>
          <w:shd w:val="clear" w:fill="FFFFFF"/>
        </w:rPr>
        <w:t>预算执行和其他财政收支审计查出突出问题整改情况</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的</w:t>
      </w:r>
      <w:r>
        <w:rPr>
          <w:rFonts w:hint="eastAsia" w:ascii="仿宋_GB2312" w:hAnsi="仿宋_GB2312" w:eastAsia="仿宋_GB2312" w:cs="仿宋_GB2312"/>
          <w:b w:val="0"/>
          <w:i w:val="0"/>
          <w:caps w:val="0"/>
          <w:color w:val="auto"/>
          <w:spacing w:val="0"/>
          <w:sz w:val="32"/>
          <w:szCs w:val="32"/>
          <w:highlight w:val="none"/>
          <w:shd w:val="clear" w:fill="FFFFFF"/>
        </w:rPr>
        <w:t>报告》（以下简称《审计整改报告》）。《审计整改报告》全面客观反映了我</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区</w:t>
      </w:r>
      <w:r>
        <w:rPr>
          <w:rFonts w:hint="eastAsia" w:ascii="仿宋_GB2312" w:hAnsi="仿宋_GB2312" w:eastAsia="仿宋_GB2312" w:cs="仿宋_GB2312"/>
          <w:b w:val="0"/>
          <w:i w:val="0"/>
          <w:caps w:val="0"/>
          <w:color w:val="auto"/>
          <w:spacing w:val="0"/>
          <w:sz w:val="32"/>
          <w:szCs w:val="32"/>
          <w:highlight w:val="none"/>
          <w:shd w:val="clear" w:fill="FFFFFF"/>
        </w:rPr>
        <w:t>审计整改工作部署、措施和成效，主要呈现以下特点：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方正仿宋_GBK" w:hAnsi="方正仿宋_GBK" w:eastAsia="方正仿宋_GBK" w:cs="方正仿宋_GBK"/>
          <w:b w:val="0"/>
          <w:color w:val="auto"/>
          <w:sz w:val="32"/>
          <w:szCs w:val="32"/>
          <w:highlight w:val="none"/>
        </w:rPr>
      </w:pPr>
      <w:r>
        <w:rPr>
          <w:rStyle w:val="8"/>
          <w:rFonts w:hint="eastAsia" w:ascii="方正仿宋_GBK" w:hAnsi="方正仿宋_GBK" w:eastAsia="方正仿宋_GBK" w:cs="方正仿宋_GBK"/>
          <w:i w:val="0"/>
          <w:caps w:val="0"/>
          <w:color w:val="auto"/>
          <w:spacing w:val="0"/>
          <w:sz w:val="32"/>
          <w:szCs w:val="32"/>
          <w:highlight w:val="none"/>
          <w:shd w:val="clear" w:fill="FFFFFF"/>
        </w:rPr>
        <w:t>　　</w:t>
      </w:r>
      <w:r>
        <w:rPr>
          <w:rStyle w:val="8"/>
          <w:rFonts w:hint="eastAsia" w:ascii="黑体" w:hAnsi="黑体" w:eastAsia="黑体" w:cs="黑体"/>
          <w:b w:val="0"/>
          <w:bCs/>
          <w:i w:val="0"/>
          <w:caps w:val="0"/>
          <w:color w:val="auto"/>
          <w:spacing w:val="0"/>
          <w:sz w:val="32"/>
          <w:szCs w:val="32"/>
          <w:highlight w:val="none"/>
          <w:shd w:val="clear" w:fill="FFFFFF"/>
        </w:rPr>
        <w:t>一、部署更加有力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Style w:val="8"/>
          <w:rFonts w:hint="eastAsia" w:ascii="方正仿宋_GBK" w:hAnsi="方正仿宋_GBK" w:eastAsia="方正仿宋_GBK" w:cs="方正仿宋_GBK"/>
          <w:i w:val="0"/>
          <w:caps w:val="0"/>
          <w:color w:val="auto"/>
          <w:spacing w:val="0"/>
          <w:sz w:val="32"/>
          <w:szCs w:val="32"/>
          <w:highlight w:val="none"/>
          <w:shd w:val="clear" w:fill="FFFFFF"/>
        </w:rPr>
      </w:pPr>
      <w:r>
        <w:rPr>
          <w:rFonts w:hint="eastAsia" w:ascii="仿宋_GB2312" w:hAnsi="仿宋_GB2312" w:eastAsia="仿宋_GB2312" w:cs="仿宋_GB2312"/>
          <w:b w:val="0"/>
          <w:bCs w:val="0"/>
          <w:color w:val="auto"/>
          <w:kern w:val="2"/>
          <w:sz w:val="32"/>
          <w:szCs w:val="32"/>
          <w:highlight w:val="none"/>
          <w:lang w:val="en-US" w:eastAsia="zh-CN" w:bidi="ar-SA"/>
        </w:rPr>
        <w:t>区政府高度重视审计整改工作，始终坚持以习近平新时代中国特色社会主义思想为指导，</w:t>
      </w:r>
      <w:r>
        <w:rPr>
          <w:rFonts w:hint="eastAsia" w:ascii="仿宋_GB2312" w:hAnsi="仿宋_GB2312" w:eastAsia="仿宋_GB2312" w:cs="仿宋_GB2312"/>
          <w:color w:val="auto"/>
          <w:sz w:val="32"/>
          <w:szCs w:val="32"/>
          <w:highlight w:val="none"/>
        </w:rPr>
        <w:t>深入学习</w:t>
      </w:r>
      <w:r>
        <w:rPr>
          <w:rFonts w:hint="eastAsia" w:ascii="仿宋_GB2312" w:hAnsi="仿宋_GB2312" w:eastAsia="仿宋_GB2312" w:cs="仿宋_GB2312"/>
          <w:color w:val="auto"/>
          <w:sz w:val="32"/>
          <w:szCs w:val="32"/>
          <w:highlight w:val="none"/>
          <w:lang w:val="en-US" w:eastAsia="zh-CN"/>
        </w:rPr>
        <w:t>贯彻党的二十大和二十届历次全会精神、</w:t>
      </w:r>
      <w:r>
        <w:rPr>
          <w:rFonts w:hint="eastAsia" w:ascii="仿宋_GB2312" w:hAnsi="仿宋_GB2312" w:eastAsia="仿宋_GB2312" w:cs="仿宋_GB2312"/>
          <w:color w:val="auto"/>
          <w:sz w:val="32"/>
          <w:szCs w:val="32"/>
          <w:highlight w:val="none"/>
        </w:rPr>
        <w:t>二十届中央审计委员会第三次会议精神</w:t>
      </w:r>
      <w:r>
        <w:rPr>
          <w:rFonts w:hint="eastAsia" w:ascii="仿宋_GB2312" w:hAnsi="仿宋_GB2312" w:eastAsia="仿宋_GB2312" w:cs="仿宋_GB2312"/>
          <w:color w:val="auto"/>
          <w:sz w:val="32"/>
          <w:szCs w:val="32"/>
          <w:highlight w:val="none"/>
          <w:lang w:val="en-US" w:eastAsia="zh-CN"/>
        </w:rPr>
        <w:t>和</w:t>
      </w:r>
      <w:r>
        <w:rPr>
          <w:rFonts w:hint="eastAsia" w:ascii="仿宋_GB2312" w:hAnsi="仿宋_GB2312" w:eastAsia="仿宋_GB2312" w:cs="仿宋_GB2312"/>
          <w:b w:val="0"/>
          <w:bCs w:val="0"/>
          <w:color w:val="auto"/>
          <w:kern w:val="2"/>
          <w:sz w:val="32"/>
          <w:szCs w:val="32"/>
          <w:highlight w:val="none"/>
          <w:lang w:val="en-US" w:eastAsia="zh-CN" w:bidi="ar-SA"/>
        </w:rPr>
        <w:t>习近平总书记关于审计整改工作的重要指示批示精神，紧扣“百千万工程”中心工作，提升审计揭示风险的专业能力，</w:t>
      </w:r>
      <w:r>
        <w:rPr>
          <w:rFonts w:hint="eastAsia" w:ascii="仿宋_GB2312" w:hAnsi="仿宋_GB2312" w:eastAsia="仿宋_GB2312" w:cs="仿宋_GB2312"/>
          <w:color w:val="auto"/>
          <w:sz w:val="32"/>
          <w:szCs w:val="32"/>
          <w:highlight w:val="none"/>
        </w:rPr>
        <w:t>健全</w:t>
      </w:r>
      <w:r>
        <w:rPr>
          <w:rFonts w:hint="eastAsia" w:ascii="仿宋_GB2312" w:hAnsi="仿宋_GB2312" w:eastAsia="仿宋_GB2312" w:cs="仿宋_GB2312"/>
          <w:color w:val="auto"/>
          <w:sz w:val="32"/>
          <w:szCs w:val="32"/>
          <w:highlight w:val="none"/>
          <w:lang w:val="en-US" w:eastAsia="zh-CN"/>
        </w:rPr>
        <w:t>监督</w:t>
      </w:r>
      <w:r>
        <w:rPr>
          <w:rFonts w:hint="eastAsia" w:ascii="仿宋_GB2312" w:hAnsi="仿宋_GB2312" w:eastAsia="仿宋_GB2312" w:cs="仿宋_GB2312"/>
          <w:color w:val="auto"/>
          <w:sz w:val="32"/>
          <w:szCs w:val="32"/>
          <w:highlight w:val="none"/>
        </w:rPr>
        <w:t>机制，</w:t>
      </w:r>
      <w:r>
        <w:rPr>
          <w:rFonts w:hint="eastAsia" w:ascii="仿宋_GB2312" w:hAnsi="仿宋_GB2312" w:eastAsia="仿宋_GB2312" w:cs="仿宋_GB2312"/>
          <w:b w:val="0"/>
          <w:bCs w:val="0"/>
          <w:color w:val="auto"/>
          <w:kern w:val="2"/>
          <w:sz w:val="32"/>
          <w:szCs w:val="32"/>
          <w:highlight w:val="none"/>
          <w:lang w:val="en-US" w:eastAsia="zh-CN" w:bidi="ar-SA"/>
        </w:rPr>
        <w:t>高标准抓好我区审计整改工作的统筹推进和督促落实。</w:t>
      </w:r>
      <w:r>
        <w:rPr>
          <w:rStyle w:val="8"/>
          <w:rFonts w:hint="eastAsia" w:ascii="方正仿宋_GBK" w:hAnsi="方正仿宋_GBK" w:eastAsia="方正仿宋_GBK" w:cs="方正仿宋_GBK"/>
          <w:i w:val="0"/>
          <w:caps w:val="0"/>
          <w:color w:val="auto"/>
          <w:spacing w:val="0"/>
          <w:sz w:val="32"/>
          <w:szCs w:val="32"/>
          <w:highlight w:val="none"/>
          <w:shd w:val="clear" w:fill="FFFFFF"/>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方正仿宋_GBK" w:hAnsi="方正仿宋_GBK" w:eastAsia="方正仿宋_GBK" w:cs="方正仿宋_GBK"/>
          <w:b w:val="0"/>
          <w:color w:val="auto"/>
          <w:sz w:val="32"/>
          <w:szCs w:val="32"/>
          <w:highlight w:val="none"/>
        </w:rPr>
      </w:pPr>
      <w:r>
        <w:rPr>
          <w:rStyle w:val="8"/>
          <w:rFonts w:hint="eastAsia" w:ascii="方正仿宋_GBK" w:hAnsi="方正仿宋_GBK" w:eastAsia="方正仿宋_GBK" w:cs="方正仿宋_GBK"/>
          <w:i w:val="0"/>
          <w:caps w:val="0"/>
          <w:color w:val="auto"/>
          <w:spacing w:val="0"/>
          <w:sz w:val="32"/>
          <w:szCs w:val="32"/>
          <w:highlight w:val="none"/>
          <w:shd w:val="clear" w:fill="FFFFFF"/>
        </w:rPr>
        <w:t>　　</w:t>
      </w:r>
      <w:r>
        <w:rPr>
          <w:rStyle w:val="8"/>
          <w:rFonts w:hint="eastAsia" w:ascii="黑体" w:hAnsi="黑体" w:eastAsia="黑体" w:cs="黑体"/>
          <w:b w:val="0"/>
          <w:bCs/>
          <w:i w:val="0"/>
          <w:caps w:val="0"/>
          <w:color w:val="auto"/>
          <w:spacing w:val="0"/>
          <w:sz w:val="32"/>
          <w:szCs w:val="32"/>
          <w:highlight w:val="none"/>
          <w:shd w:val="clear" w:fill="FFFFFF"/>
          <w:lang w:val="en-US" w:eastAsia="zh-CN"/>
        </w:rPr>
        <w:t>二</w:t>
      </w:r>
      <w:r>
        <w:rPr>
          <w:rStyle w:val="8"/>
          <w:rFonts w:hint="eastAsia" w:ascii="黑体" w:hAnsi="黑体" w:eastAsia="黑体" w:cs="黑体"/>
          <w:b w:val="0"/>
          <w:bCs/>
          <w:i w:val="0"/>
          <w:caps w:val="0"/>
          <w:color w:val="auto"/>
          <w:spacing w:val="0"/>
          <w:sz w:val="32"/>
          <w:szCs w:val="32"/>
          <w:highlight w:val="none"/>
          <w:shd w:val="clear" w:fill="FFFFFF"/>
        </w:rPr>
        <w:t>、成效更加显著</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i w:val="0"/>
          <w:caps w:val="0"/>
          <w:color w:val="auto"/>
          <w:spacing w:val="0"/>
          <w:sz w:val="32"/>
          <w:szCs w:val="32"/>
          <w:highlight w:val="none"/>
          <w:shd w:val="clear" w:fill="FFFFFF"/>
          <w:lang w:val="en-US" w:eastAsia="zh-CN"/>
        </w:rPr>
      </w:pP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总体上看，在区委、区政府的正确领导及各部门单位的认真落实下，2024年度审计整改责任压得更实，监督合力进一步增强，整改成</w:t>
      </w:r>
      <w:bookmarkStart w:id="0" w:name="_GoBack"/>
      <w:bookmarkEnd w:id="0"/>
      <w:r>
        <w:rPr>
          <w:rFonts w:hint="eastAsia" w:ascii="仿宋_GB2312" w:hAnsi="仿宋_GB2312" w:eastAsia="仿宋_GB2312" w:cs="仿宋_GB2312"/>
          <w:b w:val="0"/>
          <w:i w:val="0"/>
          <w:caps w:val="0"/>
          <w:color w:val="auto"/>
          <w:spacing w:val="0"/>
          <w:sz w:val="32"/>
          <w:szCs w:val="32"/>
          <w:highlight w:val="none"/>
          <w:shd w:val="clear" w:fill="FFFFFF"/>
          <w:lang w:val="en-US" w:eastAsia="zh-CN"/>
        </w:rPr>
        <w:t>效显著提升。截至2026年3月底，区级审计工作报告中反映的202项问题，已完成整改169个，整改到位率83%，</w:t>
      </w:r>
      <w:r>
        <w:rPr>
          <w:rFonts w:hint="eastAsia" w:ascii="仿宋_GB2312" w:hAnsi="仿宋_GB2312" w:eastAsia="仿宋_GB2312" w:cs="仿宋_GB2312"/>
          <w:b w:val="0"/>
          <w:bCs w:val="0"/>
          <w:color w:val="auto"/>
          <w:spacing w:val="0"/>
          <w:kern w:val="0"/>
          <w:sz w:val="32"/>
          <w:szCs w:val="32"/>
          <w:highlight w:val="none"/>
          <w:lang w:val="en-US" w:eastAsia="zh-CN" w:bidi="ar"/>
        </w:rPr>
        <w:t>其中立行立改类问题整改率达90%</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。审计发现问题整改推动共已上缴非税收入和归还原渠道资金</w:t>
      </w:r>
      <w:r>
        <w:rPr>
          <w:rFonts w:hint="eastAsia" w:ascii="仿宋_GB2312" w:hAnsi="仿宋_GB2312" w:eastAsia="仿宋_GB2312" w:cs="仿宋_GB2312"/>
          <w:b w:val="0"/>
          <w:bCs w:val="0"/>
          <w:color w:val="auto"/>
          <w:spacing w:val="0"/>
          <w:kern w:val="0"/>
          <w:sz w:val="32"/>
          <w:szCs w:val="32"/>
          <w:highlight w:val="none"/>
          <w:lang w:val="en-US" w:eastAsia="zh-CN" w:bidi="ar"/>
        </w:rPr>
        <w:t>877.65</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万元，调账处理</w:t>
      </w:r>
      <w:r>
        <w:rPr>
          <w:rFonts w:hint="eastAsia" w:ascii="仿宋_GB2312" w:hAnsi="仿宋_GB2312" w:eastAsia="仿宋_GB2312" w:cs="仿宋_GB2312"/>
          <w:b w:val="0"/>
          <w:bCs w:val="0"/>
          <w:color w:val="auto"/>
          <w:spacing w:val="0"/>
          <w:kern w:val="0"/>
          <w:sz w:val="32"/>
          <w:szCs w:val="32"/>
          <w:highlight w:val="none"/>
          <w:lang w:val="en-US" w:eastAsia="zh-CN" w:bidi="ar"/>
        </w:rPr>
        <w:t>472.24</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万元，</w:t>
      </w:r>
      <w:r>
        <w:rPr>
          <w:rFonts w:hint="eastAsia" w:ascii="仿宋_GB2312" w:hAnsi="仿宋_GB2312" w:eastAsia="仿宋_GB2312" w:cs="仿宋_GB2312"/>
          <w:b w:val="0"/>
          <w:bCs w:val="0"/>
          <w:color w:val="auto"/>
          <w:spacing w:val="0"/>
          <w:kern w:val="0"/>
          <w:sz w:val="32"/>
          <w:szCs w:val="32"/>
          <w:highlight w:val="none"/>
          <w:lang w:val="en-US" w:eastAsia="zh-CN" w:bidi="ar"/>
        </w:rPr>
        <w:t>推动拨付资金10503.56万元，推动建章立制7项，采纳审计建议52条，有关单位给予党纪处分2人、政纪处分4人</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w:t>
      </w:r>
      <w:r>
        <w:rPr>
          <w:rFonts w:hint="eastAsia" w:ascii="仿宋_GB2312" w:hAnsi="仿宋_GB2312" w:eastAsia="仿宋_GB2312" w:cs="仿宋_GB2312"/>
          <w:b w:val="0"/>
          <w:bCs w:val="0"/>
          <w:color w:val="auto"/>
          <w:spacing w:val="0"/>
          <w:kern w:val="0"/>
          <w:sz w:val="32"/>
          <w:szCs w:val="32"/>
          <w:highlight w:val="none"/>
          <w:lang w:val="en-US" w:eastAsia="zh-CN" w:bidi="ar"/>
        </w:rPr>
        <w:t>在多方努力下，推动区相关部门单位在财政财务收支、“三公”经费支出、国有资产管理、工程建设、政府采购等方面更加依法、合规，从整体上看，上一审计年度整改监督抓得更实，审计整改“下半篇文章”更加有力有效</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　　</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i w:val="0"/>
          <w:caps w:val="0"/>
          <w:color w:val="auto"/>
          <w:spacing w:val="0"/>
          <w:sz w:val="32"/>
          <w:szCs w:val="32"/>
          <w:highlight w:val="none"/>
          <w:shd w:val="clear" w:fill="FFFFFF"/>
          <w:lang w:val="en-US" w:eastAsia="zh-CN"/>
        </w:rPr>
      </w:pP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在区级财政管理及决算草案方面，审计反映问题30个，已整改到位问题18个。重点整改有关部门财政预算</w:t>
      </w:r>
      <w:r>
        <w:rPr>
          <w:rFonts w:hint="eastAsia" w:ascii="仿宋_GB2312" w:hAnsi="仿宋_GB2312" w:eastAsia="仿宋_GB2312" w:cs="仿宋_GB2312"/>
          <w:b w:val="0"/>
          <w:bCs w:val="0"/>
          <w:color w:val="auto"/>
          <w:spacing w:val="0"/>
          <w:kern w:val="0"/>
          <w:sz w:val="32"/>
          <w:szCs w:val="32"/>
          <w:highlight w:val="none"/>
          <w:lang w:val="en-US" w:eastAsia="zh-CN" w:bidi="ar"/>
        </w:rPr>
        <w:t>管理不规范</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、部分财政资金使用管理不合规、部分债券资金申报及管理不规范等问题，有效推动我区建章立制加强非税收入监管，规范财政资金、债券资金管理，保持财政平稳运行。</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color w:val="auto"/>
          <w:spacing w:val="0"/>
          <w:kern w:val="0"/>
          <w:sz w:val="32"/>
          <w:szCs w:val="32"/>
          <w:highlight w:val="none"/>
          <w:lang w:val="en-US" w:eastAsia="zh-CN" w:bidi="ar"/>
        </w:rPr>
      </w:pP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在部门及单位财政收支方面，审计反映问题8个，已整改到位问题7个。重点整改</w:t>
      </w:r>
      <w:r>
        <w:rPr>
          <w:rFonts w:hint="eastAsia" w:ascii="仿宋_GB2312" w:hAnsi="仿宋_GB2312" w:eastAsia="仿宋_GB2312" w:cs="仿宋_GB2312"/>
          <w:b w:val="0"/>
          <w:bCs w:val="0"/>
          <w:color w:val="auto"/>
          <w:spacing w:val="0"/>
          <w:kern w:val="0"/>
          <w:sz w:val="32"/>
          <w:szCs w:val="32"/>
          <w:highlight w:val="none"/>
          <w:lang w:val="en-US" w:eastAsia="zh-CN" w:bidi="ar"/>
        </w:rPr>
        <w:t>预算执行率低</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w:t>
      </w:r>
      <w:r>
        <w:rPr>
          <w:rFonts w:hint="eastAsia" w:ascii="仿宋_GB2312" w:hAnsi="仿宋_GB2312" w:eastAsia="仿宋_GB2312" w:cs="仿宋_GB2312"/>
          <w:b w:val="0"/>
          <w:bCs w:val="0"/>
          <w:color w:val="auto"/>
          <w:spacing w:val="0"/>
          <w:kern w:val="0"/>
          <w:sz w:val="32"/>
          <w:szCs w:val="32"/>
          <w:highlight w:val="none"/>
          <w:lang w:val="en-US" w:eastAsia="zh-CN" w:bidi="ar"/>
        </w:rPr>
        <w:t>扩大支出范围使用资金</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w:t>
      </w:r>
      <w:r>
        <w:rPr>
          <w:rFonts w:hint="eastAsia" w:ascii="仿宋_GB2312" w:hAnsi="仿宋_GB2312" w:eastAsia="仿宋_GB2312" w:cs="仿宋_GB2312"/>
          <w:b w:val="0"/>
          <w:bCs w:val="0"/>
          <w:color w:val="auto"/>
          <w:spacing w:val="0"/>
          <w:kern w:val="0"/>
          <w:sz w:val="32"/>
          <w:szCs w:val="32"/>
          <w:highlight w:val="none"/>
          <w:lang w:val="en-US" w:eastAsia="zh-CN" w:bidi="ar"/>
        </w:rPr>
        <w:t>培训费支出不规范</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和</w:t>
      </w:r>
      <w:r>
        <w:rPr>
          <w:rFonts w:hint="eastAsia" w:ascii="仿宋_GB2312" w:hAnsi="仿宋_GB2312" w:eastAsia="仿宋_GB2312" w:cs="仿宋_GB2312"/>
          <w:b w:val="0"/>
          <w:bCs w:val="0"/>
          <w:color w:val="auto"/>
          <w:spacing w:val="0"/>
          <w:kern w:val="0"/>
          <w:sz w:val="32"/>
          <w:szCs w:val="32"/>
          <w:highlight w:val="none"/>
          <w:lang w:val="en-US" w:eastAsia="zh-CN" w:bidi="ar"/>
        </w:rPr>
        <w:t>未及时盘活上缴结转结余资金</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、政府采购执行不到位等问题，</w:t>
      </w:r>
      <w:r>
        <w:rPr>
          <w:rFonts w:hint="eastAsia" w:ascii="仿宋_GB2312" w:hAnsi="仿宋_GB2312" w:eastAsia="仿宋_GB2312" w:cs="仿宋_GB2312"/>
          <w:b w:val="0"/>
          <w:bCs w:val="0"/>
          <w:color w:val="auto"/>
          <w:spacing w:val="0"/>
          <w:kern w:val="0"/>
          <w:sz w:val="32"/>
          <w:szCs w:val="32"/>
          <w:highlight w:val="none"/>
          <w:lang w:val="en-US" w:eastAsia="zh-CN" w:bidi="ar"/>
        </w:rPr>
        <w:t>促进相关部门完善内控制度，压实预算执行责任，切实提升预算执行效能。</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i w:val="0"/>
          <w:caps w:val="0"/>
          <w:color w:val="auto"/>
          <w:spacing w:val="0"/>
          <w:sz w:val="32"/>
          <w:szCs w:val="32"/>
          <w:highlight w:val="none"/>
          <w:shd w:val="clear" w:fill="FFFFFF"/>
          <w:lang w:val="en-US" w:eastAsia="zh-CN"/>
        </w:rPr>
      </w:pP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在促进领导干部担当作为和规范权力运行方面，审计反映问题129个，已整改到位问题118个。重点整改有关部门对上级下达的任务及工作落实不够到位、“收支两条线”执行不到位、违规发放津补贴、国有资产资源管理不规范，政府投资</w:t>
      </w:r>
      <w:r>
        <w:rPr>
          <w:rFonts w:hint="eastAsia" w:ascii="仿宋_GB2312" w:hAnsi="仿宋_GB2312" w:eastAsia="仿宋_GB2312" w:cs="仿宋_GB2312"/>
          <w:b w:val="0"/>
          <w:bCs w:val="0"/>
          <w:color w:val="auto"/>
          <w:spacing w:val="0"/>
          <w:kern w:val="0"/>
          <w:sz w:val="32"/>
          <w:szCs w:val="32"/>
          <w:highlight w:val="none"/>
          <w:lang w:val="en-US" w:eastAsia="zh-CN" w:bidi="ar"/>
        </w:rPr>
        <w:t>项目建设管理不到位及程序不规范</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等突出问题，有效加强领导干部对本单位的内部管理，规范领导干部行为，避免滥用权力和违反财经纪律的现象。</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i w:val="0"/>
          <w:caps w:val="0"/>
          <w:color w:val="auto"/>
          <w:spacing w:val="0"/>
          <w:sz w:val="32"/>
          <w:szCs w:val="32"/>
          <w:highlight w:val="none"/>
          <w:shd w:val="clear" w:fill="FFFFFF"/>
          <w:lang w:val="en-US" w:eastAsia="zh-CN"/>
        </w:rPr>
      </w:pP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在自然资源生态环保方面，审计反映问题11个，已整改到位问题5个。重点整改</w:t>
      </w:r>
      <w:r>
        <w:rPr>
          <w:rFonts w:hint="eastAsia" w:ascii="仿宋_GB2312" w:hAnsi="仿宋_GB2312" w:eastAsia="仿宋_GB2312" w:cs="仿宋_GB2312"/>
          <w:b w:val="0"/>
          <w:bCs w:val="0"/>
          <w:color w:val="auto"/>
          <w:spacing w:val="0"/>
          <w:kern w:val="0"/>
          <w:sz w:val="32"/>
          <w:szCs w:val="32"/>
          <w:highlight w:val="none"/>
          <w:lang w:val="en-US" w:eastAsia="zh-CN" w:bidi="ar"/>
        </w:rPr>
        <w:t>职能部门未按时制定出台相关政策制度</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w:t>
      </w:r>
      <w:r>
        <w:rPr>
          <w:rFonts w:hint="eastAsia" w:ascii="仿宋_GB2312" w:hAnsi="仿宋_GB2312" w:eastAsia="仿宋_GB2312" w:cs="仿宋_GB2312"/>
          <w:b w:val="0"/>
          <w:bCs w:val="0"/>
          <w:color w:val="auto"/>
          <w:spacing w:val="0"/>
          <w:kern w:val="0"/>
          <w:sz w:val="32"/>
          <w:szCs w:val="32"/>
          <w:highlight w:val="none"/>
          <w:lang w:val="en-US" w:eastAsia="zh-CN" w:bidi="ar"/>
        </w:rPr>
        <w:t>镇级集中供水水源取水点未划定水源保护区且管护不到位、“三旧”改造项目未按规定取消优惠政策</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等问题，有效提升镇村自然资源生态保护力度。</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i w:val="0"/>
          <w:caps w:val="0"/>
          <w:color w:val="auto"/>
          <w:spacing w:val="0"/>
          <w:sz w:val="32"/>
          <w:szCs w:val="32"/>
          <w:highlight w:val="none"/>
          <w:shd w:val="clear" w:fill="FFFFFF"/>
          <w:lang w:val="en-US" w:eastAsia="zh-CN"/>
        </w:rPr>
      </w:pP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在</w:t>
      </w:r>
      <w:r>
        <w:rPr>
          <w:rFonts w:hint="eastAsia" w:ascii="仿宋_GB2312" w:hAnsi="仿宋_GB2312" w:eastAsia="仿宋_GB2312" w:cs="仿宋_GB2312"/>
          <w:b w:val="0"/>
          <w:bCs w:val="0"/>
          <w:color w:val="auto"/>
          <w:spacing w:val="0"/>
          <w:kern w:val="0"/>
          <w:sz w:val="32"/>
          <w:szCs w:val="32"/>
          <w:highlight w:val="none"/>
          <w:lang w:val="en-US" w:eastAsia="zh-CN" w:bidi="ar"/>
        </w:rPr>
        <w:t>镇域经济高质量发展</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方面，审计反映问题9个，已整改到位问题7个。重点整改</w:t>
      </w:r>
      <w:r>
        <w:rPr>
          <w:rFonts w:hint="eastAsia" w:ascii="仿宋_GB2312" w:hAnsi="仿宋_GB2312" w:eastAsia="仿宋_GB2312" w:cs="仿宋_GB2312"/>
          <w:b w:val="0"/>
          <w:bCs w:val="0"/>
          <w:color w:val="auto"/>
          <w:spacing w:val="0"/>
          <w:kern w:val="0"/>
          <w:sz w:val="32"/>
          <w:szCs w:val="32"/>
          <w:highlight w:val="none"/>
          <w:lang w:val="en-US" w:eastAsia="zh-CN" w:bidi="ar"/>
        </w:rPr>
        <w:t>村级集体经济收益分配管理办法制定不规范、建设项目未按工程进度付款、职能部门违规将已招标完成的部分建设内容另行通过竞争性磋商等方式确定由其他施工单位实施、施工程序不规范等问题，有效规范项目建设管理，促进镇域经济高质量健康发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i w:val="0"/>
          <w:caps w:val="0"/>
          <w:color w:val="auto"/>
          <w:spacing w:val="0"/>
          <w:sz w:val="32"/>
          <w:szCs w:val="32"/>
          <w:highlight w:val="none"/>
          <w:shd w:val="clear" w:fill="FFFFFF"/>
          <w:lang w:val="en-US" w:eastAsia="zh-CN"/>
        </w:rPr>
      </w:pP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在学前教育政策落实及办学经费管理使用方面，审计反映问题8个，已整改到位问题7个。重点整改</w:t>
      </w:r>
      <w:r>
        <w:rPr>
          <w:rFonts w:hint="eastAsia" w:ascii="仿宋_GB2312" w:hAnsi="仿宋_GB2312" w:eastAsia="仿宋_GB2312" w:cs="仿宋_GB2312"/>
          <w:b w:val="0"/>
          <w:bCs w:val="0"/>
          <w:color w:val="auto"/>
          <w:spacing w:val="0"/>
          <w:kern w:val="0"/>
          <w:sz w:val="32"/>
          <w:szCs w:val="32"/>
          <w:highlight w:val="none"/>
          <w:lang w:val="en-US" w:eastAsia="zh-CN" w:bidi="ar"/>
        </w:rPr>
        <w:t>未及时足额拨付生均经费和改建工程款、违规向学生收取平安校园系统费用、评定学生资助资格不严造成多发放资助资金、未公开普惠性民办幼儿园收费标准和财政补助补贴信息</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的问题。</w:t>
      </w:r>
      <w:r>
        <w:rPr>
          <w:rFonts w:hint="eastAsia" w:ascii="仿宋_GB2312" w:hAnsi="仿宋_GB2312" w:eastAsia="仿宋_GB2312" w:cs="仿宋_GB2312"/>
          <w:b w:val="0"/>
          <w:bCs w:val="0"/>
          <w:color w:val="auto"/>
          <w:spacing w:val="0"/>
          <w:kern w:val="0"/>
          <w:sz w:val="32"/>
          <w:szCs w:val="32"/>
          <w:highlight w:val="none"/>
          <w:lang w:val="en-US" w:eastAsia="zh-CN" w:bidi="ar"/>
        </w:rPr>
        <w:t>大班额等办园指标不达标、全区教师持证上岗率不达标等问题，区</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教育局将逐年进行整改，有效推动我区学前教育政策落实到位，补齐办园短板。</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i w:val="0"/>
          <w:caps w:val="0"/>
          <w:color w:val="auto"/>
          <w:spacing w:val="0"/>
          <w:sz w:val="32"/>
          <w:szCs w:val="32"/>
          <w:highlight w:val="none"/>
          <w:shd w:val="clear" w:fill="FFFFFF"/>
          <w:lang w:val="en-US" w:eastAsia="zh-CN"/>
        </w:rPr>
      </w:pP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在</w:t>
      </w:r>
      <w:r>
        <w:rPr>
          <w:rFonts w:hint="eastAsia" w:ascii="仿宋_GB2312" w:hAnsi="仿宋_GB2312" w:eastAsia="仿宋_GB2312" w:cs="仿宋_GB2312"/>
          <w:b w:val="0"/>
          <w:bCs w:val="0"/>
          <w:color w:val="auto"/>
          <w:spacing w:val="0"/>
          <w:kern w:val="0"/>
          <w:sz w:val="32"/>
          <w:szCs w:val="32"/>
          <w:highlight w:val="none"/>
          <w:lang w:val="en-US" w:eastAsia="zh-CN" w:bidi="ar"/>
        </w:rPr>
        <w:t>村级污水处理设施建设项目方面，</w:t>
      </w:r>
      <w:r>
        <w:rPr>
          <w:rFonts w:hint="eastAsia" w:ascii="仿宋_GB2312" w:hAnsi="仿宋_GB2312" w:eastAsia="仿宋_GB2312" w:cs="仿宋_GB2312"/>
          <w:b w:val="0"/>
          <w:i w:val="0"/>
          <w:caps w:val="0"/>
          <w:color w:val="auto"/>
          <w:spacing w:val="0"/>
          <w:sz w:val="32"/>
          <w:szCs w:val="32"/>
          <w:highlight w:val="none"/>
          <w:shd w:val="clear" w:fill="FFFFFF"/>
          <w:lang w:val="en-US" w:eastAsia="zh-CN"/>
        </w:rPr>
        <w:t>审计反映问题7个，已整改到位问题7个。审计发现的</w:t>
      </w:r>
      <w:r>
        <w:rPr>
          <w:rFonts w:hint="eastAsia" w:ascii="仿宋_GB2312" w:hAnsi="仿宋_GB2312" w:eastAsia="仿宋_GB2312" w:cs="仿宋_GB2312"/>
          <w:b w:val="0"/>
          <w:bCs w:val="0"/>
          <w:color w:val="auto"/>
          <w:spacing w:val="0"/>
          <w:kern w:val="0"/>
          <w:sz w:val="32"/>
          <w:szCs w:val="32"/>
          <w:highlight w:val="none"/>
          <w:lang w:val="en-US" w:eastAsia="zh-CN" w:bidi="ar"/>
        </w:rPr>
        <w:t>未经勘察直接设计并施工、重大设计变更未报审批、项目建设进度严重滞后等问题，由于工程已经完工，业主单位通过加强相关学习，提升业务技能，推动以后项目依规合法实施。</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仿宋_GB2312" w:hAnsi="仿宋_GB2312" w:eastAsia="仿宋_GB2312" w:cs="仿宋_GB2312"/>
          <w:b w:val="0"/>
          <w:i w:val="0"/>
          <w:caps w:val="0"/>
          <w:color w:val="auto"/>
          <w:spacing w:val="0"/>
          <w:sz w:val="32"/>
          <w:szCs w:val="32"/>
          <w:highlight w:val="none"/>
          <w:shd w:val="clear" w:fill="FFFFFF"/>
        </w:rPr>
      </w:pPr>
      <w:r>
        <w:rPr>
          <w:rStyle w:val="8"/>
          <w:rFonts w:hint="eastAsia" w:ascii="方正仿宋_GBK" w:hAnsi="方正仿宋_GBK" w:eastAsia="方正仿宋_GBK" w:cs="方正仿宋_GBK"/>
          <w:i w:val="0"/>
          <w:caps w:val="0"/>
          <w:color w:val="auto"/>
          <w:spacing w:val="0"/>
          <w:sz w:val="32"/>
          <w:szCs w:val="32"/>
          <w:highlight w:val="none"/>
          <w:shd w:val="clear" w:fill="FFFFFF"/>
        </w:rPr>
        <w:t>　　</w:t>
      </w:r>
      <w:r>
        <w:rPr>
          <w:rStyle w:val="8"/>
          <w:rFonts w:hint="eastAsia" w:ascii="黑体" w:hAnsi="黑体" w:eastAsia="黑体" w:cs="黑体"/>
          <w:b w:val="0"/>
          <w:bCs/>
          <w:i w:val="0"/>
          <w:caps w:val="0"/>
          <w:color w:val="auto"/>
          <w:spacing w:val="0"/>
          <w:sz w:val="32"/>
          <w:szCs w:val="32"/>
          <w:highlight w:val="none"/>
          <w:shd w:val="clear" w:fill="FFFFFF"/>
          <w:lang w:val="en-US" w:eastAsia="zh-CN"/>
        </w:rPr>
        <w:t>三、后续整改的方向更加明确</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i w:val="0"/>
          <w:caps w:val="0"/>
          <w:color w:val="auto"/>
          <w:spacing w:val="0"/>
          <w:sz w:val="32"/>
          <w:szCs w:val="32"/>
          <w:highlight w:val="none"/>
          <w:shd w:val="clear" w:fill="FFFFFF"/>
        </w:rPr>
      </w:pPr>
      <w:r>
        <w:rPr>
          <w:rFonts w:hint="eastAsia" w:ascii="仿宋_GB2312" w:hAnsi="仿宋_GB2312" w:eastAsia="仿宋_GB2312" w:cs="仿宋_GB2312"/>
          <w:b w:val="0"/>
          <w:i w:val="0"/>
          <w:caps w:val="0"/>
          <w:color w:val="auto"/>
          <w:spacing w:val="0"/>
          <w:sz w:val="32"/>
          <w:szCs w:val="32"/>
          <w:highlight w:val="none"/>
          <w:shd w:val="clear" w:fill="FFFFFF"/>
        </w:rPr>
        <w:t>对尚未完成整改的事项，各责任单位已对下一步整改工作作出部署。其中：对需分阶段推进的整改任务，将严格按照整改方案和时间进度，进一步加大工作力度，确保有序推进；对需长期坚持的整改事项，坚持先易后难，对当前能够解决的问题立即整改到位，同时通过深化改革创新、完善制度机制等方式，从源头上推动问题根本解决。区</w:t>
      </w:r>
      <w:r>
        <w:rPr>
          <w:rFonts w:hint="eastAsia" w:ascii="仿宋_GB2312" w:hAnsi="仿宋_GB2312" w:eastAsia="仿宋_GB2312" w:cs="仿宋_GB2312"/>
          <w:b w:val="0"/>
          <w:i w:val="0"/>
          <w:caps w:val="0"/>
          <w:color w:val="auto"/>
          <w:spacing w:val="0"/>
          <w:sz w:val="32"/>
          <w:szCs w:val="32"/>
          <w:highlight w:val="none"/>
          <w:shd w:val="clear" w:fill="FFFFFF"/>
          <w:lang w:eastAsia="zh-CN"/>
        </w:rPr>
        <w:t>政府</w:t>
      </w:r>
      <w:r>
        <w:rPr>
          <w:rFonts w:hint="eastAsia" w:ascii="仿宋_GB2312" w:hAnsi="仿宋_GB2312" w:eastAsia="仿宋_GB2312" w:cs="仿宋_GB2312"/>
          <w:b w:val="0"/>
          <w:i w:val="0"/>
          <w:caps w:val="0"/>
          <w:color w:val="auto"/>
          <w:spacing w:val="0"/>
          <w:sz w:val="32"/>
          <w:szCs w:val="32"/>
          <w:highlight w:val="none"/>
          <w:shd w:val="clear" w:fill="FFFFFF"/>
        </w:rPr>
        <w:t>将持续督促相关单位压紧压实整改责任，拿出务实管用的硬招实招，确保整改工作真抓真改、落地见效。区审计机关将紧盯问题不放，持续</w:t>
      </w:r>
      <w:r>
        <w:rPr>
          <w:rFonts w:hint="eastAsia" w:ascii="仿宋_GB2312" w:hAnsi="仿宋_GB2312" w:eastAsia="仿宋_GB2312" w:cs="仿宋_GB2312"/>
          <w:b w:val="0"/>
          <w:i w:val="0"/>
          <w:caps w:val="0"/>
          <w:color w:val="auto"/>
          <w:spacing w:val="0"/>
          <w:sz w:val="32"/>
          <w:szCs w:val="32"/>
          <w:highlight w:val="none"/>
          <w:shd w:val="clear" w:fill="FFFFFF"/>
          <w:lang w:eastAsia="zh-CN"/>
        </w:rPr>
        <w:t>加强</w:t>
      </w:r>
      <w:r>
        <w:rPr>
          <w:rFonts w:hint="eastAsia" w:ascii="仿宋_GB2312" w:hAnsi="仿宋_GB2312" w:eastAsia="仿宋_GB2312" w:cs="仿宋_GB2312"/>
          <w:b w:val="0"/>
          <w:i w:val="0"/>
          <w:caps w:val="0"/>
          <w:color w:val="auto"/>
          <w:spacing w:val="0"/>
          <w:sz w:val="32"/>
          <w:szCs w:val="32"/>
          <w:highlight w:val="none"/>
          <w:shd w:val="clear" w:fill="FFFFFF"/>
        </w:rPr>
        <w:t>跟踪检查和督促指导，推动审计发现问题全面彻底、扎实有效整改。</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i w:val="0"/>
          <w:caps w:val="0"/>
          <w:color w:val="auto"/>
          <w:spacing w:val="0"/>
          <w:sz w:val="32"/>
          <w:szCs w:val="32"/>
          <w:highlight w:val="none"/>
          <w:shd w:val="clear" w:fill="FFFFFF"/>
        </w:rPr>
      </w:pPr>
      <w:r>
        <w:rPr>
          <w:rFonts w:hint="eastAsia" w:ascii="仿宋_GB2312" w:hAnsi="仿宋_GB2312" w:eastAsia="仿宋_GB2312" w:cs="仿宋_GB2312"/>
          <w:b w:val="0"/>
          <w:i w:val="0"/>
          <w:caps w:val="0"/>
          <w:color w:val="auto"/>
          <w:spacing w:val="0"/>
          <w:sz w:val="32"/>
          <w:szCs w:val="32"/>
          <w:highlight w:val="none"/>
          <w:shd w:val="clear" w:fill="FFFFFF"/>
        </w:rPr>
        <w:t>下一步，区政府将深入贯彻落实党中央、国务院关于审计整改工作的决策部署，紧紧围绕</w:t>
      </w:r>
      <w:r>
        <w:rPr>
          <w:rFonts w:hint="eastAsia" w:ascii="仿宋_GB2312" w:hAnsi="仿宋_GB2312" w:eastAsia="仿宋_GB2312" w:cs="仿宋_GB2312"/>
          <w:b w:val="0"/>
          <w:i w:val="0"/>
          <w:caps w:val="0"/>
          <w:color w:val="auto"/>
          <w:spacing w:val="0"/>
          <w:sz w:val="32"/>
          <w:szCs w:val="32"/>
          <w:highlight w:val="none"/>
          <w:shd w:val="clear" w:fill="FFFFFF"/>
          <w:lang w:eastAsia="zh-CN"/>
        </w:rPr>
        <w:t>梅县</w:t>
      </w:r>
      <w:r>
        <w:rPr>
          <w:rFonts w:hint="eastAsia" w:ascii="仿宋_GB2312" w:hAnsi="仿宋_GB2312" w:eastAsia="仿宋_GB2312" w:cs="仿宋_GB2312"/>
          <w:b w:val="0"/>
          <w:i w:val="0"/>
          <w:caps w:val="0"/>
          <w:color w:val="auto"/>
          <w:spacing w:val="0"/>
          <w:sz w:val="32"/>
          <w:szCs w:val="32"/>
          <w:highlight w:val="none"/>
          <w:shd w:val="clear" w:fill="FFFFFF"/>
        </w:rPr>
        <w:t>区建设“百千万工程”典型区中心工作，坚持揭示问题与推动解决问题相统一，统筹抓好揭示问题和审计整改“上下半篇文章”，持续推动审计整改成果更好转化为治理效能，助力</w:t>
      </w:r>
      <w:r>
        <w:rPr>
          <w:rFonts w:hint="eastAsia" w:ascii="仿宋_GB2312" w:hAnsi="仿宋_GB2312" w:eastAsia="仿宋_GB2312" w:cs="仿宋_GB2312"/>
          <w:b w:val="0"/>
          <w:i w:val="0"/>
          <w:caps w:val="0"/>
          <w:color w:val="auto"/>
          <w:spacing w:val="0"/>
          <w:sz w:val="32"/>
          <w:szCs w:val="32"/>
          <w:highlight w:val="none"/>
          <w:shd w:val="clear" w:fill="FFFFFF"/>
          <w:lang w:eastAsia="zh-CN"/>
        </w:rPr>
        <w:t>梅县</w:t>
      </w:r>
      <w:r>
        <w:rPr>
          <w:rFonts w:hint="eastAsia" w:ascii="仿宋_GB2312" w:hAnsi="仿宋_GB2312" w:eastAsia="仿宋_GB2312" w:cs="仿宋_GB2312"/>
          <w:b w:val="0"/>
          <w:i w:val="0"/>
          <w:caps w:val="0"/>
          <w:color w:val="auto"/>
          <w:spacing w:val="0"/>
          <w:sz w:val="32"/>
          <w:szCs w:val="32"/>
          <w:highlight w:val="none"/>
          <w:shd w:val="clear" w:fill="FFFFFF"/>
        </w:rPr>
        <w:t>区经济社会高质量发展。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i w:val="0"/>
          <w:caps w:val="0"/>
          <w:color w:val="auto"/>
          <w:spacing w:val="0"/>
          <w:sz w:val="32"/>
          <w:szCs w:val="32"/>
          <w:highlight w:val="none"/>
          <w:shd w:val="clear" w:fill="FFFFFF"/>
        </w:r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eastAsia="宋体"/>
          <w:color w:val="auto"/>
          <w:highlight w:val="none"/>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0104B3"/>
    <w:rsid w:val="0D0104B3"/>
    <w:rsid w:val="11DE73D2"/>
    <w:rsid w:val="1D9B0E11"/>
    <w:rsid w:val="35745A7B"/>
    <w:rsid w:val="6BF62E09"/>
    <w:rsid w:val="7DFF6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rFonts w:ascii="Calibri" w:hAnsi="Calibri"/>
      <w:sz w:val="18"/>
    </w:rPr>
  </w:style>
  <w:style w:type="paragraph" w:styleId="3">
    <w:name w:val="Body Text First Indent 2"/>
    <w:basedOn w:val="4"/>
    <w:next w:val="1"/>
    <w:unhideWhenUsed/>
    <w:qFormat/>
    <w:uiPriority w:val="99"/>
    <w:pPr>
      <w:spacing w:before="100" w:beforeAutospacing="1" w:after="0"/>
      <w:ind w:left="0" w:leftChars="0" w:firstLine="420" w:firstLineChars="200"/>
    </w:pPr>
    <w:rPr>
      <w:sz w:val="30"/>
      <w:szCs w:val="30"/>
    </w:rPr>
  </w:style>
  <w:style w:type="paragraph" w:styleId="4">
    <w:name w:val="Body Text Indent"/>
    <w:basedOn w:val="1"/>
    <w:qFormat/>
    <w:uiPriority w:val="0"/>
    <w:pPr>
      <w:spacing w:line="600" w:lineRule="exact"/>
      <w:ind w:firstLine="640" w:firstLineChars="200"/>
      <w:textAlignment w:val="baseline"/>
    </w:pPr>
    <w:rPr>
      <w:rFonts w:ascii="仿宋_GB2312" w:hAns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891</Words>
  <Characters>936</Characters>
  <Lines>0</Lines>
  <Paragraphs>0</Paragraphs>
  <TotalTime>30</TotalTime>
  <ScaleCrop>false</ScaleCrop>
  <LinksUpToDate>false</LinksUpToDate>
  <CharactersWithSpaces>943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2026-10-08T16:52:00Z</dcterms:created>
  <dc:creator>Polar Bear</dc:creator>
  <cp:lastModifiedBy>Administrator</cp:lastModifiedBy>
  <dcterms:modified xsi:type="dcterms:W3CDTF">2026-10-10T00:41:11Z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F9012AB75A314E5FBAF066059B8F4B09</vt:lpwstr>
  </property>
  <property fmtid="{D5CDD505-2E9C-101B-9397-08002B2CF9AE}" pid="4" name="KSOTemplateDocerSaveRecord">
    <vt:lpwstr>eyJoZGlkIjoiNWU1NDUzOGE5YjgxMzJiZGE5ODVhZGM2MGM4ZTQ5NDkiLCJ1c2VySWQiOiIyNDM1Mzg0NzQifQ==</vt:lpwstr>
  </property>
</Properties>
</file>