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beforeAutospacing="0" w:line="560" w:lineRule="exact"/>
        <w:ind w:right="102"/>
        <w:jc w:val="center"/>
        <w:textAlignment w:val="auto"/>
        <w:rPr>
          <w:rFonts w:hint="eastAsia" w:ascii="方正小标宋简体" w:hAnsi="方正小标宋简体" w:eastAsia="方正小标宋简体" w:cs="方正小标宋简体"/>
          <w:b w:val="0"/>
          <w:bCs w:val="0"/>
          <w:sz w:val="44"/>
          <w:szCs w:val="44"/>
          <w:highlight w:val="none"/>
        </w:rPr>
      </w:pPr>
      <w:bookmarkStart w:id="3" w:name="_GoBack"/>
      <w:r>
        <w:rPr>
          <w:rFonts w:hint="eastAsia" w:ascii="方正小标宋简体" w:hAnsi="方正小标宋简体" w:eastAsia="方正小标宋简体" w:cs="方正小标宋简体"/>
          <w:b w:val="0"/>
          <w:bCs w:val="0"/>
          <w:spacing w:val="0"/>
          <w:sz w:val="44"/>
          <w:szCs w:val="44"/>
          <w:highlight w:val="none"/>
        </w:rPr>
        <w:t>梅县区</w:t>
      </w:r>
      <w:r>
        <w:rPr>
          <w:rFonts w:hint="eastAsia" w:ascii="方正小标宋简体" w:hAnsi="方正小标宋简体" w:eastAsia="方正小标宋简体" w:cs="方正小标宋简体"/>
          <w:b w:val="0"/>
          <w:bCs w:val="0"/>
          <w:sz w:val="44"/>
          <w:szCs w:val="44"/>
          <w:highlight w:val="none"/>
        </w:rPr>
        <w:t>关于202</w:t>
      </w:r>
      <w:r>
        <w:rPr>
          <w:rFonts w:hint="eastAsia" w:ascii="方正小标宋简体" w:hAnsi="方正小标宋简体" w:eastAsia="方正小标宋简体" w:cs="方正小标宋简体"/>
          <w:b w:val="0"/>
          <w:bCs w:val="0"/>
          <w:sz w:val="44"/>
          <w:szCs w:val="44"/>
          <w:highlight w:val="none"/>
          <w:lang w:val="en-US" w:eastAsia="zh-CN"/>
        </w:rPr>
        <w:t>4</w:t>
      </w:r>
      <w:r>
        <w:rPr>
          <w:rFonts w:hint="eastAsia" w:ascii="方正小标宋简体" w:hAnsi="方正小标宋简体" w:eastAsia="方正小标宋简体" w:cs="方正小标宋简体"/>
          <w:b w:val="0"/>
          <w:bCs w:val="0"/>
          <w:sz w:val="44"/>
          <w:szCs w:val="44"/>
          <w:highlight w:val="none"/>
        </w:rPr>
        <w:t>年度</w:t>
      </w:r>
      <w:r>
        <w:rPr>
          <w:rFonts w:hint="eastAsia" w:ascii="方正小标宋简体" w:hAnsi="方正小标宋简体" w:eastAsia="方正小标宋简体" w:cs="方正小标宋简体"/>
          <w:b w:val="0"/>
          <w:bCs w:val="0"/>
          <w:sz w:val="44"/>
          <w:szCs w:val="44"/>
          <w:highlight w:val="none"/>
          <w:lang w:val="en-US" w:eastAsia="zh-CN"/>
        </w:rPr>
        <w:t>区级</w:t>
      </w:r>
      <w:r>
        <w:rPr>
          <w:rFonts w:hint="eastAsia" w:ascii="方正小标宋简体" w:hAnsi="方正小标宋简体" w:eastAsia="方正小标宋简体" w:cs="方正小标宋简体"/>
          <w:b w:val="0"/>
          <w:bCs w:val="0"/>
          <w:sz w:val="44"/>
          <w:szCs w:val="44"/>
          <w:highlight w:val="none"/>
        </w:rPr>
        <w:t>预算执行和其他</w:t>
      </w:r>
    </w:p>
    <w:p>
      <w:pPr>
        <w:keepNext w:val="0"/>
        <w:keepLines w:val="0"/>
        <w:pageBreakBefore w:val="0"/>
        <w:kinsoku/>
        <w:wordWrap/>
        <w:overflowPunct/>
        <w:topLinePunct w:val="0"/>
        <w:autoSpaceDE/>
        <w:autoSpaceDN/>
        <w:bidi w:val="0"/>
        <w:spacing w:beforeAutospacing="0" w:line="560" w:lineRule="exact"/>
        <w:ind w:right="102"/>
        <w:jc w:val="center"/>
        <w:textAlignment w:val="auto"/>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rPr>
        <w:t>财政收支审计查出突出问题整改情况</w:t>
      </w:r>
      <w:r>
        <w:rPr>
          <w:rFonts w:hint="eastAsia" w:ascii="方正小标宋简体" w:hAnsi="方正小标宋简体" w:eastAsia="方正小标宋简体" w:cs="方正小标宋简体"/>
          <w:b w:val="0"/>
          <w:bCs w:val="0"/>
          <w:sz w:val="44"/>
          <w:szCs w:val="44"/>
          <w:highlight w:val="none"/>
          <w:lang w:val="en-US" w:eastAsia="zh-CN"/>
        </w:rPr>
        <w:t>的</w:t>
      </w:r>
      <w:r>
        <w:rPr>
          <w:rFonts w:hint="eastAsia" w:ascii="方正小标宋简体" w:hAnsi="方正小标宋简体" w:eastAsia="方正小标宋简体" w:cs="方正小标宋简体"/>
          <w:b w:val="0"/>
          <w:bCs w:val="0"/>
          <w:sz w:val="44"/>
          <w:szCs w:val="44"/>
          <w:highlight w:val="none"/>
        </w:rPr>
        <w:t>报告</w:t>
      </w:r>
      <w:bookmarkEnd w:id="3"/>
    </w:p>
    <w:p>
      <w:pPr>
        <w:keepNext w:val="0"/>
        <w:keepLines w:val="0"/>
        <w:pageBreakBefore w:val="0"/>
        <w:widowControl w:val="0"/>
        <w:kinsoku/>
        <w:wordWrap/>
        <w:overflowPunct/>
        <w:topLinePunct w:val="0"/>
        <w:autoSpaceDE/>
        <w:autoSpaceDN/>
        <w:bidi w:val="0"/>
        <w:adjustRightInd/>
        <w:snapToGrid/>
        <w:spacing w:beforeAutospacing="0" w:line="560" w:lineRule="exact"/>
        <w:jc w:val="center"/>
        <w:textAlignment w:val="auto"/>
        <w:rPr>
          <w:rFonts w:hint="eastAsia" w:ascii="仿宋_GB2312" w:hAnsi="仿宋_GB2312" w:eastAsia="仿宋_GB2312" w:cs="仿宋_GB2312"/>
          <w:b w:val="0"/>
          <w:bCs w:val="0"/>
          <w:spacing w:val="0"/>
          <w:kern w:val="0"/>
          <w:sz w:val="32"/>
          <w:szCs w:val="32"/>
          <w:highlight w:val="none"/>
          <w:lang w:val="en-US" w:eastAsia="zh-CN" w:bidi="ar"/>
        </w:rPr>
      </w:pPr>
    </w:p>
    <w:p>
      <w:pPr>
        <w:pStyle w:val="7"/>
        <w:keepNext w:val="0"/>
        <w:keepLines w:val="0"/>
        <w:pageBreakBefore w:val="0"/>
        <w:widowControl/>
        <w:suppressLineNumbers w:val="0"/>
        <w:kinsoku/>
        <w:wordWrap/>
        <w:overflowPunct/>
        <w:topLinePunct w:val="0"/>
        <w:autoSpaceDE/>
        <w:autoSpaceDN/>
        <w:bidi w:val="0"/>
        <w:spacing w:before="0" w:beforeAutospacing="0" w:after="0" w:afterAutospacing="0" w:line="560" w:lineRule="exact"/>
        <w:jc w:val="center"/>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——在梅县区二届人大常委会第三十七次会议上</w:t>
      </w:r>
    </w:p>
    <w:p>
      <w:pPr>
        <w:pStyle w:val="7"/>
        <w:keepNext w:val="0"/>
        <w:keepLines w:val="0"/>
        <w:pageBreakBefore w:val="0"/>
        <w:widowControl/>
        <w:suppressLineNumbers w:val="0"/>
        <w:kinsoku/>
        <w:wordWrap/>
        <w:overflowPunct/>
        <w:topLinePunct w:val="0"/>
        <w:autoSpaceDE/>
        <w:autoSpaceDN/>
        <w:bidi w:val="0"/>
        <w:spacing w:before="0" w:beforeAutospacing="0" w:after="0" w:afterAutospacing="0" w:line="560" w:lineRule="exact"/>
        <w:jc w:val="center"/>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梅县区审计局  陈纪珠</w:t>
      </w:r>
    </w:p>
    <w:p>
      <w:pPr>
        <w:pStyle w:val="7"/>
        <w:keepNext w:val="0"/>
        <w:keepLines w:val="0"/>
        <w:pageBreakBefore w:val="0"/>
        <w:widowControl/>
        <w:suppressLineNumbers w:val="0"/>
        <w:kinsoku/>
        <w:wordWrap/>
        <w:overflowPunct/>
        <w:topLinePunct w:val="0"/>
        <w:autoSpaceDE/>
        <w:autoSpaceDN/>
        <w:bidi w:val="0"/>
        <w:spacing w:before="0" w:beforeAutospacing="0" w:after="0" w:afterAutospacing="0" w:line="560" w:lineRule="exact"/>
        <w:jc w:val="center"/>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（2026年6月9日）</w:t>
      </w:r>
    </w:p>
    <w:p>
      <w:pPr>
        <w:pStyle w:val="7"/>
        <w:keepNext w:val="0"/>
        <w:keepLines w:val="0"/>
        <w:pageBreakBefore w:val="0"/>
        <w:widowControl/>
        <w:suppressLineNumbers w:val="0"/>
        <w:kinsoku/>
        <w:wordWrap/>
        <w:overflowPunct/>
        <w:topLinePunct w:val="0"/>
        <w:autoSpaceDE/>
        <w:autoSpaceDN/>
        <w:bidi w:val="0"/>
        <w:spacing w:before="0" w:beforeAutospacing="0" w:after="0" w:afterAutospacing="0" w:line="560" w:lineRule="exact"/>
        <w:jc w:val="left"/>
        <w:rPr>
          <w:rFonts w:hint="eastAsia" w:ascii="仿宋_GB2312" w:hAnsi="仿宋_GB2312" w:eastAsia="仿宋_GB2312" w:cs="仿宋_GB2312"/>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主任、各位副主任、各位委员：</w:t>
      </w:r>
    </w:p>
    <w:p>
      <w:pPr>
        <w:pStyle w:val="7"/>
        <w:keepNext w:val="0"/>
        <w:keepLines w:val="0"/>
        <w:pageBreakBefore w:val="0"/>
        <w:widowControl/>
        <w:suppressLineNumbers w:val="0"/>
        <w:kinsoku/>
        <w:wordWrap/>
        <w:overflowPunct/>
        <w:topLinePunct w:val="0"/>
        <w:autoSpaceDE/>
        <w:autoSpaceDN/>
        <w:bidi w:val="0"/>
        <w:spacing w:before="0" w:beforeAutospacing="0" w:after="0" w:afterAutospacing="0" w:line="560" w:lineRule="exact"/>
        <w:ind w:firstLine="626" w:firstLineChars="200"/>
        <w:jc w:val="left"/>
        <w:rPr>
          <w:rFonts w:hint="eastAsia" w:ascii="仿宋" w:hAnsi="仿宋" w:eastAsia="仿宋" w:cs="仿宋"/>
          <w:b w:val="0"/>
          <w:bCs w:val="0"/>
          <w:color w:val="000000"/>
          <w:kern w:val="2"/>
          <w:sz w:val="32"/>
          <w:szCs w:val="32"/>
          <w:highlight w:val="none"/>
          <w:lang w:val="en-US" w:eastAsia="zh-CN" w:bidi="ar-SA"/>
        </w:rPr>
      </w:pPr>
      <w:r>
        <w:rPr>
          <w:rFonts w:hint="eastAsia" w:ascii="仿宋_GB2312" w:hAnsi="仿宋_GB2312" w:eastAsia="仿宋_GB2312" w:cs="仿宋_GB2312"/>
          <w:b w:val="0"/>
          <w:bCs w:val="0"/>
          <w:color w:val="000000"/>
          <w:kern w:val="2"/>
          <w:sz w:val="32"/>
          <w:szCs w:val="32"/>
          <w:highlight w:val="none"/>
          <w:lang w:val="en-US" w:eastAsia="zh-CN" w:bidi="ar-SA"/>
        </w:rPr>
        <w:t>区政府高度重视审计整改工作，始终坚持以习近平新时代中国特色社会主义思想为指导，</w:t>
      </w:r>
      <w:r>
        <w:rPr>
          <w:rFonts w:hint="eastAsia" w:ascii="仿宋_GB2312" w:hAnsi="仿宋_GB2312" w:eastAsia="仿宋_GB2312" w:cs="仿宋_GB2312"/>
          <w:sz w:val="32"/>
          <w:szCs w:val="32"/>
          <w:highlight w:val="none"/>
        </w:rPr>
        <w:t>深入学习</w:t>
      </w:r>
      <w:r>
        <w:rPr>
          <w:rFonts w:hint="eastAsia" w:ascii="仿宋_GB2312" w:hAnsi="仿宋_GB2312" w:eastAsia="仿宋_GB2312" w:cs="仿宋_GB2312"/>
          <w:sz w:val="32"/>
          <w:szCs w:val="32"/>
          <w:highlight w:val="none"/>
          <w:lang w:val="en-US" w:eastAsia="zh-CN"/>
        </w:rPr>
        <w:t>贯彻党的二十大和二十届历次全会精神、</w:t>
      </w:r>
      <w:r>
        <w:rPr>
          <w:rFonts w:hint="eastAsia" w:ascii="仿宋_GB2312" w:hAnsi="仿宋_GB2312" w:eastAsia="仿宋_GB2312" w:cs="仿宋_GB2312"/>
          <w:sz w:val="32"/>
          <w:szCs w:val="32"/>
          <w:highlight w:val="none"/>
        </w:rPr>
        <w:t>二十届中央审计委员会第三次会议精神</w:t>
      </w:r>
      <w:r>
        <w:rPr>
          <w:rFonts w:hint="eastAsia" w:ascii="仿宋_GB2312" w:hAnsi="仿宋_GB2312" w:eastAsia="仿宋_GB2312" w:cs="仿宋_GB2312"/>
          <w:sz w:val="32"/>
          <w:szCs w:val="32"/>
          <w:highlight w:val="none"/>
          <w:lang w:val="en-US" w:eastAsia="zh-CN"/>
        </w:rPr>
        <w:t>和</w:t>
      </w:r>
      <w:r>
        <w:rPr>
          <w:rFonts w:hint="eastAsia" w:ascii="仿宋_GB2312" w:hAnsi="仿宋_GB2312" w:eastAsia="仿宋_GB2312" w:cs="仿宋_GB2312"/>
          <w:b w:val="0"/>
          <w:bCs w:val="0"/>
          <w:color w:val="000000"/>
          <w:kern w:val="2"/>
          <w:sz w:val="32"/>
          <w:szCs w:val="32"/>
          <w:highlight w:val="none"/>
          <w:lang w:val="en-US" w:eastAsia="zh-CN" w:bidi="ar-SA"/>
        </w:rPr>
        <w:t>习近平总书记关于审计整改工作的重要指示批示精神，紧扣“百千万工程”中心工作，提升审计揭示风险的专业能力，</w:t>
      </w:r>
      <w:r>
        <w:rPr>
          <w:rFonts w:hint="eastAsia" w:ascii="仿宋_GB2312" w:hAnsi="仿宋_GB2312" w:eastAsia="仿宋_GB2312" w:cs="仿宋_GB2312"/>
          <w:sz w:val="32"/>
          <w:szCs w:val="32"/>
          <w:highlight w:val="none"/>
        </w:rPr>
        <w:t>健全</w:t>
      </w:r>
      <w:r>
        <w:rPr>
          <w:rFonts w:hint="eastAsia" w:ascii="仿宋_GB2312" w:hAnsi="仿宋_GB2312" w:eastAsia="仿宋_GB2312" w:cs="仿宋_GB2312"/>
          <w:sz w:val="32"/>
          <w:szCs w:val="32"/>
          <w:highlight w:val="none"/>
          <w:lang w:val="en-US" w:eastAsia="zh-CN"/>
        </w:rPr>
        <w:t>监督</w:t>
      </w:r>
      <w:r>
        <w:rPr>
          <w:rFonts w:hint="eastAsia" w:ascii="仿宋_GB2312" w:hAnsi="仿宋_GB2312" w:eastAsia="仿宋_GB2312" w:cs="仿宋_GB2312"/>
          <w:sz w:val="32"/>
          <w:szCs w:val="32"/>
          <w:highlight w:val="none"/>
        </w:rPr>
        <w:t>机制，</w:t>
      </w:r>
      <w:r>
        <w:rPr>
          <w:rFonts w:hint="eastAsia" w:ascii="仿宋_GB2312" w:hAnsi="仿宋_GB2312" w:eastAsia="仿宋_GB2312" w:cs="仿宋_GB2312"/>
          <w:b w:val="0"/>
          <w:bCs w:val="0"/>
          <w:color w:val="000000"/>
          <w:kern w:val="2"/>
          <w:sz w:val="32"/>
          <w:szCs w:val="32"/>
          <w:highlight w:val="none"/>
          <w:lang w:val="en-US" w:eastAsia="zh-CN" w:bidi="ar-SA"/>
        </w:rPr>
        <w:t>高标准抓好我区审计整改工作的统筹推进和督促落实。按照会议安排，现将2024年度区级预算执行和其他财政收支审计查出突出问题整改情况报告如下，请予审议。</w:t>
      </w:r>
    </w:p>
    <w:p>
      <w:pPr>
        <w:pStyle w:val="7"/>
        <w:keepNext w:val="0"/>
        <w:keepLines w:val="0"/>
        <w:pageBreakBefore w:val="0"/>
        <w:widowControl/>
        <w:suppressLineNumbers w:val="0"/>
        <w:kinsoku/>
        <w:wordWrap/>
        <w:overflowPunct/>
        <w:topLinePunct w:val="0"/>
        <w:autoSpaceDE/>
        <w:autoSpaceDN/>
        <w:bidi w:val="0"/>
        <w:spacing w:before="0" w:beforeAutospacing="0" w:after="0" w:afterAutospacing="0" w:line="560" w:lineRule="exact"/>
        <w:ind w:firstLine="626" w:firstLineChars="200"/>
        <w:jc w:val="left"/>
        <w:rPr>
          <w:rFonts w:hint="eastAsia" w:ascii="黑体" w:hAnsi="黑体" w:eastAsia="黑体" w:cs="黑体"/>
          <w:b w:val="0"/>
          <w:bCs w:val="0"/>
          <w:color w:val="000000"/>
          <w:kern w:val="2"/>
          <w:sz w:val="32"/>
          <w:szCs w:val="32"/>
          <w:highlight w:val="none"/>
          <w:lang w:val="en-US" w:eastAsia="zh-CN" w:bidi="ar-SA"/>
        </w:rPr>
      </w:pPr>
      <w:r>
        <w:rPr>
          <w:rFonts w:hint="eastAsia" w:ascii="黑体" w:hAnsi="黑体" w:eastAsia="黑体" w:cs="黑体"/>
          <w:b w:val="0"/>
          <w:bCs w:val="0"/>
          <w:color w:val="000000"/>
          <w:kern w:val="2"/>
          <w:sz w:val="32"/>
          <w:szCs w:val="32"/>
          <w:highlight w:val="none"/>
          <w:lang w:val="en-US" w:eastAsia="zh-CN" w:bidi="ar-SA"/>
        </w:rPr>
        <w:t>一、审计整改工作部署和成效</w:t>
      </w:r>
    </w:p>
    <w:p>
      <w:pPr>
        <w:pStyle w:val="7"/>
        <w:keepNext w:val="0"/>
        <w:keepLines w:val="0"/>
        <w:pageBreakBefore w:val="0"/>
        <w:widowControl/>
        <w:suppressLineNumbers w:val="0"/>
        <w:kinsoku/>
        <w:wordWrap/>
        <w:overflowPunct/>
        <w:topLinePunct w:val="0"/>
        <w:autoSpaceDE/>
        <w:autoSpaceDN/>
        <w:bidi w:val="0"/>
        <w:spacing w:before="0" w:beforeAutospacing="0" w:after="0" w:afterAutospacing="0" w:line="560" w:lineRule="exact"/>
        <w:ind w:firstLine="626" w:firstLineChars="200"/>
        <w:jc w:val="left"/>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区主要领导多次对审计工作作出批示，要求压实相关单位审计整改责任，促进发现问题、完善制度、堵塞漏洞，不断提升审计监督效能。区审计机关按照区委、区政府要求，结合区二届人大常委会第三十一次会议审议区政府《审计工作报告》时提出的审议意见，不断推进做深做实全面整改，按照立行立改、分阶段整改、持续整改分类提出整改要求，向16个单位印发整改通知和问题清单，推动全面落实审计整改责任，推动有关部门单位通过上缴财政资金、规范“三公”经费支出、严格工程建设程序、加快项目进度、加强自然资源整治等措施落实整改。大多数单位能认真落实整改责任，及时研究解决审计查出问题的思路和办法，明确整改措施、责任分工和完成时限，努力推动审计查出问题严改、实改。</w:t>
      </w:r>
    </w:p>
    <w:p>
      <w:pPr>
        <w:pStyle w:val="7"/>
        <w:keepNext w:val="0"/>
        <w:keepLines w:val="0"/>
        <w:pageBreakBefore w:val="0"/>
        <w:widowControl/>
        <w:suppressLineNumbers w:val="0"/>
        <w:kinsoku/>
        <w:wordWrap/>
        <w:overflowPunct/>
        <w:topLinePunct w:val="0"/>
        <w:autoSpaceDE/>
        <w:autoSpaceDN/>
        <w:bidi w:val="0"/>
        <w:spacing w:before="0" w:beforeAutospacing="0" w:after="0" w:afterAutospacing="0" w:line="560" w:lineRule="exact"/>
        <w:ind w:firstLine="626" w:firstLineChars="200"/>
        <w:jc w:val="left"/>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据统计，截至2026年3月底，2024年7月至2025年6月区级审计工作报告中反映的202项问题，已完成整改169个，整改到位率83%，其中立行立改类问题整改率达90%。审计发现问题整改推动已上缴非税收入和归还原渠道资金共877.65万元，调账处理472.24万元，推动拨付资金10503.56万元，推动建章立制7项，采纳审计建议52条，有关单位给予党纪处分2人、政纪处分4人。在多方努力下，推动区相关部门单位在财政财务收支、“三公”经费支出、国有资产管理、工程建设、政府采购等方面更加依法、合规，从整体上看，上一审计年度整改监督抓得更实，审计整改“下半篇文章”更加有力有效。</w:t>
      </w:r>
    </w:p>
    <w:p>
      <w:pPr>
        <w:keepNext w:val="0"/>
        <w:keepLines w:val="0"/>
        <w:pageBreakBefore w:val="0"/>
        <w:kinsoku/>
        <w:wordWrap/>
        <w:overflowPunct/>
        <w:topLinePunct w:val="0"/>
        <w:autoSpaceDE/>
        <w:autoSpaceDN/>
        <w:bidi w:val="0"/>
        <w:spacing w:beforeAutospacing="0" w:line="560" w:lineRule="exact"/>
        <w:ind w:firstLine="626" w:firstLineChars="200"/>
        <w:jc w:val="both"/>
        <w:textAlignment w:val="auto"/>
        <w:rPr>
          <w:rFonts w:hint="eastAsia" w:ascii="仿宋" w:hAnsi="仿宋" w:eastAsia="仿宋" w:cs="仿宋"/>
          <w:b w:val="0"/>
          <w:bCs w:val="0"/>
          <w:color w:val="auto"/>
          <w:sz w:val="32"/>
          <w:szCs w:val="32"/>
          <w:highlight w:val="none"/>
        </w:rPr>
      </w:pPr>
      <w:r>
        <w:rPr>
          <w:rFonts w:hint="eastAsia" w:ascii="黑体" w:hAnsi="黑体" w:eastAsia="黑体" w:cs="黑体"/>
          <w:b w:val="0"/>
          <w:bCs w:val="0"/>
          <w:color w:val="auto"/>
          <w:sz w:val="32"/>
          <w:szCs w:val="32"/>
          <w:highlight w:val="none"/>
          <w:lang w:val="en-US" w:eastAsia="zh-CN"/>
        </w:rPr>
        <w:t>二</w:t>
      </w:r>
      <w:r>
        <w:rPr>
          <w:rFonts w:hint="eastAsia" w:ascii="黑体" w:hAnsi="黑体" w:eastAsia="黑体" w:cs="黑体"/>
          <w:b w:val="0"/>
          <w:bCs w:val="0"/>
          <w:color w:val="auto"/>
          <w:sz w:val="32"/>
          <w:szCs w:val="32"/>
          <w:highlight w:val="none"/>
        </w:rPr>
        <w:t>、关于</w:t>
      </w:r>
      <w:r>
        <w:rPr>
          <w:rFonts w:hint="eastAsia" w:ascii="黑体" w:hAnsi="黑体" w:eastAsia="黑体" w:cs="黑体"/>
          <w:b w:val="0"/>
          <w:bCs w:val="0"/>
          <w:color w:val="auto"/>
          <w:sz w:val="32"/>
          <w:szCs w:val="32"/>
          <w:highlight w:val="none"/>
          <w:lang w:val="en-US" w:eastAsia="zh-CN"/>
        </w:rPr>
        <w:t>区级</w:t>
      </w:r>
      <w:r>
        <w:rPr>
          <w:rFonts w:hint="eastAsia" w:ascii="黑体" w:hAnsi="黑体" w:eastAsia="黑体" w:cs="黑体"/>
          <w:b w:val="0"/>
          <w:bCs w:val="0"/>
          <w:color w:val="auto"/>
          <w:sz w:val="32"/>
          <w:szCs w:val="32"/>
          <w:highlight w:val="none"/>
        </w:rPr>
        <w:t>审计工作报告反映查出</w:t>
      </w:r>
      <w:r>
        <w:rPr>
          <w:rFonts w:hint="eastAsia" w:ascii="黑体" w:hAnsi="黑体" w:eastAsia="黑体" w:cs="黑体"/>
          <w:b w:val="0"/>
          <w:bCs w:val="0"/>
          <w:color w:val="auto"/>
          <w:sz w:val="32"/>
          <w:szCs w:val="32"/>
          <w:highlight w:val="none"/>
          <w:lang w:val="en-US" w:eastAsia="zh-CN"/>
        </w:rPr>
        <w:t>突出</w:t>
      </w:r>
      <w:r>
        <w:rPr>
          <w:rFonts w:hint="eastAsia" w:ascii="黑体" w:hAnsi="黑体" w:eastAsia="黑体" w:cs="黑体"/>
          <w:b w:val="0"/>
          <w:bCs w:val="0"/>
          <w:color w:val="auto"/>
          <w:sz w:val="32"/>
          <w:szCs w:val="32"/>
          <w:highlight w:val="none"/>
        </w:rPr>
        <w:t>问题的整改情况</w:t>
      </w:r>
    </w:p>
    <w:p>
      <w:pPr>
        <w:keepNext w:val="0"/>
        <w:keepLines w:val="0"/>
        <w:pageBreakBefore w:val="0"/>
        <w:kinsoku/>
        <w:wordWrap/>
        <w:overflowPunct/>
        <w:topLinePunct w:val="0"/>
        <w:autoSpaceDE/>
        <w:autoSpaceDN/>
        <w:bidi w:val="0"/>
        <w:spacing w:beforeAutospacing="0" w:line="560" w:lineRule="exact"/>
        <w:ind w:firstLine="626" w:firstLineChars="200"/>
        <w:jc w:val="both"/>
        <w:textAlignment w:val="auto"/>
        <w:rPr>
          <w:rFonts w:hint="eastAsia" w:ascii="楷体" w:hAnsi="楷体" w:eastAsia="楷体" w:cs="楷体"/>
          <w:b w:val="0"/>
          <w:bCs w:val="0"/>
          <w:spacing w:val="0"/>
          <w:kern w:val="0"/>
          <w:sz w:val="32"/>
          <w:szCs w:val="32"/>
          <w:highlight w:val="none"/>
          <w:lang w:val="en-US" w:eastAsia="zh-CN" w:bidi="ar"/>
        </w:rPr>
      </w:pPr>
      <w:r>
        <w:rPr>
          <w:rFonts w:hint="eastAsia" w:ascii="楷体" w:hAnsi="楷体" w:eastAsia="楷体" w:cs="楷体"/>
          <w:b w:val="0"/>
          <w:bCs w:val="0"/>
          <w:spacing w:val="0"/>
          <w:kern w:val="0"/>
          <w:sz w:val="32"/>
          <w:szCs w:val="32"/>
          <w:highlight w:val="none"/>
          <w:lang w:val="en-US" w:eastAsia="zh-CN" w:bidi="ar"/>
        </w:rPr>
        <w:t>（一）区级财政管理审计查出问题整改情况</w:t>
      </w:r>
    </w:p>
    <w:p>
      <w:pPr>
        <w:keepNext w:val="0"/>
        <w:keepLines w:val="0"/>
        <w:pageBreakBefore w:val="0"/>
        <w:widowControl/>
        <w:kinsoku/>
        <w:wordWrap/>
        <w:overflowPunct/>
        <w:topLinePunct w:val="0"/>
        <w:autoSpaceDE/>
        <w:autoSpaceDN/>
        <w:bidi w:val="0"/>
        <w:spacing w:line="560" w:lineRule="exact"/>
        <w:ind w:firstLine="626" w:firstLineChars="200"/>
        <w:jc w:val="both"/>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1.部分预算编制不细化、管理不规范方面。一是个别支出预算安排僵化、固化的问题，区财政局通过分析原有安排不够合理的原因，着手优化下一年度预算安排。二是未在规定时间内细化落实代编经费预算的问题，区财政局已及时核拨资金2317万元。三是未及时将非税收入缴入国库的问题，区财政局已督促相关单位上缴非税收入共463.52万元。</w:t>
      </w:r>
    </w:p>
    <w:p>
      <w:pPr>
        <w:keepNext w:val="0"/>
        <w:keepLines w:val="0"/>
        <w:pageBreakBefore w:val="0"/>
        <w:widowControl/>
        <w:kinsoku/>
        <w:wordWrap/>
        <w:overflowPunct/>
        <w:topLinePunct w:val="0"/>
        <w:autoSpaceDE/>
        <w:autoSpaceDN/>
        <w:bidi w:val="0"/>
        <w:spacing w:line="560" w:lineRule="exact"/>
        <w:ind w:firstLine="626" w:firstLineChars="200"/>
        <w:jc w:val="both"/>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2.财政库款缺口及偿债压力较大方面。2024年底库款缺口大，同时土地出让收入增收后劲不足、非税收入难以实现持续增长，财政库款资金调度压力及财政偿债压力将持续增大，存在一定的财政运行风险等问题，区财政局通过盘活各类资金资产，向上努力争取项目政策债券、资金等，提高财力性资金调拨力度，制定政府债务偿还计划，合理安排库款保障各类项目支出需求等，想方设法提升财政保障能力。</w:t>
      </w:r>
    </w:p>
    <w:p>
      <w:pPr>
        <w:keepNext w:val="0"/>
        <w:keepLines w:val="0"/>
        <w:pageBreakBefore w:val="0"/>
        <w:widowControl/>
        <w:kinsoku/>
        <w:wordWrap/>
        <w:overflowPunct/>
        <w:topLinePunct w:val="0"/>
        <w:autoSpaceDE/>
        <w:autoSpaceDN/>
        <w:bidi w:val="0"/>
        <w:spacing w:line="560" w:lineRule="exact"/>
        <w:ind w:firstLine="626" w:firstLineChars="200"/>
        <w:jc w:val="both"/>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3.部分财政资金管理使用不合规方面。一是占用债券资金、上级转移支付资金等用于“三保”支出的问题，区财政局正在盘活各类资金资产，向上争取资金。二是消化暂付款未按资金审批流程呈相关领导审批的问题，区财政局已补充完善相关付款材料，严格资金审批流程。三是4项上级转移支付资金和债券资金支出进度偏慢，预算执行率均低于19%的问题，区财政局已及时拨付、规范资金使用13,744.47万元。四是区财政局等9个单位未及时足额拨付项目资金的问题，相关单位通过拨付资金、申请拨款等方式，加快资金支付。五是区财政局等3个单位扩大项目资金支出范围的问题，相关单位已对部分资金进行调账处理，并进一步加强人员培训，规范资金使用。</w:t>
      </w:r>
    </w:p>
    <w:p>
      <w:pPr>
        <w:keepNext w:val="0"/>
        <w:keepLines w:val="0"/>
        <w:pageBreakBefore w:val="0"/>
        <w:widowControl/>
        <w:kinsoku/>
        <w:wordWrap/>
        <w:overflowPunct/>
        <w:topLinePunct w:val="0"/>
        <w:autoSpaceDE/>
        <w:autoSpaceDN/>
        <w:bidi w:val="0"/>
        <w:spacing w:line="560" w:lineRule="exact"/>
        <w:ind w:firstLine="626" w:firstLineChars="200"/>
        <w:jc w:val="both"/>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4.部分债券资金申报、使用不规范方面。一是个别专项债券资金项目前期谋划储备不充分、2个项目债券资金未充分发挥效益，造成资金滞留沉淀国库或业主单位等问题，相关单位已推动项目建设，已加快资金拨付。二是专项债券资金未实行专户管理核算的问题，区财政局已落实专项债券资金专户管理核算。</w:t>
      </w:r>
    </w:p>
    <w:p>
      <w:pPr>
        <w:keepNext w:val="0"/>
        <w:keepLines w:val="0"/>
        <w:pageBreakBefore w:val="0"/>
        <w:kinsoku/>
        <w:wordWrap/>
        <w:overflowPunct/>
        <w:topLinePunct w:val="0"/>
        <w:autoSpaceDE/>
        <w:autoSpaceDN/>
        <w:bidi w:val="0"/>
        <w:spacing w:beforeAutospacing="0" w:line="560" w:lineRule="exact"/>
        <w:ind w:firstLine="626" w:firstLineChars="200"/>
        <w:jc w:val="both"/>
        <w:textAlignment w:val="auto"/>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楷体" w:hAnsi="楷体" w:eastAsia="楷体" w:cs="楷体"/>
          <w:b w:val="0"/>
          <w:bCs w:val="0"/>
          <w:spacing w:val="0"/>
          <w:kern w:val="0"/>
          <w:sz w:val="32"/>
          <w:szCs w:val="32"/>
          <w:highlight w:val="none"/>
          <w:lang w:val="en-US" w:eastAsia="zh-CN" w:bidi="ar"/>
        </w:rPr>
        <w:t>（二）部门及单位财政收支审计查出的问题整改</w:t>
      </w:r>
    </w:p>
    <w:p>
      <w:pPr>
        <w:keepNext w:val="0"/>
        <w:keepLines w:val="0"/>
        <w:pageBreakBefore w:val="0"/>
        <w:widowControl/>
        <w:kinsoku/>
        <w:wordWrap/>
        <w:overflowPunct/>
        <w:topLinePunct w:val="0"/>
        <w:autoSpaceDE/>
        <w:autoSpaceDN/>
        <w:bidi w:val="0"/>
        <w:spacing w:line="560" w:lineRule="exact"/>
        <w:ind w:firstLine="626" w:firstLineChars="200"/>
        <w:jc w:val="both"/>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1.预算编制执行方面。一是个别单位预算执行率低，如上级下达“救灾援助资金”100万元但无实际支出，未充分发挥绩效的问题，整改后该资金预算执行率已达40.2%。二是2个单位扩大支出范围使用资金，涉及金额85.36万元的问题，1个单位已收回资金并按规定重新发放，1个单位组织培训学习并完善内部控制体系，明确责任分工。三是对严重精神障碍患者的监护补助发放管理不规范涉及金额22.08万元的问题，1个单位已收回不规范发放的补助并重新发放，并积极修正相关文件，规范补助发放。</w:t>
      </w:r>
    </w:p>
    <w:p>
      <w:pPr>
        <w:keepNext w:val="0"/>
        <w:keepLines w:val="0"/>
        <w:pageBreakBefore w:val="0"/>
        <w:widowControl w:val="0"/>
        <w:suppressLineNumbers w:val="0"/>
        <w:kinsoku/>
        <w:wordWrap/>
        <w:overflowPunct/>
        <w:topLinePunct w:val="0"/>
        <w:autoSpaceDE/>
        <w:autoSpaceDN/>
        <w:bidi w:val="0"/>
        <w:adjustRightInd w:val="0"/>
        <w:spacing w:beforeAutospacing="0" w:afterAutospacing="0" w:line="560" w:lineRule="exact"/>
        <w:ind w:left="0" w:right="0" w:firstLine="626" w:firstLineChars="200"/>
        <w:jc w:val="both"/>
        <w:textAlignment w:val="baseline"/>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2.财政财务管理方面。一是培训费支出不规范涉及金额23.58万元的问题，1个单位组织人员学习相关法律法规，避免此类现象再次发生。二是3个单位未及时盘活上缴连续两年未使用或已完成项目的结转结余资金，涉及金额134.45万元的问题，2个单位已上缴财政结转结余资金共86.29万元；1个单位因资金不足尚未整改。三是3个单位未严格执行采购规定的问题，2个单位已及时签订或公开政府采购合同，1个单位已开会明确将严格执行政府采购要求。四是应急救援物资管理不规范的问题，1个单位正在盘点、核实物资。五是入账单据不规范的问题，该单位后续已完善相关手续。</w:t>
      </w:r>
    </w:p>
    <w:p>
      <w:pPr>
        <w:keepNext w:val="0"/>
        <w:keepLines w:val="0"/>
        <w:pageBreakBefore w:val="0"/>
        <w:kinsoku/>
        <w:wordWrap/>
        <w:overflowPunct/>
        <w:topLinePunct w:val="0"/>
        <w:autoSpaceDE/>
        <w:autoSpaceDN/>
        <w:bidi w:val="0"/>
        <w:spacing w:beforeAutospacing="0" w:line="560" w:lineRule="exact"/>
        <w:ind w:firstLine="626" w:firstLineChars="200"/>
        <w:jc w:val="both"/>
        <w:textAlignment w:val="auto"/>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楷体" w:hAnsi="楷体" w:eastAsia="楷体" w:cs="楷体"/>
          <w:b w:val="0"/>
          <w:bCs w:val="0"/>
          <w:spacing w:val="0"/>
          <w:kern w:val="0"/>
          <w:sz w:val="32"/>
          <w:szCs w:val="32"/>
          <w:highlight w:val="none"/>
          <w:lang w:val="en-US" w:eastAsia="zh-CN" w:bidi="ar"/>
        </w:rPr>
        <w:t>（三）促进领导干部担当作为和规范权力运行审计查出的问题整改</w:t>
      </w:r>
    </w:p>
    <w:p>
      <w:pPr>
        <w:keepNext w:val="0"/>
        <w:keepLines w:val="0"/>
        <w:pageBreakBefore w:val="0"/>
        <w:numPr>
          <w:ilvl w:val="0"/>
          <w:numId w:val="0"/>
        </w:numPr>
        <w:kinsoku/>
        <w:wordWrap/>
        <w:overflowPunct/>
        <w:topLinePunct w:val="0"/>
        <w:autoSpaceDE/>
        <w:autoSpaceDN/>
        <w:bidi w:val="0"/>
        <w:spacing w:line="560" w:lineRule="exact"/>
        <w:ind w:firstLine="626" w:firstLineChars="200"/>
        <w:jc w:val="both"/>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1.政策执行和制度建设方面。一是2个单位未完成上级下达的指标任务的问题，1个单位已完成绩效目标，完成整改；1个单位正在依法依规整治土地，提高土地利用效率。二是4个单位对上级部署的工作落实不够到位的规定问题，1个单位已加强采购管理与城乡居民基本医疗保险参保缴费宣传工作；1个单位已增加教师人数并增开课后服务类型；1个单位已落实自然资源管理要求，查处不合规行为，正在协调相关单位加强土地整治工作；1个单位已完成三线整治工作，</w:t>
      </w:r>
      <w:bookmarkStart w:id="0" w:name="OLE_LINK1"/>
      <w:r>
        <w:rPr>
          <w:rFonts w:hint="eastAsia" w:ascii="仿宋_GB2312" w:hAnsi="仿宋_GB2312" w:eastAsia="仿宋_GB2312" w:cs="仿宋_GB2312"/>
          <w:b w:val="0"/>
          <w:bCs w:val="0"/>
          <w:spacing w:val="0"/>
          <w:kern w:val="0"/>
          <w:sz w:val="32"/>
          <w:szCs w:val="32"/>
          <w:highlight w:val="none"/>
          <w:lang w:val="en-US" w:eastAsia="zh-CN" w:bidi="ar"/>
        </w:rPr>
        <w:t>规范扶贫资产使用</w:t>
      </w:r>
      <w:bookmarkEnd w:id="0"/>
      <w:r>
        <w:rPr>
          <w:rFonts w:hint="eastAsia" w:ascii="仿宋_GB2312" w:hAnsi="仿宋_GB2312" w:eastAsia="仿宋_GB2312" w:cs="仿宋_GB2312"/>
          <w:b w:val="0"/>
          <w:bCs w:val="0"/>
          <w:spacing w:val="0"/>
          <w:kern w:val="0"/>
          <w:sz w:val="32"/>
          <w:szCs w:val="32"/>
          <w:highlight w:val="none"/>
          <w:lang w:val="en-US" w:eastAsia="zh-CN" w:bidi="ar"/>
        </w:rPr>
        <w:t>，协调相关单位查处</w:t>
      </w:r>
      <w:bookmarkStart w:id="1" w:name="OLE_LINK3"/>
      <w:r>
        <w:rPr>
          <w:rFonts w:hint="eastAsia" w:ascii="仿宋_GB2312" w:hAnsi="仿宋_GB2312" w:eastAsia="仿宋_GB2312" w:cs="仿宋_GB2312"/>
          <w:b w:val="0"/>
          <w:bCs w:val="0"/>
          <w:spacing w:val="0"/>
          <w:kern w:val="0"/>
          <w:sz w:val="32"/>
          <w:szCs w:val="32"/>
          <w:highlight w:val="none"/>
          <w:lang w:val="en-US" w:eastAsia="zh-CN" w:bidi="ar"/>
        </w:rPr>
        <w:t>用地、用水</w:t>
      </w:r>
      <w:bookmarkEnd w:id="1"/>
      <w:r>
        <w:rPr>
          <w:rFonts w:hint="eastAsia" w:ascii="仿宋_GB2312" w:hAnsi="仿宋_GB2312" w:eastAsia="仿宋_GB2312" w:cs="仿宋_GB2312"/>
          <w:b w:val="0"/>
          <w:bCs w:val="0"/>
          <w:spacing w:val="0"/>
          <w:kern w:val="0"/>
          <w:sz w:val="32"/>
          <w:szCs w:val="32"/>
          <w:highlight w:val="none"/>
          <w:lang w:val="en-US" w:eastAsia="zh-CN" w:bidi="ar"/>
        </w:rPr>
        <w:t>问题。三是7个单位涉及1.44亿元未严格执行集体研究决策规定的问题，相关单位已组织人员认真学习相关法律法规，今后将严格执行三重一大制度。</w:t>
      </w:r>
    </w:p>
    <w:p>
      <w:pPr>
        <w:keepNext w:val="0"/>
        <w:keepLines w:val="0"/>
        <w:pageBreakBefore w:val="0"/>
        <w:numPr>
          <w:ilvl w:val="0"/>
          <w:numId w:val="0"/>
        </w:numPr>
        <w:kinsoku/>
        <w:wordWrap/>
        <w:overflowPunct/>
        <w:topLinePunct w:val="0"/>
        <w:autoSpaceDE/>
        <w:autoSpaceDN/>
        <w:bidi w:val="0"/>
        <w:spacing w:line="560" w:lineRule="exact"/>
        <w:ind w:firstLine="626" w:firstLineChars="200"/>
        <w:jc w:val="both"/>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2.财政财务收支管理方面。一是1个乡镇违规向企业融资举债的问题，该镇相关债务已化解并组织人员认真学习相关法律法规，避免问题再次发生。二是5个单位违规发放</w:t>
      </w:r>
      <w:bookmarkStart w:id="2" w:name="OLE_LINK2"/>
      <w:r>
        <w:rPr>
          <w:rFonts w:hint="eastAsia" w:ascii="仿宋_GB2312" w:hAnsi="仿宋_GB2312" w:eastAsia="仿宋_GB2312" w:cs="仿宋_GB2312"/>
          <w:b w:val="0"/>
          <w:bCs w:val="0"/>
          <w:spacing w:val="0"/>
          <w:kern w:val="0"/>
          <w:sz w:val="32"/>
          <w:szCs w:val="32"/>
          <w:highlight w:val="none"/>
          <w:lang w:val="en-US" w:eastAsia="zh-CN" w:bidi="ar"/>
        </w:rPr>
        <w:t>津补贴</w:t>
      </w:r>
      <w:bookmarkEnd w:id="2"/>
      <w:r>
        <w:rPr>
          <w:rFonts w:hint="eastAsia" w:ascii="仿宋_GB2312" w:hAnsi="仿宋_GB2312" w:eastAsia="仿宋_GB2312" w:cs="仿宋_GB2312"/>
          <w:b w:val="0"/>
          <w:bCs w:val="0"/>
          <w:spacing w:val="0"/>
          <w:kern w:val="0"/>
          <w:sz w:val="32"/>
          <w:szCs w:val="32"/>
          <w:highlight w:val="none"/>
          <w:lang w:val="en-US" w:eastAsia="zh-CN" w:bidi="ar"/>
        </w:rPr>
        <w:t>的问题，相关单位已将违规发放的津补贴全部收回。三是5个单位挤占项目资金或扩大开支范围、不合规接受单位横向拨入经费的问题，相关单位均已落实整改要求，并加强资金管理。四是4个单位未严格执行非税收入“收支两条线”管理，涉及金额92.85万元的问题，3个单位已将资金全额上缴财政，1个乡镇因资金压力尚未将非税收入上缴财政。五是3个单位未及时盘活存量资金或未按规定上缴结余资金合计238.27万元的问题，2个单位已将资金上缴财政，1个乡镇因资金压力未能上缴财政剩余资金12.31万元。六是3个单位资金拨付不合规的问题，相关单位均已将资金归还原渠道完成整改。七是2个单位存在超医疗标准价格收费或重复收费的问题，相关单位组织人员学习相关法律法规和完善制度，且已上缴违规费用完成整改。</w:t>
      </w:r>
    </w:p>
    <w:p>
      <w:pPr>
        <w:keepNext w:val="0"/>
        <w:keepLines w:val="0"/>
        <w:pageBreakBefore w:val="0"/>
        <w:numPr>
          <w:ilvl w:val="0"/>
          <w:numId w:val="0"/>
        </w:numPr>
        <w:kinsoku/>
        <w:wordWrap/>
        <w:overflowPunct/>
        <w:topLinePunct w:val="0"/>
        <w:autoSpaceDE/>
        <w:autoSpaceDN/>
        <w:bidi w:val="0"/>
        <w:spacing w:line="560" w:lineRule="exact"/>
        <w:ind w:firstLine="626" w:firstLineChars="200"/>
        <w:jc w:val="both"/>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3.国有资产资源的管理使用方面。一是4个单位少记固定资产的问题，相关单位调整账务完成整改。二是4个单位国有资产处置、出租管理不规范的问题，1个单位正在催收国有资产租金并规范国有资产管理；1个单位已收回租金并上缴财政；1个单位已严格执行国有资产审批制度；1个单位正在重新评估国有资产。三是4个单位的固定资产账实不符的问题，3个单位已将固定资产补记入账，1个单位正在与相关单位核实固定资产数据。</w:t>
      </w:r>
    </w:p>
    <w:p>
      <w:pPr>
        <w:keepNext w:val="0"/>
        <w:keepLines w:val="0"/>
        <w:pageBreakBefore w:val="0"/>
        <w:widowControl w:val="0"/>
        <w:suppressLineNumbers w:val="0"/>
        <w:kinsoku/>
        <w:wordWrap/>
        <w:overflowPunct/>
        <w:topLinePunct w:val="0"/>
        <w:autoSpaceDE/>
        <w:autoSpaceDN/>
        <w:bidi w:val="0"/>
        <w:spacing w:beforeAutospacing="0" w:afterAutospacing="0" w:line="560" w:lineRule="exact"/>
        <w:ind w:left="0" w:right="0" w:firstLine="626" w:firstLineChars="200"/>
        <w:jc w:val="both"/>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4.政府投资项目的决策、建设和效益方面。一是2个单位未按规定支付工程款的问题，1个单位已按规定支付工程款；1个单位已加快项目竣工进度，并追回多付工程款31.94万元。二是5个单位实施的部分工程项目建设管理不到位的问题，相关单位均已组织人员学习相关法规，完善内控制度，采取针对措施强化施工管理。三是3个单位建设项目合同签订不规范或未严格按合同约定执行的问题、6个单位未严格执行政府采购规定、项目招标不合规等问题，相关单位已加强相关法律法规学习，今后按规定要求执行。</w:t>
      </w:r>
    </w:p>
    <w:p>
      <w:pPr>
        <w:keepNext w:val="0"/>
        <w:keepLines w:val="0"/>
        <w:pageBreakBefore w:val="0"/>
        <w:kinsoku/>
        <w:wordWrap/>
        <w:overflowPunct/>
        <w:topLinePunct w:val="0"/>
        <w:autoSpaceDE/>
        <w:autoSpaceDN/>
        <w:bidi w:val="0"/>
        <w:spacing w:beforeAutospacing="0" w:line="560" w:lineRule="exact"/>
        <w:ind w:firstLine="626" w:firstLineChars="200"/>
        <w:jc w:val="both"/>
        <w:textAlignment w:val="auto"/>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楷体" w:hAnsi="楷体" w:eastAsia="楷体" w:cs="楷体"/>
          <w:b w:val="0"/>
          <w:bCs w:val="0"/>
          <w:spacing w:val="0"/>
          <w:kern w:val="0"/>
          <w:sz w:val="32"/>
          <w:szCs w:val="32"/>
          <w:highlight w:val="none"/>
          <w:lang w:val="en-US" w:eastAsia="zh-CN" w:bidi="ar"/>
        </w:rPr>
        <w:t>（四）自然资源生态环保审计查出的问题整改</w:t>
      </w:r>
    </w:p>
    <w:p>
      <w:pPr>
        <w:keepNext w:val="0"/>
        <w:keepLines w:val="0"/>
        <w:pageBreakBefore w:val="0"/>
        <w:kinsoku/>
        <w:wordWrap/>
        <w:overflowPunct/>
        <w:topLinePunct w:val="0"/>
        <w:autoSpaceDE/>
        <w:autoSpaceDN/>
        <w:bidi w:val="0"/>
        <w:snapToGrid w:val="0"/>
        <w:spacing w:line="560" w:lineRule="exact"/>
        <w:ind w:firstLine="626" w:firstLineChars="200"/>
        <w:jc w:val="both"/>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1.在自然资源资产和生态文明保护审计方面。一是职能部门未按时制定出台土地供后巡查、矿山储量动态监督管理等相关政策制度的问题，目前已建立相关管理制度。二是未完成上级下达的目标任务的问题，正在加强土地监管力度，逐步提高土地利用率。三是对巡视、巡察反馈意见指出的问题整改落实仍不到位的问题，正在加强违法用地处理力度，已整改6.93亩违法用地。四是对违法用地处置和违法占用林地后续复绿整改监管力度不足的问题，正会同相关单位协调查处用地用林问题且部分地块已复绿。五是镇级集中供水水源取水点未划定为水源保护区、饮用水水源未按规定设置隔离防护设施、管护不到位问题，已督促指导相关镇加强饮用水源管护，并协调相关部门设定水源保护区。</w:t>
      </w:r>
    </w:p>
    <w:p>
      <w:pPr>
        <w:keepNext w:val="0"/>
        <w:keepLines w:val="0"/>
        <w:pageBreakBefore w:val="0"/>
        <w:kinsoku/>
        <w:wordWrap/>
        <w:overflowPunct/>
        <w:topLinePunct w:val="0"/>
        <w:autoSpaceDE/>
        <w:autoSpaceDN/>
        <w:bidi w:val="0"/>
        <w:snapToGrid w:val="0"/>
        <w:spacing w:line="560" w:lineRule="exact"/>
        <w:ind w:firstLine="626" w:firstLineChars="200"/>
        <w:jc w:val="both"/>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2.在自然资源资产和生态文明管理开发审计方面。一是“三旧”改造项目未按规定取消优惠政策的问题，已加强监管力度，确保今后按规定进行。二是对部分闲置土地的处置不规范、不彻底的问题，正在加强闲置土地认定、查封工作，督促企业按时开工。三是9家矿山企业的地质环境治理恢复基金758.4万元，应缴未缴至共管账户的问题，正在督促相关企业缴存资金，已缴存83.87万元。四是未足额收取欠缴土地出让金9244.9万元的问题，已协调相关单位加快追缴工作。五是2023年垦造水田项目结余资金159.29万元未按规定及时上缴区财政的问题，正加快资金上缴的审核工作。六是镇级自来水厂超限额取水的问题，已推动相关单位补缴超限额取水费用。</w:t>
      </w:r>
    </w:p>
    <w:p>
      <w:pPr>
        <w:keepNext w:val="0"/>
        <w:keepLines w:val="0"/>
        <w:pageBreakBefore w:val="0"/>
        <w:kinsoku/>
        <w:wordWrap/>
        <w:overflowPunct/>
        <w:topLinePunct w:val="0"/>
        <w:autoSpaceDE/>
        <w:autoSpaceDN/>
        <w:bidi w:val="0"/>
        <w:spacing w:beforeAutospacing="0" w:line="560" w:lineRule="exact"/>
        <w:ind w:firstLine="626" w:firstLineChars="200"/>
        <w:jc w:val="both"/>
        <w:textAlignment w:val="auto"/>
        <w:rPr>
          <w:rFonts w:hint="eastAsia" w:ascii="楷体" w:hAnsi="楷体" w:eastAsia="楷体" w:cs="楷体"/>
          <w:b w:val="0"/>
          <w:bCs w:val="0"/>
          <w:spacing w:val="0"/>
          <w:kern w:val="0"/>
          <w:sz w:val="32"/>
          <w:szCs w:val="32"/>
          <w:highlight w:val="none"/>
          <w:lang w:val="en-US" w:eastAsia="zh-CN" w:bidi="ar"/>
        </w:rPr>
      </w:pPr>
      <w:r>
        <w:rPr>
          <w:rFonts w:hint="eastAsia" w:ascii="楷体" w:hAnsi="楷体" w:eastAsia="楷体" w:cs="楷体"/>
          <w:b w:val="0"/>
          <w:bCs w:val="0"/>
          <w:spacing w:val="0"/>
          <w:kern w:val="0"/>
          <w:sz w:val="32"/>
          <w:szCs w:val="32"/>
          <w:highlight w:val="none"/>
          <w:lang w:val="en-US" w:eastAsia="zh-CN" w:bidi="ar"/>
        </w:rPr>
        <w:t>（五）政策落实跟踪项目审计查出的问题整改</w:t>
      </w:r>
    </w:p>
    <w:p>
      <w:pPr>
        <w:pStyle w:val="2"/>
        <w:keepNext w:val="0"/>
        <w:keepLines w:val="0"/>
        <w:pageBreakBefore w:val="0"/>
        <w:kinsoku/>
        <w:wordWrap/>
        <w:overflowPunct/>
        <w:topLinePunct w:val="0"/>
        <w:autoSpaceDE/>
        <w:autoSpaceDN/>
        <w:bidi w:val="0"/>
        <w:spacing w:line="560" w:lineRule="exact"/>
        <w:ind w:firstLine="626" w:firstLineChars="200"/>
        <w:jc w:val="both"/>
        <w:textAlignment w:val="auto"/>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镇域经济高质量发展审计方面。一是未按时完成上级下达的供销服务站建设任务的问题，该镇正在摸查27个村的服务站情况，以确定后续继续建设或申请项目调整。二是部分发展壮大村级集体经济政策落实不够到位的问题，该镇正在筹措资金推动相关政策的落实。三是村级集体经济收益分配管理办法制定不规范的问题，该镇已按要求修正相关文件。四是乡村风貌示范带建设项目未按工程进度付款的问题，该镇已组织相关人员学习相关法律法规，今后按规定进行工作。五是剑英大桥至雁上圆盘段路面改造工程，职能部门违规将已招标完成的部分建设内容（非机动车道工程和中央分隔带工程）另行通过竞争性磋商、公开招标等方式确定由其他施工单位实施的问题，该单位与原施工单位协调签订了补充协议用于完善手续，并对相关人员进行谈话提醒。六是市场升级改造项目，施工程序不规范的问题，该镇已组织相关人员学习相关法律法规完成整改。</w:t>
      </w:r>
    </w:p>
    <w:p>
      <w:pPr>
        <w:keepNext w:val="0"/>
        <w:keepLines w:val="0"/>
        <w:pageBreakBefore w:val="0"/>
        <w:kinsoku/>
        <w:wordWrap/>
        <w:overflowPunct/>
        <w:topLinePunct w:val="0"/>
        <w:autoSpaceDE/>
        <w:autoSpaceDN/>
        <w:bidi w:val="0"/>
        <w:spacing w:beforeAutospacing="0" w:line="560" w:lineRule="exact"/>
        <w:ind w:firstLine="626" w:firstLineChars="200"/>
        <w:jc w:val="both"/>
        <w:textAlignment w:val="auto"/>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楷体" w:hAnsi="楷体" w:eastAsia="楷体" w:cs="楷体"/>
          <w:b w:val="0"/>
          <w:bCs w:val="0"/>
          <w:spacing w:val="0"/>
          <w:kern w:val="0"/>
          <w:sz w:val="32"/>
          <w:szCs w:val="32"/>
          <w:highlight w:val="none"/>
          <w:lang w:val="en-US" w:eastAsia="zh-CN" w:bidi="ar"/>
        </w:rPr>
        <w:t>（六）民生项目审计查出的问题整改</w:t>
      </w:r>
    </w:p>
    <w:p>
      <w:pPr>
        <w:keepNext w:val="0"/>
        <w:keepLines w:val="0"/>
        <w:pageBreakBefore w:val="0"/>
        <w:kinsoku/>
        <w:wordWrap/>
        <w:overflowPunct/>
        <w:topLinePunct w:val="0"/>
        <w:autoSpaceDE/>
        <w:autoSpaceDN/>
        <w:bidi w:val="0"/>
        <w:snapToGrid w:val="0"/>
        <w:spacing w:beforeAutospacing="0" w:line="560" w:lineRule="exact"/>
        <w:ind w:firstLine="626" w:firstLineChars="200"/>
        <w:jc w:val="both"/>
        <w:textAlignment w:val="auto"/>
        <w:outlineLvl w:val="1"/>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一是5所规范化幼儿园存在超规模办园、大班额、设施设备不达标、未足额配备教职工等办园指标不达标的问题，区教育局督促各幼儿园积极整改，除超规模办园问题外其余均已整改。二是全区教师持证上岗率不达标的问题，全区幼儿园专任教师持证率已提升。三是区财政部门未及时足额拨付生均经费和改建工程款的问题，该部门已足额拨付资金完成整改。四是未充分发挥学前教育的高质量发展资金使用效益的问题，区教育局正在根据项目实施进度尽快拨付。五是个别民办幼儿园违规向学生收取平安校园系统费用的问题，相关幼儿园已退回2.42万元违规收取的费用。六是个别民办幼儿园评定学生资助资格不严，造成多发放资助资金的问题，相关幼儿园已收回多发放的补助并上缴财政。七是区教育部门未公开普惠性民办幼儿园收费标准和财政补助补贴信息的问题，教育局已在政府网站公开相应信息。八是区住建部门未按规定规划住宅小区配套幼儿园的问题，各主管部门正在协调相关单位按照规定配备幼儿园。</w:t>
      </w:r>
    </w:p>
    <w:p>
      <w:pPr>
        <w:keepNext w:val="0"/>
        <w:keepLines w:val="0"/>
        <w:pageBreakBefore w:val="0"/>
        <w:kinsoku/>
        <w:wordWrap/>
        <w:overflowPunct/>
        <w:topLinePunct w:val="0"/>
        <w:autoSpaceDE/>
        <w:autoSpaceDN/>
        <w:bidi w:val="0"/>
        <w:spacing w:beforeAutospacing="0" w:line="560" w:lineRule="exact"/>
        <w:ind w:firstLine="626" w:firstLineChars="200"/>
        <w:jc w:val="both"/>
        <w:textAlignment w:val="auto"/>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楷体" w:hAnsi="楷体" w:eastAsia="楷体" w:cs="楷体"/>
          <w:b w:val="0"/>
          <w:bCs w:val="0"/>
          <w:spacing w:val="0"/>
          <w:kern w:val="0"/>
          <w:sz w:val="32"/>
          <w:szCs w:val="32"/>
          <w:highlight w:val="none"/>
          <w:lang w:val="en-US" w:eastAsia="zh-CN" w:bidi="ar"/>
        </w:rPr>
        <w:t>（七）政府投资项目审计查出的问题整改</w:t>
      </w:r>
    </w:p>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60" w:lineRule="exact"/>
        <w:ind w:left="0" w:right="0" w:firstLine="626" w:firstLineChars="200"/>
        <w:jc w:val="both"/>
        <w:rPr>
          <w:rFonts w:hint="eastAsia" w:ascii="仿宋" w:hAnsi="仿宋" w:eastAsia="仿宋" w:cs="仿宋"/>
          <w:b w:val="0"/>
          <w:bCs w:val="0"/>
          <w:snapToGrid w:val="0"/>
          <w:kern w:val="1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1个乡镇7个村级污水处理设施建设项目专项审计调查中存在招标文件违规设置以特定行政区、特定行业的业绩奖项加分来排斥其他企业；未经勘察直接设计并施工，设计不合理；重大设计变更未报审批；项目建设进度严重滞后；监理单位未按规定进行设备运转测试核验，却出具质量评估报告；施工单位未按要求设立农民工工资专用账户等问题。由于工程已经完工，该镇通过召开业务会议学习落实项目报批、招标投标、工程建设等法律法规，推动以后项目依规合法实施。</w:t>
      </w:r>
    </w:p>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60" w:lineRule="exact"/>
        <w:ind w:left="0" w:right="0" w:firstLine="626" w:firstLineChars="200"/>
        <w:jc w:val="both"/>
        <w:rPr>
          <w:rFonts w:hint="eastAsia" w:ascii="黑体" w:hAnsi="黑体" w:eastAsia="黑体" w:cs="黑体"/>
          <w:b w:val="0"/>
          <w:bCs w:val="0"/>
          <w:snapToGrid w:val="0"/>
          <w:kern w:val="10"/>
          <w:sz w:val="32"/>
          <w:szCs w:val="32"/>
          <w:highlight w:val="none"/>
          <w:lang w:val="en-US" w:eastAsia="zh-CN" w:bidi="ar"/>
        </w:rPr>
      </w:pPr>
      <w:r>
        <w:rPr>
          <w:rFonts w:hint="eastAsia" w:ascii="黑体" w:hAnsi="黑体" w:eastAsia="黑体" w:cs="黑体"/>
          <w:b w:val="0"/>
          <w:bCs w:val="0"/>
          <w:snapToGrid w:val="0"/>
          <w:kern w:val="10"/>
          <w:sz w:val="32"/>
          <w:szCs w:val="32"/>
          <w:highlight w:val="none"/>
          <w:lang w:val="en-US" w:eastAsia="zh-CN" w:bidi="ar"/>
        </w:rPr>
        <w:t>三、关于部分问题未完成整改的原因分析</w:t>
      </w:r>
    </w:p>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60" w:lineRule="exact"/>
        <w:ind w:left="0" w:right="0" w:firstLine="626" w:firstLineChars="200"/>
        <w:jc w:val="both"/>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从目前整改情况看，区各部门单位重视审计查出的问题，及时制定整改措施予以落实，整改工作取得阶段性成效。但仍有一些问题未整改到位，主要是：</w:t>
      </w:r>
    </w:p>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60" w:lineRule="exact"/>
        <w:ind w:left="0" w:right="0" w:firstLine="626" w:firstLineChars="200"/>
        <w:jc w:val="both"/>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一是对审计整改研判不够，未能按时完成整改任务。一些单位在接到整改要求后，未对问题整改的复杂性、艰巨性进行充分研判，整改方案制定不够科学详尽，针对性不强，推进整改力度不够，整改时间节点未能充分把握。</w:t>
      </w:r>
    </w:p>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60" w:lineRule="exact"/>
        <w:ind w:left="0" w:right="0" w:firstLine="626" w:firstLineChars="200"/>
        <w:jc w:val="both"/>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二是受财力条件制约，难以短期加快项目建设进度和资金拨付。部分审计查出的问题涉及项目建设领域，需要充足的资金保障支撑，现行财政收支压力较大，配套整改资金未能及时足额到位，导致费用无法正常支付，项目推进陷入停滞。为落实“三保”和中心工作，财政、债券混用带来较为长期影响。</w:t>
      </w:r>
    </w:p>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60" w:lineRule="exact"/>
        <w:ind w:left="0" w:right="0" w:firstLine="626" w:firstLineChars="200"/>
        <w:jc w:val="both"/>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三是因历史遗留、单位协同度等因素影响，整改难度较大，需采取有效措施稳步推进。部分查出问题形成时间久远，属于历史遗留问题，涉及的政策背景、责任主体、利益关系等较为复杂，厘清问题根源、明确整改责任需要耗费大量时间和精力。部分问题整改需要多部门、多单位协同配合，但在实际工作中，存在相关单位职责界定不清晰、沟通协调机制不健全等问题，进一步加大了整改难度。</w:t>
      </w:r>
    </w:p>
    <w:p>
      <w:pPr>
        <w:keepNext w:val="0"/>
        <w:keepLines w:val="0"/>
        <w:pageBreakBefore w:val="0"/>
        <w:widowControl/>
        <w:numPr>
          <w:ilvl w:val="0"/>
          <w:numId w:val="0"/>
        </w:numPr>
        <w:kinsoku/>
        <w:wordWrap/>
        <w:overflowPunct/>
        <w:topLinePunct w:val="0"/>
        <w:autoSpaceDE/>
        <w:autoSpaceDN/>
        <w:bidi w:val="0"/>
        <w:adjustRightInd/>
        <w:spacing w:beforeAutospacing="0" w:line="560" w:lineRule="exact"/>
        <w:ind w:firstLine="626" w:firstLineChars="200"/>
        <w:jc w:val="both"/>
        <w:textAlignment w:val="auto"/>
        <w:rPr>
          <w:rFonts w:hint="eastAsia" w:ascii="黑体" w:hAnsi="黑体" w:eastAsia="黑体" w:cs="黑体"/>
          <w:b w:val="0"/>
          <w:bCs w:val="0"/>
          <w:color w:val="auto"/>
          <w:kern w:val="2"/>
          <w:sz w:val="32"/>
          <w:szCs w:val="32"/>
          <w:highlight w:val="none"/>
          <w:u w:val="none"/>
          <w:lang w:val="en-US" w:eastAsia="zh-CN" w:bidi="ar-SA"/>
        </w:rPr>
      </w:pPr>
      <w:r>
        <w:rPr>
          <w:rFonts w:hint="eastAsia" w:ascii="黑体" w:hAnsi="黑体" w:eastAsia="黑体" w:cs="黑体"/>
          <w:b w:val="0"/>
          <w:bCs w:val="0"/>
          <w:color w:val="auto"/>
          <w:kern w:val="2"/>
          <w:sz w:val="32"/>
          <w:szCs w:val="32"/>
          <w:highlight w:val="none"/>
          <w:u w:val="none"/>
          <w:lang w:val="en-US" w:eastAsia="zh-CN" w:bidi="ar-SA"/>
        </w:rPr>
        <w:t>四、今后进一步加强审计整改的方向建议</w:t>
      </w:r>
    </w:p>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60" w:lineRule="exact"/>
        <w:ind w:left="0" w:right="0" w:firstLine="626" w:firstLineChars="200"/>
        <w:jc w:val="both"/>
        <w:rPr>
          <w:rFonts w:hint="eastAsia" w:ascii="仿宋_GB2312" w:hAnsi="仿宋_GB2312" w:eastAsia="仿宋_GB2312" w:cs="仿宋_GB2312"/>
          <w:b w:val="0"/>
          <w:bCs w:val="0"/>
          <w:spacing w:val="0"/>
          <w:kern w:val="0"/>
          <w:sz w:val="32"/>
          <w:szCs w:val="32"/>
          <w:highlight w:val="none"/>
          <w:lang w:val="en-US" w:eastAsia="zh-CN" w:bidi="ar"/>
        </w:rPr>
      </w:pPr>
      <w:r>
        <w:rPr>
          <w:rFonts w:hint="eastAsia" w:ascii="仿宋_GB2312" w:hAnsi="仿宋_GB2312" w:eastAsia="仿宋_GB2312" w:cs="仿宋_GB2312"/>
          <w:b w:val="0"/>
          <w:bCs w:val="0"/>
          <w:spacing w:val="0"/>
          <w:kern w:val="0"/>
          <w:sz w:val="32"/>
          <w:szCs w:val="32"/>
          <w:highlight w:val="none"/>
          <w:lang w:val="en-US" w:eastAsia="zh-CN" w:bidi="ar"/>
        </w:rPr>
        <w:t>对未整改到位的问题，区政府要求有关单位对后续整改工作作出安排。一是压实责任、盯紧进度。对17个到期未完成整改问题，要求被审计单位倒排工期，动真碰硬采取有力措施尽快整改到位。对16个未到整改期限问题，要求整改责任单位进一步强化组织领导，按照期限合理制定整改计划，完善整改措施，及时更新报送整改结果。二是加强督查、确保实效。要求审计机关严格审核把关，通过开展审计整改情况跟踪督促检查，提供整改思路，全力促进被审计单位按期完成整改。三是标本兼治、由治到防。要求被审计单位要认真研究采纳审计意见，行业主管部门要聚焦普遍性、典型性问题，全面摸查，深化行业治理，自行开展整改“回头看”，建章立制、堵塞漏洞，从源头上防止问题再次发生。</w:t>
      </w:r>
    </w:p>
    <w:p>
      <w:pPr>
        <w:keepNext w:val="0"/>
        <w:keepLines w:val="0"/>
        <w:pageBreakBefore w:val="0"/>
        <w:kinsoku/>
        <w:wordWrap/>
        <w:overflowPunct/>
        <w:topLinePunct w:val="0"/>
        <w:autoSpaceDE/>
        <w:autoSpaceDN/>
        <w:bidi w:val="0"/>
        <w:spacing w:beforeAutospacing="0" w:line="560" w:lineRule="exact"/>
        <w:ind w:right="326" w:rightChars="161"/>
        <w:jc w:val="both"/>
        <w:textAlignment w:val="auto"/>
        <w:rPr>
          <w:rFonts w:hint="eastAsia" w:ascii="仿宋" w:hAnsi="仿宋" w:eastAsia="仿宋" w:cs="仿宋"/>
          <w:b w:val="0"/>
          <w:bCs w:val="0"/>
          <w:sz w:val="32"/>
          <w:szCs w:val="32"/>
          <w:highlight w:val="none"/>
        </w:rPr>
      </w:pPr>
    </w:p>
    <w:p>
      <w:pPr>
        <w:keepNext w:val="0"/>
        <w:keepLines w:val="0"/>
        <w:pageBreakBefore w:val="0"/>
        <w:kinsoku/>
        <w:wordWrap/>
        <w:overflowPunct/>
        <w:topLinePunct w:val="0"/>
        <w:autoSpaceDE/>
        <w:autoSpaceDN/>
        <w:bidi w:val="0"/>
        <w:spacing w:line="560" w:lineRule="exact"/>
      </w:pPr>
    </w:p>
    <w:sectPr>
      <w:headerReference r:id="rId3" w:type="default"/>
      <w:footerReference r:id="rId4" w:type="default"/>
      <w:pgSz w:w="11907" w:h="16840"/>
      <w:pgMar w:top="2098" w:right="1587" w:bottom="2098" w:left="1587" w:header="851" w:footer="907" w:gutter="0"/>
      <w:pgNumType w:fmt="numberInDash" w:start="1"/>
      <w:cols w:space="720" w:num="1"/>
      <w:docGrid w:type="linesAndChars" w:linePitch="596" w:charSpace="-14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5ZDEyOTU4ZWZkYjg2OTMxMWFmY2Q5MDk5YzllZWQifQ=="/>
  </w:docVars>
  <w:rsids>
    <w:rsidRoot w:val="0B465C48"/>
    <w:rsid w:val="0B465C48"/>
    <w:rsid w:val="15796E2E"/>
    <w:rsid w:val="223F637C"/>
    <w:rsid w:val="2460693F"/>
    <w:rsid w:val="2C862B80"/>
    <w:rsid w:val="2C89167F"/>
    <w:rsid w:val="39071F95"/>
    <w:rsid w:val="3A422FC8"/>
    <w:rsid w:val="5A717581"/>
    <w:rsid w:val="60FD5082"/>
    <w:rsid w:val="62973F09"/>
    <w:rsid w:val="69AB7484"/>
    <w:rsid w:val="6E390F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footnote text"/>
    <w:basedOn w:val="1"/>
    <w:next w:val="3"/>
    <w:qFormat/>
    <w:uiPriority w:val="0"/>
    <w:pPr>
      <w:snapToGrid w:val="0"/>
      <w:jc w:val="left"/>
    </w:pPr>
    <w:rPr>
      <w:rFonts w:ascii="Calibri" w:hAnsi="Calibri"/>
      <w:sz w:val="18"/>
    </w:rPr>
  </w:style>
  <w:style w:type="paragraph" w:styleId="3">
    <w:name w:val="Body Text First Indent 2"/>
    <w:basedOn w:val="4"/>
    <w:next w:val="1"/>
    <w:unhideWhenUsed/>
    <w:qFormat/>
    <w:uiPriority w:val="99"/>
    <w:pPr>
      <w:spacing w:before="100" w:beforeAutospacing="1" w:after="0"/>
      <w:ind w:left="0" w:leftChars="0" w:firstLine="420" w:firstLineChars="200"/>
    </w:pPr>
    <w:rPr>
      <w:sz w:val="30"/>
      <w:szCs w:val="30"/>
    </w:rPr>
  </w:style>
  <w:style w:type="paragraph" w:styleId="4">
    <w:name w:val="Body Text Indent"/>
    <w:basedOn w:val="1"/>
    <w:qFormat/>
    <w:uiPriority w:val="0"/>
    <w:pPr>
      <w:spacing w:line="600" w:lineRule="exact"/>
      <w:ind w:firstLine="640" w:firstLineChars="200"/>
      <w:textAlignment w:val="baseline"/>
    </w:pPr>
    <w:rPr>
      <w:rFonts w:ascii="仿宋_GB2312" w:hAnsi="仿宋_GB2312" w:eastAsia="仿宋_GB2312"/>
      <w:sz w:val="32"/>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hint="eastAsia" w:ascii="Arial Unicode MS" w:hAnsi="Arial Unicode MS" w:eastAsia="Arial Unicode MS" w:cs="Arial Unicode MS"/>
      <w:kern w:val="0"/>
      <w:sz w:val="24"/>
    </w:rPr>
  </w:style>
  <w:style w:type="paragraph" w:styleId="8">
    <w:name w:val="Title"/>
    <w:basedOn w:val="1"/>
    <w:next w:val="1"/>
    <w:qFormat/>
    <w:uiPriority w:val="10"/>
    <w:pPr>
      <w:spacing w:before="240" w:after="60"/>
      <w:jc w:val="center"/>
      <w:outlineLvl w:val="0"/>
    </w:pPr>
    <w:rPr>
      <w:rFonts w:ascii="Cambria" w:hAnsi="Cambria"/>
      <w:b/>
      <w:bCs/>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2026-01-13T06:58:00Z</dcterms:created>
  <dc:creator>Administrator</dc:creator>
  <cp:lastModifiedBy>Administrator</cp:lastModifiedBy>
  <cp:lastPrinted>2026-04-07T08:10:00Z</cp:lastPrinted>
  <dcterms:modified xsi:type="dcterms:W3CDTF">2026-09-29T00:50:33Z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CEB0FE1BF522436EAEEE94BBA77530E8</vt:lpwstr>
  </property>
</Properties>
</file>