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6FB09">
      <w:pPr>
        <w:ind w:firstLine="280" w:firstLineChars="1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附件</w:t>
      </w:r>
      <w:bookmarkStart w:id="0" w:name="_GoBack"/>
      <w:bookmarkEnd w:id="0"/>
    </w:p>
    <w:tbl>
      <w:tblPr>
        <w:tblStyle w:val="3"/>
        <w:tblpPr w:leftFromText="180" w:rightFromText="180" w:vertAnchor="text" w:horzAnchor="page" w:tblpX="1794" w:tblpY="942"/>
        <w:tblOverlap w:val="never"/>
        <w:tblW w:w="4851"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950"/>
        <w:gridCol w:w="1569"/>
        <w:gridCol w:w="2958"/>
        <w:gridCol w:w="2851"/>
        <w:gridCol w:w="3424"/>
      </w:tblGrid>
      <w:tr w14:paraId="78E162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40" w:hRule="atLeast"/>
        </w:trPr>
        <w:tc>
          <w:tcPr>
            <w:tcW w:w="1072" w:type="pct"/>
            <w:vAlign w:val="center"/>
          </w:tcPr>
          <w:p w14:paraId="71EFE206">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黑体" w:hAnsi="黑体" w:eastAsia="黑体"/>
                <w:sz w:val="28"/>
                <w:szCs w:val="28"/>
              </w:rPr>
            </w:pPr>
            <w:r>
              <w:rPr>
                <w:rFonts w:hint="eastAsia" w:ascii="黑体" w:hAnsi="黑体" w:eastAsia="黑体"/>
                <w:sz w:val="28"/>
                <w:szCs w:val="28"/>
              </w:rPr>
              <w:t>车辆类别</w:t>
            </w:r>
          </w:p>
        </w:tc>
        <w:tc>
          <w:tcPr>
            <w:tcW w:w="570" w:type="pct"/>
            <w:vAlign w:val="center"/>
          </w:tcPr>
          <w:p w14:paraId="24DB076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黑体" w:hAnsi="黑体" w:eastAsia="黑体"/>
                <w:sz w:val="28"/>
                <w:szCs w:val="28"/>
              </w:rPr>
            </w:pPr>
            <w:r>
              <w:rPr>
                <w:rFonts w:hint="eastAsia" w:ascii="黑体" w:hAnsi="黑体" w:eastAsia="黑体"/>
                <w:sz w:val="28"/>
                <w:szCs w:val="28"/>
              </w:rPr>
              <w:t>计算单位</w:t>
            </w:r>
          </w:p>
        </w:tc>
        <w:tc>
          <w:tcPr>
            <w:tcW w:w="1075" w:type="pct"/>
            <w:tcBorders>
              <w:right w:val="single" w:color="auto" w:sz="4" w:space="0"/>
            </w:tcBorders>
            <w:vAlign w:val="center"/>
          </w:tcPr>
          <w:p w14:paraId="0E678996">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ascii="黑体" w:hAnsi="黑体" w:eastAsia="黑体"/>
                <w:sz w:val="28"/>
                <w:szCs w:val="28"/>
              </w:rPr>
            </w:pPr>
            <w:r>
              <w:rPr>
                <w:rFonts w:hint="eastAsia" w:ascii="黑体" w:hAnsi="黑体" w:eastAsia="黑体"/>
                <w:sz w:val="28"/>
                <w:szCs w:val="28"/>
              </w:rPr>
              <w:t>室内停车场</w:t>
            </w:r>
          </w:p>
          <w:p w14:paraId="2FECA7FD">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ascii="黑体" w:hAnsi="黑体" w:eastAsia="黑体"/>
                <w:sz w:val="28"/>
                <w:szCs w:val="28"/>
              </w:rPr>
            </w:pPr>
            <w:r>
              <w:rPr>
                <w:rFonts w:hint="eastAsia" w:ascii="黑体" w:hAnsi="黑体" w:eastAsia="黑体"/>
                <w:sz w:val="28"/>
                <w:szCs w:val="28"/>
              </w:rPr>
              <w:t>收费标准</w:t>
            </w:r>
          </w:p>
        </w:tc>
        <w:tc>
          <w:tcPr>
            <w:tcW w:w="1036" w:type="pct"/>
            <w:tcBorders>
              <w:left w:val="single" w:color="auto" w:sz="4" w:space="0"/>
            </w:tcBorders>
            <w:vAlign w:val="center"/>
          </w:tcPr>
          <w:p w14:paraId="13FB3CBA">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ascii="黑体" w:hAnsi="黑体" w:eastAsia="黑体"/>
                <w:sz w:val="28"/>
                <w:szCs w:val="28"/>
              </w:rPr>
            </w:pPr>
            <w:r>
              <w:rPr>
                <w:rFonts w:hint="eastAsia" w:ascii="黑体" w:hAnsi="黑体" w:eastAsia="黑体"/>
                <w:sz w:val="28"/>
                <w:szCs w:val="28"/>
              </w:rPr>
              <w:t>室外停车场</w:t>
            </w:r>
          </w:p>
          <w:p w14:paraId="37FB3088">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ascii="黑体" w:hAnsi="黑体" w:eastAsia="黑体"/>
                <w:sz w:val="28"/>
                <w:szCs w:val="28"/>
              </w:rPr>
            </w:pPr>
            <w:r>
              <w:rPr>
                <w:rFonts w:hint="eastAsia" w:ascii="黑体" w:hAnsi="黑体" w:eastAsia="黑体"/>
                <w:sz w:val="28"/>
                <w:szCs w:val="28"/>
              </w:rPr>
              <w:t>收费标准</w:t>
            </w:r>
          </w:p>
        </w:tc>
        <w:tc>
          <w:tcPr>
            <w:tcW w:w="1244" w:type="pct"/>
            <w:vAlign w:val="center"/>
          </w:tcPr>
          <w:p w14:paraId="22EB941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黑体" w:hAnsi="黑体" w:eastAsia="黑体"/>
                <w:sz w:val="28"/>
                <w:szCs w:val="28"/>
              </w:rPr>
            </w:pPr>
            <w:r>
              <w:rPr>
                <w:rFonts w:hint="eastAsia" w:ascii="黑体" w:hAnsi="黑体" w:eastAsia="黑体"/>
                <w:sz w:val="28"/>
                <w:szCs w:val="28"/>
              </w:rPr>
              <w:t>备  注</w:t>
            </w:r>
          </w:p>
        </w:tc>
      </w:tr>
      <w:tr w14:paraId="57CA52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9" w:hRule="exact"/>
        </w:trPr>
        <w:tc>
          <w:tcPr>
            <w:tcW w:w="1072" w:type="pct"/>
            <w:vAlign w:val="center"/>
          </w:tcPr>
          <w:p w14:paraId="25FF2E86">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b/>
                <w:sz w:val="24"/>
                <w:szCs w:val="24"/>
              </w:rPr>
            </w:pPr>
            <w:r>
              <w:rPr>
                <w:rFonts w:hint="eastAsia" w:ascii="仿宋_GB2312" w:hAnsi="仿宋" w:eastAsia="仿宋_GB2312"/>
                <w:b/>
                <w:sz w:val="24"/>
                <w:szCs w:val="24"/>
              </w:rPr>
              <w:t>各类车</w:t>
            </w:r>
          </w:p>
        </w:tc>
        <w:tc>
          <w:tcPr>
            <w:tcW w:w="570" w:type="pct"/>
            <w:vAlign w:val="center"/>
          </w:tcPr>
          <w:p w14:paraId="4ABB64B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辆</w:t>
            </w:r>
          </w:p>
        </w:tc>
        <w:tc>
          <w:tcPr>
            <w:tcW w:w="1075" w:type="pct"/>
            <w:tcBorders>
              <w:right w:val="single" w:color="auto" w:sz="4" w:space="0"/>
            </w:tcBorders>
            <w:vAlign w:val="center"/>
          </w:tcPr>
          <w:p w14:paraId="2270DC2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 w:eastAsia="仿宋_GB2312"/>
                <w:sz w:val="24"/>
                <w:szCs w:val="24"/>
              </w:rPr>
            </w:pPr>
            <w:r>
              <w:rPr>
                <w:rFonts w:hint="eastAsia" w:ascii="仿宋_GB2312" w:hAnsi="仿宋" w:eastAsia="仿宋_GB2312"/>
                <w:sz w:val="24"/>
                <w:szCs w:val="24"/>
              </w:rPr>
              <w:t>30分钟内</w:t>
            </w:r>
          </w:p>
          <w:p w14:paraId="630C1E58">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（含30分钟）免费</w:t>
            </w:r>
          </w:p>
        </w:tc>
        <w:tc>
          <w:tcPr>
            <w:tcW w:w="1036" w:type="pct"/>
            <w:tcBorders>
              <w:left w:val="single" w:color="auto" w:sz="4" w:space="0"/>
            </w:tcBorders>
            <w:vAlign w:val="center"/>
          </w:tcPr>
          <w:p w14:paraId="140E737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 w:eastAsia="仿宋_GB2312"/>
                <w:sz w:val="24"/>
                <w:szCs w:val="24"/>
                <w:lang w:val="en-US" w:eastAsia="zh-CN"/>
              </w:rPr>
            </w:pPr>
            <w:r>
              <w:rPr>
                <w:rFonts w:hint="eastAsia" w:ascii="仿宋_GB2312" w:hAnsi="仿宋" w:eastAsia="仿宋_GB2312"/>
                <w:sz w:val="24"/>
                <w:szCs w:val="24"/>
                <w:lang w:val="en-US" w:eastAsia="zh-CN"/>
              </w:rPr>
              <w:t>1小时内</w:t>
            </w:r>
          </w:p>
          <w:p w14:paraId="300800C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 w:eastAsia="仿宋_GB2312"/>
                <w:sz w:val="24"/>
                <w:szCs w:val="24"/>
                <w:lang w:val="en-US" w:eastAsia="zh-CN"/>
              </w:rPr>
            </w:pPr>
            <w:r>
              <w:rPr>
                <w:rFonts w:hint="eastAsia" w:ascii="仿宋_GB2312" w:hAnsi="仿宋" w:eastAsia="仿宋_GB2312"/>
                <w:sz w:val="24"/>
                <w:szCs w:val="24"/>
                <w:lang w:val="en-US" w:eastAsia="zh-CN"/>
              </w:rPr>
              <w:t>（含1小时）免费</w:t>
            </w:r>
          </w:p>
        </w:tc>
        <w:tc>
          <w:tcPr>
            <w:tcW w:w="1244" w:type="pct"/>
            <w:vMerge w:val="restart"/>
            <w:vAlign w:val="center"/>
          </w:tcPr>
          <w:p w14:paraId="5E966953">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ascii="仿宋_GB2312" w:hAnsi="仿宋" w:eastAsia="仿宋_GB2312"/>
                <w:sz w:val="24"/>
                <w:szCs w:val="24"/>
              </w:rPr>
            </w:pPr>
            <w:r>
              <w:rPr>
                <w:rFonts w:hint="eastAsia" w:ascii="仿宋_GB2312" w:hAnsi="仿宋" w:eastAsia="仿宋_GB2312"/>
                <w:sz w:val="24"/>
                <w:szCs w:val="24"/>
              </w:rPr>
              <w:t>1</w:t>
            </w:r>
            <w:r>
              <w:rPr>
                <w:rFonts w:hint="eastAsia" w:ascii="仿宋_GB2312" w:hAnsi="仿宋" w:eastAsia="仿宋_GB2312"/>
                <w:sz w:val="24"/>
                <w:szCs w:val="24"/>
                <w:lang w:val="en-US" w:eastAsia="zh-CN"/>
              </w:rPr>
              <w:t>.</w:t>
            </w:r>
            <w:r>
              <w:rPr>
                <w:rFonts w:hint="eastAsia" w:ascii="仿宋_GB2312" w:hAnsi="仿宋" w:eastAsia="仿宋_GB2312"/>
                <w:sz w:val="24"/>
                <w:szCs w:val="24"/>
              </w:rPr>
              <w:t>车辆停放不足1小时(含1小时)按1小时计;连续停放不足12小时的按实计;连续停放12小时以上24小时以内的按12小时计;连续停放超过24小时的，按上述计费方式和标准累加收费；按天计费起止时间连续累加24小时为1天。</w:t>
            </w:r>
          </w:p>
          <w:p w14:paraId="7C01B04E">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ascii="仿宋_GB2312" w:eastAsia="仿宋_GB2312"/>
                <w:sz w:val="28"/>
                <w:szCs w:val="28"/>
              </w:rPr>
            </w:pPr>
            <w:r>
              <w:rPr>
                <w:rFonts w:hint="eastAsia" w:ascii="仿宋_GB2312" w:hAnsi="仿宋" w:eastAsia="仿宋_GB2312"/>
                <w:sz w:val="24"/>
                <w:szCs w:val="24"/>
              </w:rPr>
              <w:t>2</w:t>
            </w:r>
            <w:r>
              <w:rPr>
                <w:rFonts w:hint="eastAsia" w:ascii="仿宋_GB2312" w:hAnsi="仿宋" w:eastAsia="仿宋_GB2312"/>
                <w:sz w:val="24"/>
                <w:szCs w:val="24"/>
                <w:lang w:val="en-US" w:eastAsia="zh-CN"/>
              </w:rPr>
              <w:t>.</w:t>
            </w:r>
            <w:r>
              <w:rPr>
                <w:rFonts w:hint="eastAsia" w:ascii="仿宋_GB2312" w:hAnsi="仿宋" w:eastAsia="仿宋_GB2312"/>
                <w:sz w:val="24"/>
                <w:szCs w:val="24"/>
              </w:rPr>
              <w:t>军警车辆、实施救助的医院救护车辆、市政工程抢修车辆以及法律法规规章规定的其他应当免收机动车停放服务费的车辆免费。</w:t>
            </w:r>
          </w:p>
        </w:tc>
      </w:tr>
      <w:tr w14:paraId="43F24C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072" w:type="pct"/>
            <w:vMerge w:val="restart"/>
            <w:vAlign w:val="center"/>
          </w:tcPr>
          <w:p w14:paraId="22E21C10">
            <w:pPr>
              <w:keepNext w:val="0"/>
              <w:keepLines w:val="0"/>
              <w:pageBreakBefore w:val="0"/>
              <w:widowControl w:val="0"/>
              <w:kinsoku/>
              <w:wordWrap/>
              <w:overflowPunct/>
              <w:topLinePunct w:val="0"/>
              <w:autoSpaceDE/>
              <w:autoSpaceDN/>
              <w:bidi w:val="0"/>
              <w:adjustRightInd/>
              <w:snapToGrid/>
              <w:spacing w:line="240" w:lineRule="atLeast"/>
              <w:ind w:firstLine="0" w:firstLineChars="0"/>
              <w:textAlignment w:val="auto"/>
              <w:rPr>
                <w:rFonts w:ascii="仿宋_GB2312" w:hAnsi="仿宋" w:eastAsia="仿宋_GB2312"/>
                <w:sz w:val="24"/>
                <w:szCs w:val="24"/>
              </w:rPr>
            </w:pPr>
            <w:r>
              <w:rPr>
                <w:rFonts w:hint="eastAsia" w:ascii="仿宋_GB2312" w:hAnsi="仿宋" w:eastAsia="仿宋_GB2312"/>
                <w:b/>
                <w:sz w:val="24"/>
                <w:szCs w:val="24"/>
              </w:rPr>
              <w:t>小车：</w:t>
            </w:r>
            <w:r>
              <w:rPr>
                <w:rFonts w:hint="eastAsia" w:ascii="仿宋_GB2312" w:hAnsi="仿宋" w:eastAsia="仿宋_GB2312"/>
                <w:sz w:val="24"/>
                <w:szCs w:val="24"/>
              </w:rPr>
              <w:t>载重2吨以下（含2吨）或载客20座以下（含20座）的各种机动车</w:t>
            </w:r>
          </w:p>
        </w:tc>
        <w:tc>
          <w:tcPr>
            <w:tcW w:w="570" w:type="pct"/>
            <w:vMerge w:val="restart"/>
            <w:vAlign w:val="center"/>
          </w:tcPr>
          <w:p w14:paraId="0C3D8F7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辆</w:t>
            </w:r>
          </w:p>
        </w:tc>
        <w:tc>
          <w:tcPr>
            <w:tcW w:w="1075" w:type="pct"/>
            <w:vAlign w:val="center"/>
          </w:tcPr>
          <w:p w14:paraId="4B1FD98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前2小时：5元/小时</w:t>
            </w:r>
          </w:p>
        </w:tc>
        <w:tc>
          <w:tcPr>
            <w:tcW w:w="1036" w:type="pct"/>
            <w:tcBorders>
              <w:bottom w:val="single" w:color="auto" w:sz="4" w:space="0"/>
            </w:tcBorders>
            <w:vAlign w:val="center"/>
          </w:tcPr>
          <w:p w14:paraId="73DD03B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前2小时：4元/小时</w:t>
            </w:r>
          </w:p>
        </w:tc>
        <w:tc>
          <w:tcPr>
            <w:tcW w:w="1244" w:type="pct"/>
            <w:vMerge w:val="continue"/>
            <w:vAlign w:val="center"/>
          </w:tcPr>
          <w:p w14:paraId="3FC01EB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sz w:val="28"/>
                <w:szCs w:val="28"/>
              </w:rPr>
            </w:pPr>
          </w:p>
        </w:tc>
      </w:tr>
      <w:tr w14:paraId="76DC83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072" w:type="pct"/>
            <w:vMerge w:val="continue"/>
            <w:vAlign w:val="center"/>
          </w:tcPr>
          <w:p w14:paraId="0506E370">
            <w:pPr>
              <w:keepNext w:val="0"/>
              <w:keepLines w:val="0"/>
              <w:pageBreakBefore w:val="0"/>
              <w:widowControl w:val="0"/>
              <w:kinsoku/>
              <w:wordWrap/>
              <w:overflowPunct/>
              <w:topLinePunct w:val="0"/>
              <w:autoSpaceDE/>
              <w:autoSpaceDN/>
              <w:bidi w:val="0"/>
              <w:adjustRightInd/>
              <w:snapToGrid/>
              <w:spacing w:line="240" w:lineRule="atLeast"/>
              <w:ind w:firstLine="0" w:firstLineChars="0"/>
              <w:textAlignment w:val="auto"/>
              <w:rPr>
                <w:rFonts w:ascii="仿宋_GB2312" w:hAnsi="仿宋" w:eastAsia="仿宋_GB2312"/>
                <w:sz w:val="24"/>
                <w:szCs w:val="24"/>
              </w:rPr>
            </w:pPr>
          </w:p>
        </w:tc>
        <w:tc>
          <w:tcPr>
            <w:tcW w:w="570" w:type="pct"/>
            <w:vMerge w:val="continue"/>
            <w:vAlign w:val="center"/>
          </w:tcPr>
          <w:p w14:paraId="2FDE4318">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p>
        </w:tc>
        <w:tc>
          <w:tcPr>
            <w:tcW w:w="1075" w:type="pct"/>
            <w:vAlign w:val="center"/>
          </w:tcPr>
          <w:p w14:paraId="602405D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2小时后：3元/小时</w:t>
            </w:r>
          </w:p>
        </w:tc>
        <w:tc>
          <w:tcPr>
            <w:tcW w:w="1036" w:type="pct"/>
            <w:tcBorders>
              <w:top w:val="single" w:color="auto" w:sz="4" w:space="0"/>
              <w:bottom w:val="single" w:color="auto" w:sz="4" w:space="0"/>
            </w:tcBorders>
            <w:vAlign w:val="center"/>
          </w:tcPr>
          <w:p w14:paraId="787F00B3">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2小时后：2元/小时</w:t>
            </w:r>
          </w:p>
        </w:tc>
        <w:tc>
          <w:tcPr>
            <w:tcW w:w="1244" w:type="pct"/>
            <w:vMerge w:val="continue"/>
            <w:vAlign w:val="center"/>
          </w:tcPr>
          <w:p w14:paraId="1425A35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sz w:val="28"/>
                <w:szCs w:val="28"/>
              </w:rPr>
            </w:pPr>
          </w:p>
        </w:tc>
      </w:tr>
      <w:tr w14:paraId="4B18FF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072" w:type="pct"/>
            <w:vMerge w:val="continue"/>
            <w:vAlign w:val="center"/>
          </w:tcPr>
          <w:p w14:paraId="23A67EF8">
            <w:pPr>
              <w:keepNext w:val="0"/>
              <w:keepLines w:val="0"/>
              <w:pageBreakBefore w:val="0"/>
              <w:widowControl w:val="0"/>
              <w:kinsoku/>
              <w:wordWrap/>
              <w:overflowPunct/>
              <w:topLinePunct w:val="0"/>
              <w:autoSpaceDE/>
              <w:autoSpaceDN/>
              <w:bidi w:val="0"/>
              <w:adjustRightInd/>
              <w:snapToGrid/>
              <w:spacing w:line="240" w:lineRule="atLeast"/>
              <w:ind w:firstLine="0" w:firstLineChars="0"/>
              <w:textAlignment w:val="auto"/>
              <w:rPr>
                <w:rFonts w:ascii="仿宋_GB2312" w:hAnsi="仿宋" w:eastAsia="仿宋_GB2312"/>
                <w:sz w:val="24"/>
                <w:szCs w:val="24"/>
              </w:rPr>
            </w:pPr>
          </w:p>
        </w:tc>
        <w:tc>
          <w:tcPr>
            <w:tcW w:w="570" w:type="pct"/>
            <w:vMerge w:val="continue"/>
            <w:vAlign w:val="center"/>
          </w:tcPr>
          <w:p w14:paraId="5D8EFDC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p>
        </w:tc>
        <w:tc>
          <w:tcPr>
            <w:tcW w:w="1075" w:type="pct"/>
            <w:vAlign w:val="center"/>
          </w:tcPr>
          <w:p w14:paraId="3917D2B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每日最高40元</w:t>
            </w:r>
          </w:p>
        </w:tc>
        <w:tc>
          <w:tcPr>
            <w:tcW w:w="1036" w:type="pct"/>
            <w:tcBorders>
              <w:top w:val="single" w:color="auto" w:sz="4" w:space="0"/>
              <w:bottom w:val="single" w:color="auto" w:sz="4" w:space="0"/>
            </w:tcBorders>
            <w:vAlign w:val="center"/>
          </w:tcPr>
          <w:p w14:paraId="165556D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每日最高28元</w:t>
            </w:r>
          </w:p>
        </w:tc>
        <w:tc>
          <w:tcPr>
            <w:tcW w:w="1244" w:type="pct"/>
            <w:vMerge w:val="continue"/>
            <w:vAlign w:val="center"/>
          </w:tcPr>
          <w:p w14:paraId="6EE606B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sz w:val="28"/>
                <w:szCs w:val="28"/>
              </w:rPr>
            </w:pPr>
          </w:p>
        </w:tc>
      </w:tr>
      <w:tr w14:paraId="465E10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072" w:type="pct"/>
            <w:vMerge w:val="restart"/>
            <w:vAlign w:val="center"/>
          </w:tcPr>
          <w:p w14:paraId="75DC18DB">
            <w:pPr>
              <w:keepNext w:val="0"/>
              <w:keepLines w:val="0"/>
              <w:pageBreakBefore w:val="0"/>
              <w:widowControl w:val="0"/>
              <w:kinsoku/>
              <w:wordWrap/>
              <w:overflowPunct/>
              <w:topLinePunct w:val="0"/>
              <w:autoSpaceDE/>
              <w:autoSpaceDN/>
              <w:bidi w:val="0"/>
              <w:adjustRightInd/>
              <w:snapToGrid/>
              <w:spacing w:line="240" w:lineRule="atLeast"/>
              <w:ind w:firstLine="0" w:firstLineChars="0"/>
              <w:textAlignment w:val="auto"/>
              <w:rPr>
                <w:rFonts w:ascii="仿宋_GB2312" w:hAnsi="仿宋" w:eastAsia="仿宋_GB2312"/>
                <w:sz w:val="24"/>
                <w:szCs w:val="24"/>
              </w:rPr>
            </w:pPr>
            <w:r>
              <w:rPr>
                <w:rFonts w:hint="eastAsia" w:ascii="仿宋_GB2312" w:hAnsi="仿宋" w:eastAsia="仿宋_GB2312"/>
                <w:b/>
                <w:sz w:val="24"/>
                <w:szCs w:val="24"/>
              </w:rPr>
              <w:t>大车：</w:t>
            </w:r>
            <w:r>
              <w:rPr>
                <w:rFonts w:hint="eastAsia" w:ascii="仿宋_GB2312" w:hAnsi="仿宋" w:eastAsia="仿宋_GB2312"/>
                <w:sz w:val="24"/>
                <w:szCs w:val="24"/>
              </w:rPr>
              <w:t>载重2吨以上或载客20座以上的各种机动车</w:t>
            </w:r>
          </w:p>
        </w:tc>
        <w:tc>
          <w:tcPr>
            <w:tcW w:w="570" w:type="pct"/>
            <w:vMerge w:val="restart"/>
            <w:vAlign w:val="center"/>
          </w:tcPr>
          <w:p w14:paraId="7297D2F6">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辆</w:t>
            </w:r>
          </w:p>
        </w:tc>
        <w:tc>
          <w:tcPr>
            <w:tcW w:w="1075" w:type="pct"/>
            <w:vAlign w:val="center"/>
          </w:tcPr>
          <w:p w14:paraId="4DFED5E8">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前2小时：8元/小时</w:t>
            </w:r>
          </w:p>
        </w:tc>
        <w:tc>
          <w:tcPr>
            <w:tcW w:w="1036" w:type="pct"/>
            <w:tcBorders>
              <w:top w:val="single" w:color="auto" w:sz="4" w:space="0"/>
            </w:tcBorders>
            <w:vAlign w:val="center"/>
          </w:tcPr>
          <w:p w14:paraId="109759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前2小时：6元/小时</w:t>
            </w:r>
          </w:p>
        </w:tc>
        <w:tc>
          <w:tcPr>
            <w:tcW w:w="1244" w:type="pct"/>
            <w:vMerge w:val="continue"/>
            <w:vAlign w:val="center"/>
          </w:tcPr>
          <w:p w14:paraId="4A51514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sz w:val="28"/>
                <w:szCs w:val="28"/>
              </w:rPr>
            </w:pPr>
          </w:p>
        </w:tc>
      </w:tr>
      <w:tr w14:paraId="6A4359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072" w:type="pct"/>
            <w:vMerge w:val="continue"/>
            <w:vAlign w:val="center"/>
          </w:tcPr>
          <w:p w14:paraId="4578259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p>
        </w:tc>
        <w:tc>
          <w:tcPr>
            <w:tcW w:w="570" w:type="pct"/>
            <w:vMerge w:val="continue"/>
            <w:vAlign w:val="center"/>
          </w:tcPr>
          <w:p w14:paraId="3FB84AA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p>
        </w:tc>
        <w:tc>
          <w:tcPr>
            <w:tcW w:w="1075" w:type="pct"/>
            <w:vAlign w:val="center"/>
          </w:tcPr>
          <w:p w14:paraId="796949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2小时后：5元/小时</w:t>
            </w:r>
          </w:p>
        </w:tc>
        <w:tc>
          <w:tcPr>
            <w:tcW w:w="1036" w:type="pct"/>
            <w:vAlign w:val="center"/>
          </w:tcPr>
          <w:p w14:paraId="47045F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2小时后：4元/小时</w:t>
            </w:r>
          </w:p>
        </w:tc>
        <w:tc>
          <w:tcPr>
            <w:tcW w:w="1244" w:type="pct"/>
            <w:vMerge w:val="continue"/>
            <w:vAlign w:val="center"/>
          </w:tcPr>
          <w:p w14:paraId="0393A9B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sz w:val="28"/>
                <w:szCs w:val="28"/>
              </w:rPr>
            </w:pPr>
          </w:p>
        </w:tc>
      </w:tr>
      <w:tr w14:paraId="62D654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9" w:hRule="atLeast"/>
        </w:trPr>
        <w:tc>
          <w:tcPr>
            <w:tcW w:w="1072" w:type="pct"/>
            <w:vMerge w:val="continue"/>
            <w:vAlign w:val="center"/>
          </w:tcPr>
          <w:p w14:paraId="77BA1C0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p>
        </w:tc>
        <w:tc>
          <w:tcPr>
            <w:tcW w:w="570" w:type="pct"/>
            <w:vMerge w:val="continue"/>
            <w:vAlign w:val="center"/>
          </w:tcPr>
          <w:p w14:paraId="2EAC21E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p>
        </w:tc>
        <w:tc>
          <w:tcPr>
            <w:tcW w:w="1075" w:type="pct"/>
            <w:vAlign w:val="center"/>
          </w:tcPr>
          <w:p w14:paraId="7205A4B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每日最高66元</w:t>
            </w:r>
          </w:p>
        </w:tc>
        <w:tc>
          <w:tcPr>
            <w:tcW w:w="1036" w:type="pct"/>
            <w:vAlign w:val="center"/>
          </w:tcPr>
          <w:p w14:paraId="1CC7ED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_GB2312" w:hAnsi="仿宋" w:eastAsia="仿宋_GB2312"/>
                <w:sz w:val="24"/>
                <w:szCs w:val="24"/>
              </w:rPr>
            </w:pPr>
            <w:r>
              <w:rPr>
                <w:rFonts w:hint="eastAsia" w:ascii="仿宋_GB2312" w:hAnsi="仿宋" w:eastAsia="仿宋_GB2312"/>
                <w:sz w:val="24"/>
                <w:szCs w:val="24"/>
              </w:rPr>
              <w:t>每日最高52元</w:t>
            </w:r>
          </w:p>
        </w:tc>
        <w:tc>
          <w:tcPr>
            <w:tcW w:w="1244" w:type="pct"/>
            <w:vMerge w:val="continue"/>
            <w:vAlign w:val="center"/>
          </w:tcPr>
          <w:p w14:paraId="35F38C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sz w:val="28"/>
                <w:szCs w:val="28"/>
              </w:rPr>
            </w:pPr>
          </w:p>
        </w:tc>
      </w:tr>
    </w:tbl>
    <w:p w14:paraId="724B62D9">
      <w:pPr>
        <w:jc w:val="center"/>
        <w:rPr>
          <w:rFonts w:hint="eastAsia" w:ascii="方正小标宋简体" w:hAnsi="方正小标宋简体" w:eastAsia="方正小标宋简体" w:cs="方正小标宋简体"/>
          <w:b w:val="0"/>
          <w:bCs w:val="0"/>
          <w:spacing w:val="0"/>
          <w:sz w:val="44"/>
          <w:szCs w:val="44"/>
          <w:lang w:eastAsia="zh-CN"/>
        </w:rPr>
      </w:pPr>
      <w:r>
        <w:rPr>
          <w:rFonts w:hint="eastAsia" w:ascii="方正小标宋简体" w:hAnsi="方正小标宋简体" w:eastAsia="方正小标宋简体" w:cs="方正小标宋简体"/>
          <w:b w:val="0"/>
          <w:bCs w:val="0"/>
          <w:color w:val="auto"/>
          <w:sz w:val="44"/>
          <w:szCs w:val="44"/>
          <w:lang w:val="en-US" w:eastAsia="zh-CN"/>
        </w:rPr>
        <w:t>梅州西</w:t>
      </w:r>
      <w:r>
        <w:rPr>
          <w:rFonts w:hint="eastAsia" w:ascii="方正小标宋简体" w:hAnsi="方正小标宋简体" w:eastAsia="方正小标宋简体" w:cs="方正小标宋简体"/>
          <w:b w:val="0"/>
          <w:bCs w:val="0"/>
          <w:color w:val="auto"/>
          <w:sz w:val="44"/>
          <w:szCs w:val="44"/>
        </w:rPr>
        <w:t>站</w:t>
      </w:r>
      <w:r>
        <w:rPr>
          <w:rFonts w:hint="eastAsia" w:ascii="方正小标宋简体" w:hAnsi="方正小标宋简体" w:eastAsia="方正小标宋简体" w:cs="方正小标宋简体"/>
          <w:b w:val="0"/>
          <w:bCs w:val="0"/>
          <w:color w:val="auto"/>
          <w:sz w:val="44"/>
          <w:szCs w:val="44"/>
          <w:lang w:val="en-US" w:eastAsia="zh-CN"/>
        </w:rPr>
        <w:t>P1室内、室外</w:t>
      </w:r>
      <w:r>
        <w:rPr>
          <w:rFonts w:hint="eastAsia" w:ascii="方正小标宋简体" w:hAnsi="方正小标宋简体" w:eastAsia="方正小标宋简体" w:cs="方正小标宋简体"/>
          <w:b w:val="0"/>
          <w:bCs w:val="0"/>
          <w:color w:val="auto"/>
          <w:spacing w:val="0"/>
          <w:kern w:val="2"/>
          <w:sz w:val="44"/>
          <w:szCs w:val="44"/>
          <w:highlight w:val="none"/>
          <w:shd w:val="clear" w:color="auto" w:fill="auto"/>
          <w:lang w:val="en-US" w:eastAsia="zh-CN" w:bidi="ar-SA"/>
        </w:rPr>
        <w:t>停车场机动车停放服务</w:t>
      </w:r>
      <w:r>
        <w:rPr>
          <w:rFonts w:hint="eastAsia" w:ascii="方正小标宋简体" w:hAnsi="方正小标宋简体" w:eastAsia="方正小标宋简体" w:cs="方正小标宋简体"/>
          <w:b w:val="0"/>
          <w:bCs w:val="0"/>
          <w:spacing w:val="0"/>
          <w:sz w:val="44"/>
          <w:szCs w:val="44"/>
          <w:lang w:eastAsia="zh-CN"/>
        </w:rPr>
        <w:t>收费标准</w:t>
      </w:r>
    </w:p>
    <w:p w14:paraId="734F8F79">
      <w:pPr>
        <w:rPr>
          <w:rFonts w:hint="default" w:ascii="仿宋" w:hAnsi="仿宋" w:eastAsia="仿宋" w:cs="仿宋"/>
          <w:b w:val="0"/>
          <w:bCs w:val="0"/>
          <w:sz w:val="32"/>
          <w:szCs w:val="3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C2065"/>
    <w:rsid w:val="067A2F87"/>
    <w:rsid w:val="07FC0352"/>
    <w:rsid w:val="092B73BF"/>
    <w:rsid w:val="0F0B33E8"/>
    <w:rsid w:val="16E41182"/>
    <w:rsid w:val="1DE135D7"/>
    <w:rsid w:val="289A0949"/>
    <w:rsid w:val="53AD1828"/>
    <w:rsid w:val="59B46C74"/>
    <w:rsid w:val="5B266C40"/>
    <w:rsid w:val="5D2B0EF1"/>
    <w:rsid w:val="67E97973"/>
    <w:rsid w:val="6B4D1957"/>
    <w:rsid w:val="6CE9347F"/>
    <w:rsid w:val="79E12CD3"/>
    <w:rsid w:val="7C615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403</Words>
  <Characters>419</Characters>
  <Lines>0</Lines>
  <Paragraphs>0</Paragraphs>
  <TotalTime>31</TotalTime>
  <ScaleCrop>false</ScaleCrop>
  <LinksUpToDate>false</LinksUpToDate>
  <CharactersWithSpaces>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2026-05-22T08:06:00Z</dcterms:created>
  <dc:creator>Administrator</dc:creator>
  <cp:lastModifiedBy>静</cp:lastModifiedBy>
  <cp:lastPrinted>2026-09-24T01:11:33Z</cp:lastPrinted>
  <dcterms:modified xsi:type="dcterms:W3CDTF">2026-09-24T01:18:03Z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eyJoZGlkIjoiN2Q4YmMzZmNjZDM2YWNhMDhiZGQ3ZDUyNTI2MTFjZGEiLCJ1c2VySWQiOiI1OTkzMTk1MTIifQ==</vt:lpwstr>
  </property>
  <property fmtid="{D5CDD505-2E9C-101B-9397-08002B2CF9AE}" pid="4" name="ICV">
    <vt:lpwstr>79CB7B0778544674AE2E0711EF112662_12</vt:lpwstr>
  </property>
</Properties>
</file>