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2009" w14:textId="163B8586" w:rsidR="00B474D7" w:rsidRPr="00AD41C7" w:rsidRDefault="00C41FB5" w:rsidP="00276426">
      <w:pPr>
        <w:spacing w:line="560" w:lineRule="exact"/>
        <w:jc w:val="center"/>
        <w:rPr>
          <w:rFonts w:ascii="Times New Roman" w:eastAsia="方正小标宋简体" w:hAnsi="Times New Roman" w:cs="Times New Roman"/>
          <w:sz w:val="44"/>
          <w:szCs w:val="44"/>
        </w:rPr>
      </w:pPr>
      <w:r w:rsidRPr="00AD41C7">
        <w:rPr>
          <w:rFonts w:ascii="Times New Roman" w:eastAsia="方正小标宋简体" w:hAnsi="Times New Roman" w:cs="Times New Roman"/>
          <w:sz w:val="44"/>
          <w:szCs w:val="44"/>
        </w:rPr>
        <w:t>《</w:t>
      </w:r>
      <w:r w:rsidR="002D0A9B" w:rsidRPr="002D0A9B">
        <w:rPr>
          <w:rFonts w:ascii="Times New Roman" w:eastAsia="方正小标宋简体" w:hAnsi="Times New Roman" w:cs="Times New Roman" w:hint="eastAsia"/>
          <w:sz w:val="44"/>
          <w:szCs w:val="44"/>
        </w:rPr>
        <w:t>梅县区征收农用地区片综合地价</w:t>
      </w:r>
      <w:r w:rsidR="00053AA1">
        <w:rPr>
          <w:rFonts w:ascii="Times New Roman" w:eastAsia="方正小标宋简体" w:hAnsi="Times New Roman" w:cs="Times New Roman" w:hint="eastAsia"/>
          <w:sz w:val="44"/>
          <w:szCs w:val="44"/>
        </w:rPr>
        <w:t>调整</w:t>
      </w:r>
      <w:r w:rsidR="002D0A9B" w:rsidRPr="002D0A9B">
        <w:rPr>
          <w:rFonts w:ascii="Times New Roman" w:eastAsia="方正小标宋简体" w:hAnsi="Times New Roman" w:cs="Times New Roman" w:hint="eastAsia"/>
          <w:sz w:val="44"/>
          <w:szCs w:val="44"/>
        </w:rPr>
        <w:t>成果</w:t>
      </w:r>
      <w:r w:rsidRPr="00AD41C7">
        <w:rPr>
          <w:rFonts w:ascii="Times New Roman" w:eastAsia="方正小标宋简体" w:hAnsi="Times New Roman" w:cs="Times New Roman"/>
          <w:sz w:val="44"/>
          <w:szCs w:val="44"/>
        </w:rPr>
        <w:t>》</w:t>
      </w:r>
      <w:r w:rsidRPr="00AD41C7">
        <w:rPr>
          <w:rFonts w:ascii="Times New Roman" w:eastAsia="方正小标宋简体" w:hAnsi="Times New Roman" w:cs="Times New Roman" w:hint="eastAsia"/>
          <w:sz w:val="44"/>
          <w:szCs w:val="44"/>
        </w:rPr>
        <w:t>政策解读</w:t>
      </w:r>
    </w:p>
    <w:p w14:paraId="07F1EEE9" w14:textId="77777777" w:rsidR="00B474D7" w:rsidRDefault="00B474D7">
      <w:pPr>
        <w:spacing w:line="560" w:lineRule="exact"/>
        <w:rPr>
          <w:rFonts w:ascii="Times New Roman" w:hAnsi="Times New Roman" w:cs="Times New Roman"/>
          <w:sz w:val="30"/>
          <w:szCs w:val="30"/>
        </w:rPr>
      </w:pPr>
    </w:p>
    <w:p w14:paraId="67671ADD" w14:textId="22B8F2F8" w:rsidR="00B474D7" w:rsidRPr="00DD16A2" w:rsidRDefault="002D0A9B" w:rsidP="002D0A9B">
      <w:pPr>
        <w:spacing w:line="560" w:lineRule="exact"/>
        <w:ind w:firstLineChars="200" w:firstLine="560"/>
        <w:rPr>
          <w:rFonts w:ascii="Times New Roman" w:eastAsia="仿宋_GB2312" w:hAnsi="Times New Roman" w:cs="Times New Roman"/>
          <w:sz w:val="28"/>
          <w:szCs w:val="28"/>
        </w:rPr>
      </w:pPr>
      <w:bookmarkStart w:id="0" w:name="OLE_LINK83"/>
      <w:bookmarkStart w:id="1" w:name="OLE_LINK84"/>
      <w:r w:rsidRPr="002D0A9B">
        <w:rPr>
          <w:rFonts w:ascii="Times New Roman" w:eastAsia="仿宋_GB2312" w:hAnsi="Times New Roman" w:cs="Times New Roman"/>
          <w:sz w:val="28"/>
          <w:szCs w:val="28"/>
        </w:rPr>
        <w:t>为进一步健全征地补偿机制，统筹兼顾区域经济发展水平、土地资源禀赋、土地区位、土地产值、人口规模、土地供求关系以及近年征地实施实际等要素，切实保障被征地农民合法权益，实现新旧补偿标准平稳过渡，根据</w:t>
      </w:r>
      <w:r w:rsidRPr="002D0A9B">
        <w:rPr>
          <w:rFonts w:ascii="Times New Roman" w:eastAsia="仿宋_GB2312" w:hAnsi="Times New Roman" w:cs="Times New Roman" w:hint="eastAsia"/>
          <w:sz w:val="28"/>
          <w:szCs w:val="28"/>
        </w:rPr>
        <w:t>《广东省自然资源厅关于做好区片综合地价调整或重新公布工作的通知》（粤自然资函〔</w:t>
      </w:r>
      <w:r w:rsidRPr="002D0A9B">
        <w:rPr>
          <w:rFonts w:ascii="Times New Roman" w:eastAsia="仿宋_GB2312" w:hAnsi="Times New Roman" w:cs="Times New Roman"/>
          <w:sz w:val="28"/>
          <w:szCs w:val="28"/>
        </w:rPr>
        <w:t>2026</w:t>
      </w:r>
      <w:r w:rsidRPr="002D0A9B">
        <w:rPr>
          <w:rFonts w:ascii="Times New Roman" w:eastAsia="仿宋_GB2312" w:hAnsi="Times New Roman" w:cs="Times New Roman" w:hint="eastAsia"/>
          <w:sz w:val="28"/>
          <w:szCs w:val="28"/>
        </w:rPr>
        <w:t>〕</w:t>
      </w:r>
      <w:r w:rsidRPr="002D0A9B">
        <w:rPr>
          <w:rFonts w:ascii="Times New Roman" w:eastAsia="仿宋_GB2312" w:hAnsi="Times New Roman" w:cs="Times New Roman"/>
          <w:sz w:val="28"/>
          <w:szCs w:val="28"/>
        </w:rPr>
        <w:t>316</w:t>
      </w:r>
      <w:r w:rsidRPr="002D0A9B">
        <w:rPr>
          <w:rFonts w:ascii="Times New Roman" w:eastAsia="仿宋_GB2312" w:hAnsi="Times New Roman" w:cs="Times New Roman" w:hint="eastAsia"/>
          <w:sz w:val="28"/>
          <w:szCs w:val="28"/>
        </w:rPr>
        <w:t>号）文件要求，以及</w:t>
      </w:r>
      <w:r w:rsidRPr="002D0A9B">
        <w:rPr>
          <w:rFonts w:ascii="Times New Roman" w:eastAsia="仿宋_GB2312" w:hAnsi="Times New Roman" w:cs="Times New Roman"/>
          <w:sz w:val="28"/>
          <w:szCs w:val="28"/>
        </w:rPr>
        <w:t>省自然资源厅、梅州市自然资源局相关工作要求，梅州市自然资源局梅县分局牵头组织实施</w:t>
      </w:r>
      <w:bookmarkStart w:id="2" w:name="OLE_LINK123"/>
      <w:bookmarkStart w:id="3" w:name="OLE_LINK124"/>
      <w:r w:rsidRPr="002D0A9B">
        <w:rPr>
          <w:rFonts w:ascii="Times New Roman" w:eastAsia="仿宋_GB2312" w:hAnsi="Times New Roman" w:cs="Times New Roman"/>
          <w:sz w:val="28"/>
          <w:szCs w:val="28"/>
        </w:rPr>
        <w:t>梅县区</w:t>
      </w:r>
      <w:bookmarkStart w:id="4" w:name="OLE_LINK101"/>
      <w:r w:rsidRPr="002D0A9B">
        <w:rPr>
          <w:rFonts w:ascii="Times New Roman" w:eastAsia="仿宋_GB2312" w:hAnsi="Times New Roman" w:cs="Times New Roman"/>
          <w:sz w:val="28"/>
          <w:szCs w:val="28"/>
        </w:rPr>
        <w:t>征收农用地区片综合地价</w:t>
      </w:r>
      <w:bookmarkStart w:id="5" w:name="OLE_LINK1"/>
      <w:bookmarkEnd w:id="4"/>
      <w:r w:rsidR="00053AA1">
        <w:rPr>
          <w:rFonts w:ascii="Times New Roman" w:eastAsia="仿宋_GB2312" w:hAnsi="Times New Roman" w:cs="Times New Roman" w:hint="eastAsia"/>
          <w:sz w:val="28"/>
          <w:szCs w:val="28"/>
        </w:rPr>
        <w:t>调整</w:t>
      </w:r>
      <w:bookmarkEnd w:id="5"/>
      <w:r w:rsidRPr="002D0A9B">
        <w:rPr>
          <w:rFonts w:ascii="Times New Roman" w:eastAsia="仿宋_GB2312" w:hAnsi="Times New Roman" w:cs="Times New Roman"/>
          <w:sz w:val="28"/>
          <w:szCs w:val="28"/>
        </w:rPr>
        <w:t>项目</w:t>
      </w:r>
      <w:bookmarkEnd w:id="2"/>
      <w:bookmarkEnd w:id="3"/>
      <w:r w:rsidRPr="002D0A9B">
        <w:rPr>
          <w:rFonts w:ascii="Times New Roman" w:eastAsia="仿宋_GB2312" w:hAnsi="Times New Roman" w:cs="Times New Roman"/>
          <w:sz w:val="28"/>
          <w:szCs w:val="28"/>
        </w:rPr>
        <w:t>。</w:t>
      </w:r>
      <w:bookmarkEnd w:id="0"/>
      <w:bookmarkEnd w:id="1"/>
      <w:r w:rsidRPr="002D0A9B">
        <w:rPr>
          <w:rFonts w:ascii="Times New Roman" w:eastAsia="仿宋_GB2312" w:hAnsi="Times New Roman" w:cs="Times New Roman" w:hint="eastAsia"/>
          <w:sz w:val="28"/>
          <w:szCs w:val="28"/>
        </w:rPr>
        <w:t>现将项目成果进行政策解读如下：</w:t>
      </w:r>
    </w:p>
    <w:p w14:paraId="797E6F4B" w14:textId="51CF68A1" w:rsidR="00B474D7" w:rsidRPr="008C05F7" w:rsidRDefault="008C05F7" w:rsidP="008C05F7">
      <w:pPr>
        <w:spacing w:line="560" w:lineRule="exact"/>
        <w:rPr>
          <w:rFonts w:ascii="Times New Roman" w:eastAsia="黑体" w:hAnsi="Times New Roman" w:cs="Times New Roman"/>
          <w:bCs/>
          <w:sz w:val="28"/>
          <w:szCs w:val="28"/>
        </w:rPr>
      </w:pPr>
      <w:r>
        <w:rPr>
          <w:rFonts w:ascii="Times New Roman" w:eastAsia="黑体" w:hAnsi="Times New Roman" w:cs="Times New Roman" w:hint="eastAsia"/>
          <w:bCs/>
          <w:sz w:val="28"/>
          <w:szCs w:val="28"/>
        </w:rPr>
        <w:t>一、</w:t>
      </w:r>
      <w:r w:rsidR="004C0C5F" w:rsidRPr="008C05F7">
        <w:rPr>
          <w:rFonts w:ascii="Times New Roman" w:eastAsia="黑体" w:hAnsi="Times New Roman" w:cs="Times New Roman" w:hint="eastAsia"/>
          <w:bCs/>
          <w:sz w:val="28"/>
          <w:szCs w:val="28"/>
        </w:rPr>
        <w:t>政策</w:t>
      </w:r>
      <w:r w:rsidR="00C41FB5" w:rsidRPr="008C05F7">
        <w:rPr>
          <w:rFonts w:ascii="Times New Roman" w:eastAsia="黑体" w:hAnsi="Times New Roman" w:cs="Times New Roman"/>
          <w:bCs/>
          <w:sz w:val="28"/>
          <w:szCs w:val="28"/>
        </w:rPr>
        <w:t>背景</w:t>
      </w:r>
    </w:p>
    <w:p w14:paraId="562A7726" w14:textId="7A43DFF4" w:rsidR="00A27B8F" w:rsidRPr="00DD16A2" w:rsidRDefault="002D0A9B" w:rsidP="002D0A9B">
      <w:pPr>
        <w:tabs>
          <w:tab w:val="left" w:pos="2127"/>
        </w:tabs>
        <w:spacing w:line="560" w:lineRule="exact"/>
        <w:ind w:firstLineChars="200" w:firstLine="560"/>
        <w:rPr>
          <w:rFonts w:ascii="Times New Roman" w:eastAsia="仿宋_GB2312" w:hAnsi="Times New Roman" w:cs="Times New Roman"/>
          <w:sz w:val="28"/>
          <w:szCs w:val="28"/>
        </w:rPr>
      </w:pPr>
      <w:r w:rsidRPr="002D0A9B">
        <w:rPr>
          <w:rFonts w:ascii="Times New Roman" w:eastAsia="仿宋_GB2312" w:hAnsi="Times New Roman" w:cs="Times New Roman" w:hint="eastAsia"/>
          <w:sz w:val="28"/>
          <w:szCs w:val="28"/>
        </w:rPr>
        <w:t>根据《中华人民共和国土地管理法》第四十八条：征收农用地的土地补偿费、安置补助费标准由省、自治区、直辖市通过制定公布区片综合地价确定。制定区片综合地价应当综合考虑土地原用途、土地资源条件、土地产值、土地区位、土地供求关系、人口以及经济社会发展水平等因素，并至少每三年调整或者重新公布一次。根据《广东省自然资源厅关于做好区片综合地价调整或重新公布工作的通知》（粤自然资函〔</w:t>
      </w:r>
      <w:r w:rsidRPr="002D0A9B">
        <w:rPr>
          <w:rFonts w:ascii="Times New Roman" w:eastAsia="仿宋_GB2312" w:hAnsi="Times New Roman" w:cs="Times New Roman"/>
          <w:sz w:val="28"/>
          <w:szCs w:val="28"/>
        </w:rPr>
        <w:t>2026</w:t>
      </w:r>
      <w:r w:rsidRPr="002D0A9B">
        <w:rPr>
          <w:rFonts w:ascii="Times New Roman" w:eastAsia="仿宋_GB2312" w:hAnsi="Times New Roman" w:cs="Times New Roman" w:hint="eastAsia"/>
          <w:sz w:val="28"/>
          <w:szCs w:val="28"/>
        </w:rPr>
        <w:t>〕</w:t>
      </w:r>
      <w:r w:rsidRPr="002D0A9B">
        <w:rPr>
          <w:rFonts w:ascii="Times New Roman" w:eastAsia="仿宋_GB2312" w:hAnsi="Times New Roman" w:cs="Times New Roman"/>
          <w:sz w:val="28"/>
          <w:szCs w:val="28"/>
        </w:rPr>
        <w:t>316</w:t>
      </w:r>
      <w:r w:rsidRPr="002D0A9B">
        <w:rPr>
          <w:rFonts w:ascii="Times New Roman" w:eastAsia="仿宋_GB2312" w:hAnsi="Times New Roman" w:cs="Times New Roman" w:hint="eastAsia"/>
          <w:sz w:val="28"/>
          <w:szCs w:val="28"/>
        </w:rPr>
        <w:t>号）：我省现行区片综合地价自</w:t>
      </w:r>
      <w:r w:rsidRPr="002D0A9B">
        <w:rPr>
          <w:rFonts w:ascii="Times New Roman" w:eastAsia="仿宋_GB2312" w:hAnsi="Times New Roman" w:cs="Times New Roman"/>
          <w:sz w:val="28"/>
          <w:szCs w:val="28"/>
        </w:rPr>
        <w:t>2024</w:t>
      </w:r>
      <w:r w:rsidRPr="002D0A9B">
        <w:rPr>
          <w:rFonts w:ascii="Times New Roman" w:eastAsia="仿宋_GB2312" w:hAnsi="Times New Roman" w:cs="Times New Roman" w:hint="eastAsia"/>
          <w:sz w:val="28"/>
          <w:szCs w:val="28"/>
        </w:rPr>
        <w:t>年</w:t>
      </w:r>
      <w:r w:rsidRPr="002D0A9B">
        <w:rPr>
          <w:rFonts w:ascii="Times New Roman" w:eastAsia="仿宋_GB2312" w:hAnsi="Times New Roman" w:cs="Times New Roman"/>
          <w:sz w:val="28"/>
          <w:szCs w:val="28"/>
        </w:rPr>
        <w:t>1-2</w:t>
      </w:r>
      <w:r w:rsidRPr="002D0A9B">
        <w:rPr>
          <w:rFonts w:ascii="Times New Roman" w:eastAsia="仿宋_GB2312" w:hAnsi="Times New Roman" w:cs="Times New Roman" w:hint="eastAsia"/>
          <w:sz w:val="28"/>
          <w:szCs w:val="28"/>
        </w:rPr>
        <w:t>月公布实施，即将届满三年调整周期。各地要切实提高思想认识，增强工作紧迫感……尽快组织所辖县（市、区）启动区片综合地价调整或重新公布各项工作，确保按期保质完成任务。根据《梅州市人民政府关于公布实施征收农用地区片综合地价的公告》（梅市府〔</w:t>
      </w:r>
      <w:r w:rsidRPr="002D0A9B">
        <w:rPr>
          <w:rFonts w:ascii="Times New Roman" w:eastAsia="仿宋_GB2312" w:hAnsi="Times New Roman" w:cs="Times New Roman"/>
          <w:sz w:val="28"/>
          <w:szCs w:val="28"/>
        </w:rPr>
        <w:t>2024</w:t>
      </w:r>
      <w:r w:rsidRPr="002D0A9B">
        <w:rPr>
          <w:rFonts w:ascii="Times New Roman" w:eastAsia="仿宋_GB2312" w:hAnsi="Times New Roman" w:cs="Times New Roman" w:hint="eastAsia"/>
          <w:sz w:val="28"/>
          <w:szCs w:val="28"/>
        </w:rPr>
        <w:t>〕</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hint="eastAsia"/>
          <w:sz w:val="28"/>
          <w:szCs w:val="28"/>
        </w:rPr>
        <w:t>号），梅州市征收农用地区片综合地价于</w:t>
      </w:r>
      <w:r w:rsidRPr="002D0A9B">
        <w:rPr>
          <w:rFonts w:ascii="Times New Roman" w:eastAsia="仿宋_GB2312" w:hAnsi="Times New Roman" w:cs="Times New Roman"/>
          <w:sz w:val="28"/>
          <w:szCs w:val="28"/>
        </w:rPr>
        <w:t>2024</w:t>
      </w:r>
      <w:r w:rsidRPr="002D0A9B">
        <w:rPr>
          <w:rFonts w:ascii="Times New Roman" w:eastAsia="仿宋_GB2312" w:hAnsi="Times New Roman" w:cs="Times New Roman" w:hint="eastAsia"/>
          <w:sz w:val="28"/>
          <w:szCs w:val="28"/>
        </w:rPr>
        <w:t>年</w:t>
      </w:r>
      <w:r w:rsidRPr="002D0A9B">
        <w:rPr>
          <w:rFonts w:ascii="Times New Roman" w:eastAsia="仿宋_GB2312" w:hAnsi="Times New Roman" w:cs="Times New Roman"/>
          <w:sz w:val="28"/>
          <w:szCs w:val="28"/>
        </w:rPr>
        <w:t>2</w:t>
      </w:r>
      <w:r w:rsidRPr="002D0A9B">
        <w:rPr>
          <w:rFonts w:ascii="Times New Roman" w:eastAsia="仿宋_GB2312" w:hAnsi="Times New Roman" w:cs="Times New Roman" w:hint="eastAsia"/>
          <w:sz w:val="28"/>
          <w:szCs w:val="28"/>
        </w:rPr>
        <w:t>月</w:t>
      </w:r>
      <w:r w:rsidRPr="002D0A9B">
        <w:rPr>
          <w:rFonts w:ascii="Times New Roman" w:eastAsia="仿宋_GB2312" w:hAnsi="Times New Roman" w:cs="Times New Roman"/>
          <w:sz w:val="28"/>
          <w:szCs w:val="28"/>
        </w:rPr>
        <w:t>4</w:t>
      </w:r>
      <w:r w:rsidRPr="002D0A9B">
        <w:rPr>
          <w:rFonts w:ascii="Times New Roman" w:eastAsia="仿宋_GB2312" w:hAnsi="Times New Roman" w:cs="Times New Roman" w:hint="eastAsia"/>
          <w:sz w:val="28"/>
          <w:szCs w:val="28"/>
        </w:rPr>
        <w:t>日公布实施，</w:t>
      </w:r>
      <w:r w:rsidRPr="002D0A9B">
        <w:rPr>
          <w:rFonts w:ascii="Times New Roman" w:eastAsia="仿宋_GB2312" w:hAnsi="Times New Roman" w:cs="Times New Roman" w:hint="eastAsia"/>
          <w:sz w:val="28"/>
          <w:szCs w:val="28"/>
        </w:rPr>
        <w:lastRenderedPageBreak/>
        <w:t>即将届满三年。根据上述文件要求，结合梅县区征收农用地区片综合地价实际情况，梅县区需要开展新一轮的征收农用地区片综合地价</w:t>
      </w:r>
      <w:r w:rsidR="00053AA1">
        <w:rPr>
          <w:rFonts w:ascii="Times New Roman" w:eastAsia="仿宋_GB2312" w:hAnsi="Times New Roman" w:cs="Times New Roman" w:hint="eastAsia"/>
          <w:sz w:val="28"/>
          <w:szCs w:val="28"/>
        </w:rPr>
        <w:t>调整</w:t>
      </w:r>
      <w:r w:rsidRPr="002D0A9B">
        <w:rPr>
          <w:rFonts w:ascii="Times New Roman" w:eastAsia="仿宋_GB2312" w:hAnsi="Times New Roman" w:cs="Times New Roman" w:hint="eastAsia"/>
          <w:sz w:val="28"/>
          <w:szCs w:val="28"/>
        </w:rPr>
        <w:t>项目工作。</w:t>
      </w:r>
    </w:p>
    <w:p w14:paraId="38DC602E" w14:textId="5406B8AA" w:rsidR="00B474D7" w:rsidRPr="008C05F7" w:rsidRDefault="008C05F7" w:rsidP="008C05F7">
      <w:pPr>
        <w:spacing w:line="560" w:lineRule="exact"/>
        <w:rPr>
          <w:rFonts w:ascii="Times New Roman" w:eastAsia="仿宋_GB2312" w:hAnsi="Times New Roman" w:cs="Times New Roman"/>
          <w:sz w:val="28"/>
          <w:szCs w:val="28"/>
        </w:rPr>
      </w:pPr>
      <w:r>
        <w:rPr>
          <w:rFonts w:ascii="Times New Roman" w:eastAsia="黑体" w:hAnsi="Times New Roman" w:cs="Times New Roman" w:hint="eastAsia"/>
          <w:bCs/>
          <w:sz w:val="28"/>
          <w:szCs w:val="28"/>
        </w:rPr>
        <w:t>二、</w:t>
      </w:r>
      <w:r w:rsidR="008E2EB5" w:rsidRPr="008C05F7">
        <w:rPr>
          <w:rFonts w:ascii="Times New Roman" w:eastAsia="黑体" w:hAnsi="Times New Roman" w:cs="Times New Roman" w:hint="eastAsia"/>
          <w:bCs/>
          <w:sz w:val="28"/>
          <w:szCs w:val="28"/>
        </w:rPr>
        <w:t>目的意义</w:t>
      </w:r>
    </w:p>
    <w:p w14:paraId="7B78828A" w14:textId="77777777" w:rsidR="002D0A9B" w:rsidRPr="002D0A9B" w:rsidRDefault="002D0A9B" w:rsidP="002D0A9B">
      <w:pPr>
        <w:ind w:firstLineChars="200" w:firstLine="560"/>
        <w:rPr>
          <w:rFonts w:ascii="Times New Roman" w:eastAsia="仿宋_GB2312" w:hAnsi="Times New Roman" w:cs="Times New Roman"/>
          <w:sz w:val="28"/>
          <w:szCs w:val="28"/>
        </w:rPr>
      </w:pPr>
      <w:r w:rsidRPr="002D0A9B">
        <w:rPr>
          <w:rFonts w:ascii="Times New Roman" w:eastAsia="仿宋_GB2312" w:hAnsi="Times New Roman" w:cs="Times New Roman" w:hint="eastAsia"/>
          <w:sz w:val="28"/>
          <w:szCs w:val="28"/>
        </w:rPr>
        <w:t>征收农用地区片综合地价的制定，有助于及时更新补偿价格，保障被征地农民的权益；有助于统一征地补偿价格，保证征地补偿公平合理。征收农用地区片综合地价的测算对于完善梅县区征地制度，确定公平合理的征地补偿，切实保护被征地农民的权益，促进节约集约用地，推动乡村振兴战略实施，保持国民经济快速增长和社会可持续发展都有重大的意义。</w:t>
      </w:r>
    </w:p>
    <w:p w14:paraId="796285AC" w14:textId="5934EF61" w:rsidR="00B474D7" w:rsidRPr="002D0A9B" w:rsidRDefault="002D0A9B" w:rsidP="002D0A9B">
      <w:pPr>
        <w:ind w:firstLineChars="200" w:firstLine="560"/>
        <w:rPr>
          <w:rFonts w:ascii="Times New Roman" w:eastAsia="仿宋_GB2312" w:hAnsi="Times New Roman" w:cs="Times New Roman"/>
          <w:sz w:val="28"/>
          <w:szCs w:val="28"/>
        </w:rPr>
      </w:pPr>
      <w:r w:rsidRPr="002D0A9B">
        <w:rPr>
          <w:rFonts w:ascii="Times New Roman" w:eastAsia="仿宋_GB2312" w:hAnsi="Times New Roman" w:cs="Times New Roman" w:hint="eastAsia"/>
          <w:sz w:val="28"/>
          <w:szCs w:val="28"/>
        </w:rPr>
        <w:t>征收农用地区片综合地价是实行按价征地、保证征地过程中同区片地价的基础和依据，是确定具体地块征地价格的基准。征收农用地区片综合地价制定工作政策性强，涉及征地农民的切身利益，对于保障建设用地供应，保护农民合法权益事关重大。</w:t>
      </w:r>
    </w:p>
    <w:p w14:paraId="729C6E57" w14:textId="2A428709" w:rsidR="004D28B9" w:rsidRPr="008C05F7" w:rsidRDefault="008C05F7" w:rsidP="008C05F7">
      <w:pPr>
        <w:spacing w:line="560" w:lineRule="exact"/>
        <w:rPr>
          <w:rFonts w:ascii="Times New Roman" w:eastAsia="黑体" w:hAnsi="Times New Roman" w:cs="Times New Roman"/>
          <w:bCs/>
          <w:sz w:val="28"/>
          <w:szCs w:val="28"/>
        </w:rPr>
      </w:pPr>
      <w:r>
        <w:rPr>
          <w:rFonts w:ascii="Times New Roman" w:eastAsia="黑体" w:hAnsi="Times New Roman" w:cs="Times New Roman" w:hint="eastAsia"/>
          <w:bCs/>
          <w:sz w:val="28"/>
          <w:szCs w:val="28"/>
        </w:rPr>
        <w:t>三、</w:t>
      </w:r>
      <w:r w:rsidR="004D28B9" w:rsidRPr="008C05F7">
        <w:rPr>
          <w:rFonts w:ascii="Times New Roman" w:eastAsia="黑体" w:hAnsi="Times New Roman" w:cs="Times New Roman" w:hint="eastAsia"/>
          <w:bCs/>
          <w:sz w:val="28"/>
          <w:szCs w:val="28"/>
        </w:rPr>
        <w:t>主要依据</w:t>
      </w:r>
    </w:p>
    <w:p w14:paraId="3028250D" w14:textId="6016738C"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《中华人民共和国土地管理法》（</w:t>
      </w:r>
      <w:r w:rsidRPr="002D0A9B">
        <w:rPr>
          <w:rFonts w:ascii="Times New Roman" w:eastAsia="仿宋_GB2312" w:hAnsi="Times New Roman" w:cs="Times New Roman"/>
          <w:sz w:val="28"/>
          <w:szCs w:val="28"/>
        </w:rPr>
        <w:t>2019</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8</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26</w:t>
      </w:r>
      <w:r w:rsidRPr="002D0A9B">
        <w:rPr>
          <w:rFonts w:ascii="Times New Roman" w:eastAsia="仿宋_GB2312" w:hAnsi="Times New Roman" w:cs="Times New Roman"/>
          <w:sz w:val="28"/>
          <w:szCs w:val="28"/>
        </w:rPr>
        <w:t>日第十三届全国人民代表大会常务委员会第十二</w:t>
      </w:r>
      <w:r w:rsidR="002C2AD0">
        <w:rPr>
          <w:rFonts w:ascii="Times New Roman" w:eastAsia="仿宋_GB2312" w:hAnsi="Times New Roman" w:cs="Times New Roman" w:hint="eastAsia"/>
          <w:sz w:val="28"/>
          <w:szCs w:val="28"/>
        </w:rPr>
        <w:t>次</w:t>
      </w:r>
      <w:r w:rsidRPr="002D0A9B">
        <w:rPr>
          <w:rFonts w:ascii="Times New Roman" w:eastAsia="仿宋_GB2312" w:hAnsi="Times New Roman" w:cs="Times New Roman"/>
          <w:sz w:val="28"/>
          <w:szCs w:val="28"/>
        </w:rPr>
        <w:t>会议第三次修正）；</w:t>
      </w:r>
    </w:p>
    <w:p w14:paraId="0F222823"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2.</w:t>
      </w:r>
      <w:r w:rsidRPr="002D0A9B">
        <w:rPr>
          <w:rFonts w:ascii="Times New Roman" w:eastAsia="仿宋_GB2312" w:hAnsi="Times New Roman" w:cs="Times New Roman"/>
          <w:sz w:val="28"/>
          <w:szCs w:val="28"/>
        </w:rPr>
        <w:t>《中华人民共和国土地管理法实施条例》（</w:t>
      </w:r>
      <w:r w:rsidRPr="002D0A9B">
        <w:rPr>
          <w:rFonts w:ascii="Times New Roman" w:eastAsia="仿宋_GB2312" w:hAnsi="Times New Roman" w:cs="Times New Roman"/>
          <w:sz w:val="28"/>
          <w:szCs w:val="28"/>
        </w:rPr>
        <w:t>2021</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4</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21</w:t>
      </w:r>
      <w:r w:rsidRPr="002D0A9B">
        <w:rPr>
          <w:rFonts w:ascii="Times New Roman" w:eastAsia="仿宋_GB2312" w:hAnsi="Times New Roman" w:cs="Times New Roman"/>
          <w:sz w:val="28"/>
          <w:szCs w:val="28"/>
        </w:rPr>
        <w:t>日国务院第</w:t>
      </w:r>
      <w:r w:rsidRPr="002D0A9B">
        <w:rPr>
          <w:rFonts w:ascii="Times New Roman" w:eastAsia="仿宋_GB2312" w:hAnsi="Times New Roman" w:cs="Times New Roman"/>
          <w:sz w:val="28"/>
          <w:szCs w:val="28"/>
        </w:rPr>
        <w:t>132</w:t>
      </w:r>
      <w:r w:rsidRPr="002D0A9B">
        <w:rPr>
          <w:rFonts w:ascii="Times New Roman" w:eastAsia="仿宋_GB2312" w:hAnsi="Times New Roman" w:cs="Times New Roman"/>
          <w:sz w:val="28"/>
          <w:szCs w:val="28"/>
        </w:rPr>
        <w:t>次常务会议修订通过，自</w:t>
      </w:r>
      <w:r w:rsidRPr="002D0A9B">
        <w:rPr>
          <w:rFonts w:ascii="Times New Roman" w:eastAsia="仿宋_GB2312" w:hAnsi="Times New Roman" w:cs="Times New Roman"/>
          <w:sz w:val="28"/>
          <w:szCs w:val="28"/>
        </w:rPr>
        <w:t>2021</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9</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日起施行）；</w:t>
      </w:r>
    </w:p>
    <w:p w14:paraId="2C6A73F9"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3.</w:t>
      </w:r>
      <w:r w:rsidRPr="002D0A9B">
        <w:rPr>
          <w:rFonts w:ascii="Times New Roman" w:eastAsia="仿宋_GB2312" w:hAnsi="Times New Roman" w:cs="Times New Roman"/>
          <w:sz w:val="28"/>
          <w:szCs w:val="28"/>
        </w:rPr>
        <w:t>《中华人民共和国民法典》（</w:t>
      </w:r>
      <w:r w:rsidRPr="002D0A9B">
        <w:rPr>
          <w:rFonts w:ascii="Times New Roman" w:eastAsia="仿宋_GB2312" w:hAnsi="Times New Roman" w:cs="Times New Roman"/>
          <w:sz w:val="28"/>
          <w:szCs w:val="28"/>
        </w:rPr>
        <w:t>2020</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5</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28</w:t>
      </w:r>
      <w:r w:rsidRPr="002D0A9B">
        <w:rPr>
          <w:rFonts w:ascii="Times New Roman" w:eastAsia="仿宋_GB2312" w:hAnsi="Times New Roman" w:cs="Times New Roman"/>
          <w:sz w:val="28"/>
          <w:szCs w:val="28"/>
        </w:rPr>
        <w:t>日第十三届全国人大第三次会议通过，自</w:t>
      </w:r>
      <w:r w:rsidRPr="002D0A9B">
        <w:rPr>
          <w:rFonts w:ascii="Times New Roman" w:eastAsia="仿宋_GB2312" w:hAnsi="Times New Roman" w:cs="Times New Roman"/>
          <w:sz w:val="28"/>
          <w:szCs w:val="28"/>
        </w:rPr>
        <w:t>2021</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日起施行）；</w:t>
      </w:r>
      <w:r w:rsidRPr="002D0A9B">
        <w:rPr>
          <w:rFonts w:ascii="Times New Roman" w:eastAsia="仿宋_GB2312" w:hAnsi="Times New Roman" w:cs="Times New Roman"/>
          <w:sz w:val="28"/>
          <w:szCs w:val="28"/>
        </w:rPr>
        <w:t xml:space="preserve"> </w:t>
      </w:r>
    </w:p>
    <w:p w14:paraId="0AEFE636"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4.</w:t>
      </w:r>
      <w:r w:rsidRPr="002D0A9B">
        <w:rPr>
          <w:rFonts w:ascii="Times New Roman" w:eastAsia="仿宋_GB2312" w:hAnsi="Times New Roman" w:cs="Times New Roman"/>
          <w:sz w:val="28"/>
          <w:szCs w:val="28"/>
        </w:rPr>
        <w:t>《中华人民共和国农村土地承包法》（</w:t>
      </w:r>
      <w:r w:rsidRPr="002D0A9B">
        <w:rPr>
          <w:rFonts w:ascii="Times New Roman" w:eastAsia="仿宋_GB2312" w:hAnsi="Times New Roman" w:cs="Times New Roman"/>
          <w:sz w:val="28"/>
          <w:szCs w:val="28"/>
        </w:rPr>
        <w:t>2018</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12</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29</w:t>
      </w:r>
      <w:r w:rsidRPr="002D0A9B">
        <w:rPr>
          <w:rFonts w:ascii="Times New Roman" w:eastAsia="仿宋_GB2312" w:hAnsi="Times New Roman" w:cs="Times New Roman"/>
          <w:sz w:val="28"/>
          <w:szCs w:val="28"/>
        </w:rPr>
        <w:t>日第十三届全国人民代表大会常务委员会第七次会议第二次修正）；</w:t>
      </w:r>
    </w:p>
    <w:p w14:paraId="305F556C"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lastRenderedPageBreak/>
        <w:t>5.</w:t>
      </w:r>
      <w:r w:rsidRPr="002D0A9B">
        <w:rPr>
          <w:rFonts w:ascii="Times New Roman" w:eastAsia="仿宋_GB2312" w:hAnsi="Times New Roman" w:cs="Times New Roman"/>
          <w:sz w:val="28"/>
          <w:szCs w:val="28"/>
        </w:rPr>
        <w:t>《中华人民共和国森林法》（</w:t>
      </w:r>
      <w:r w:rsidRPr="002D0A9B">
        <w:rPr>
          <w:rFonts w:ascii="Times New Roman" w:eastAsia="仿宋_GB2312" w:hAnsi="Times New Roman" w:cs="Times New Roman"/>
          <w:sz w:val="28"/>
          <w:szCs w:val="28"/>
        </w:rPr>
        <w:t>2019</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12</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28</w:t>
      </w:r>
      <w:r w:rsidRPr="002D0A9B">
        <w:rPr>
          <w:rFonts w:ascii="Times New Roman" w:eastAsia="仿宋_GB2312" w:hAnsi="Times New Roman" w:cs="Times New Roman"/>
          <w:sz w:val="28"/>
          <w:szCs w:val="28"/>
        </w:rPr>
        <w:t>日第十三届全国人民代表大会常务委员会第十五次会议修订）；</w:t>
      </w:r>
    </w:p>
    <w:p w14:paraId="545CE5BA"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6.</w:t>
      </w:r>
      <w:r w:rsidRPr="002D0A9B">
        <w:rPr>
          <w:rFonts w:ascii="Times New Roman" w:eastAsia="仿宋_GB2312" w:hAnsi="Times New Roman" w:cs="Times New Roman"/>
          <w:sz w:val="28"/>
          <w:szCs w:val="28"/>
        </w:rPr>
        <w:t>《中华人民共和国资产评估法》（</w:t>
      </w:r>
      <w:r w:rsidRPr="002D0A9B">
        <w:rPr>
          <w:rFonts w:ascii="Times New Roman" w:eastAsia="仿宋_GB2312" w:hAnsi="Times New Roman" w:cs="Times New Roman"/>
          <w:sz w:val="28"/>
          <w:szCs w:val="28"/>
        </w:rPr>
        <w:t>2016</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7</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2</w:t>
      </w:r>
      <w:r w:rsidRPr="002D0A9B">
        <w:rPr>
          <w:rFonts w:ascii="Times New Roman" w:eastAsia="仿宋_GB2312" w:hAnsi="Times New Roman" w:cs="Times New Roman"/>
          <w:sz w:val="28"/>
          <w:szCs w:val="28"/>
        </w:rPr>
        <w:t>日第十二届全国人民代表大会常务委员会第二十一次会议通过，自</w:t>
      </w:r>
      <w:r w:rsidRPr="002D0A9B">
        <w:rPr>
          <w:rFonts w:ascii="Times New Roman" w:eastAsia="仿宋_GB2312" w:hAnsi="Times New Roman" w:cs="Times New Roman"/>
          <w:sz w:val="28"/>
          <w:szCs w:val="28"/>
        </w:rPr>
        <w:t>2016</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12</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日起施行）；</w:t>
      </w:r>
    </w:p>
    <w:p w14:paraId="0AE5F414"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7.</w:t>
      </w:r>
      <w:r w:rsidRPr="002D0A9B">
        <w:rPr>
          <w:rFonts w:ascii="Times New Roman" w:eastAsia="仿宋_GB2312" w:hAnsi="Times New Roman" w:cs="Times New Roman"/>
          <w:sz w:val="28"/>
          <w:szCs w:val="28"/>
        </w:rPr>
        <w:t>《广东省土地管理条例》（广东省第十三届人民代表大会常务委员会第四十三次会议于</w:t>
      </w:r>
      <w:r w:rsidRPr="002D0A9B">
        <w:rPr>
          <w:rFonts w:ascii="Times New Roman" w:eastAsia="仿宋_GB2312" w:hAnsi="Times New Roman" w:cs="Times New Roman"/>
          <w:sz w:val="28"/>
          <w:szCs w:val="28"/>
        </w:rPr>
        <w:t>2022</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6</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日通过，自</w:t>
      </w:r>
      <w:r w:rsidRPr="002D0A9B">
        <w:rPr>
          <w:rFonts w:ascii="Times New Roman" w:eastAsia="仿宋_GB2312" w:hAnsi="Times New Roman" w:cs="Times New Roman"/>
          <w:sz w:val="28"/>
          <w:szCs w:val="28"/>
        </w:rPr>
        <w:t>2022</w:t>
      </w:r>
      <w:r w:rsidRPr="002D0A9B">
        <w:rPr>
          <w:rFonts w:ascii="Times New Roman" w:eastAsia="仿宋_GB2312" w:hAnsi="Times New Roman" w:cs="Times New Roman"/>
          <w:sz w:val="28"/>
          <w:szCs w:val="28"/>
        </w:rPr>
        <w:t>年</w:t>
      </w:r>
      <w:r w:rsidRPr="002D0A9B">
        <w:rPr>
          <w:rFonts w:ascii="Times New Roman" w:eastAsia="仿宋_GB2312" w:hAnsi="Times New Roman" w:cs="Times New Roman"/>
          <w:sz w:val="28"/>
          <w:szCs w:val="28"/>
        </w:rPr>
        <w:t>8</w:t>
      </w:r>
      <w:r w:rsidRPr="002D0A9B">
        <w:rPr>
          <w:rFonts w:ascii="Times New Roman" w:eastAsia="仿宋_GB2312" w:hAnsi="Times New Roman" w:cs="Times New Roman"/>
          <w:sz w:val="28"/>
          <w:szCs w:val="28"/>
        </w:rPr>
        <w:t>月</w:t>
      </w:r>
      <w:r w:rsidRPr="002D0A9B">
        <w:rPr>
          <w:rFonts w:ascii="Times New Roman" w:eastAsia="仿宋_GB2312" w:hAnsi="Times New Roman" w:cs="Times New Roman"/>
          <w:sz w:val="28"/>
          <w:szCs w:val="28"/>
        </w:rPr>
        <w:t>1</w:t>
      </w:r>
      <w:r w:rsidRPr="002D0A9B">
        <w:rPr>
          <w:rFonts w:ascii="Times New Roman" w:eastAsia="仿宋_GB2312" w:hAnsi="Times New Roman" w:cs="Times New Roman"/>
          <w:sz w:val="28"/>
          <w:szCs w:val="28"/>
        </w:rPr>
        <w:t>日起施行）；</w:t>
      </w:r>
    </w:p>
    <w:p w14:paraId="32D15F22"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8.</w:t>
      </w:r>
      <w:r w:rsidRPr="002D0A9B">
        <w:rPr>
          <w:rFonts w:ascii="Times New Roman" w:eastAsia="仿宋_GB2312" w:hAnsi="Times New Roman" w:cs="Times New Roman"/>
          <w:sz w:val="28"/>
          <w:szCs w:val="28"/>
        </w:rPr>
        <w:t>《广东省自然资源厅关于印发〈广东省征收农用地区片综合地价制定工作方案〉的通知》（粤自然资函〔</w:t>
      </w:r>
      <w:r w:rsidRPr="002D0A9B">
        <w:rPr>
          <w:rFonts w:ascii="Times New Roman" w:eastAsia="仿宋_GB2312" w:hAnsi="Times New Roman" w:cs="Times New Roman"/>
          <w:sz w:val="28"/>
          <w:szCs w:val="28"/>
        </w:rPr>
        <w:t>2020</w:t>
      </w:r>
      <w:r w:rsidRPr="002D0A9B">
        <w:rPr>
          <w:rFonts w:ascii="Times New Roman" w:eastAsia="仿宋_GB2312" w:hAnsi="Times New Roman" w:cs="Times New Roman"/>
          <w:sz w:val="28"/>
          <w:szCs w:val="28"/>
        </w:rPr>
        <w:t>〕</w:t>
      </w:r>
      <w:r w:rsidRPr="002D0A9B">
        <w:rPr>
          <w:rFonts w:ascii="Times New Roman" w:eastAsia="仿宋_GB2312" w:hAnsi="Times New Roman" w:cs="Times New Roman"/>
          <w:sz w:val="28"/>
          <w:szCs w:val="28"/>
        </w:rPr>
        <w:t>51</w:t>
      </w:r>
      <w:r w:rsidRPr="002D0A9B">
        <w:rPr>
          <w:rFonts w:ascii="Times New Roman" w:eastAsia="仿宋_GB2312" w:hAnsi="Times New Roman" w:cs="Times New Roman"/>
          <w:sz w:val="28"/>
          <w:szCs w:val="28"/>
        </w:rPr>
        <w:t>号）；</w:t>
      </w:r>
    </w:p>
    <w:p w14:paraId="253B7A36"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9.</w:t>
      </w:r>
      <w:r w:rsidRPr="002D0A9B">
        <w:rPr>
          <w:rFonts w:ascii="Times New Roman" w:eastAsia="仿宋_GB2312" w:hAnsi="Times New Roman" w:cs="Times New Roman" w:hint="eastAsia"/>
          <w:sz w:val="28"/>
          <w:szCs w:val="28"/>
        </w:rPr>
        <w:t>《广东省自然资源厅关于做好区片综合地价调整或重新公布工作的通知》（粤自然资函〔</w:t>
      </w:r>
      <w:r w:rsidRPr="002D0A9B">
        <w:rPr>
          <w:rFonts w:ascii="Times New Roman" w:eastAsia="仿宋_GB2312" w:hAnsi="Times New Roman" w:cs="Times New Roman" w:hint="eastAsia"/>
          <w:sz w:val="28"/>
          <w:szCs w:val="28"/>
        </w:rPr>
        <w:t>2026</w:t>
      </w:r>
      <w:r w:rsidRPr="002D0A9B">
        <w:rPr>
          <w:rFonts w:ascii="Times New Roman" w:eastAsia="仿宋_GB2312" w:hAnsi="Times New Roman" w:cs="Times New Roman" w:hint="eastAsia"/>
          <w:sz w:val="28"/>
          <w:szCs w:val="28"/>
        </w:rPr>
        <w:t>〕</w:t>
      </w:r>
      <w:r w:rsidRPr="002D0A9B">
        <w:rPr>
          <w:rFonts w:ascii="Times New Roman" w:eastAsia="仿宋_GB2312" w:hAnsi="Times New Roman" w:cs="Times New Roman" w:hint="eastAsia"/>
          <w:sz w:val="28"/>
          <w:szCs w:val="28"/>
        </w:rPr>
        <w:t>316</w:t>
      </w:r>
      <w:r w:rsidRPr="002D0A9B">
        <w:rPr>
          <w:rFonts w:ascii="Times New Roman" w:eastAsia="仿宋_GB2312" w:hAnsi="Times New Roman" w:cs="Times New Roman" w:hint="eastAsia"/>
          <w:sz w:val="28"/>
          <w:szCs w:val="28"/>
        </w:rPr>
        <w:t>号）</w:t>
      </w:r>
      <w:r w:rsidRPr="002D0A9B">
        <w:rPr>
          <w:rFonts w:ascii="Times New Roman" w:eastAsia="仿宋_GB2312" w:hAnsi="Times New Roman" w:cs="Times New Roman"/>
          <w:sz w:val="28"/>
          <w:szCs w:val="28"/>
        </w:rPr>
        <w:t>；</w:t>
      </w:r>
    </w:p>
    <w:p w14:paraId="75CC41CE" w14:textId="77777777" w:rsidR="002D0A9B"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10.</w:t>
      </w:r>
      <w:r w:rsidRPr="002D0A9B">
        <w:rPr>
          <w:rFonts w:ascii="Times New Roman" w:eastAsia="仿宋_GB2312" w:hAnsi="Times New Roman" w:cs="Times New Roman" w:hint="eastAsia"/>
          <w:sz w:val="28"/>
          <w:szCs w:val="28"/>
        </w:rPr>
        <w:t>《梅州市人民政府关于公布实施征收农用地区片综合地价的公告》（梅市府〔</w:t>
      </w:r>
      <w:r w:rsidRPr="002D0A9B">
        <w:rPr>
          <w:rFonts w:ascii="Times New Roman" w:eastAsia="仿宋_GB2312" w:hAnsi="Times New Roman" w:cs="Times New Roman" w:hint="eastAsia"/>
          <w:sz w:val="28"/>
          <w:szCs w:val="28"/>
        </w:rPr>
        <w:t>2024</w:t>
      </w:r>
      <w:r w:rsidRPr="002D0A9B">
        <w:rPr>
          <w:rFonts w:ascii="Times New Roman" w:eastAsia="仿宋_GB2312" w:hAnsi="Times New Roman" w:cs="Times New Roman" w:hint="eastAsia"/>
          <w:sz w:val="28"/>
          <w:szCs w:val="28"/>
        </w:rPr>
        <w:t>〕</w:t>
      </w:r>
      <w:r w:rsidRPr="002D0A9B">
        <w:rPr>
          <w:rFonts w:ascii="Times New Roman" w:eastAsia="仿宋_GB2312" w:hAnsi="Times New Roman" w:cs="Times New Roman" w:hint="eastAsia"/>
          <w:sz w:val="28"/>
          <w:szCs w:val="28"/>
        </w:rPr>
        <w:t>1</w:t>
      </w:r>
      <w:r w:rsidRPr="002D0A9B">
        <w:rPr>
          <w:rFonts w:ascii="Times New Roman" w:eastAsia="仿宋_GB2312" w:hAnsi="Times New Roman" w:cs="Times New Roman" w:hint="eastAsia"/>
          <w:sz w:val="28"/>
          <w:szCs w:val="28"/>
        </w:rPr>
        <w:t>号）</w:t>
      </w:r>
      <w:r w:rsidRPr="002D0A9B">
        <w:rPr>
          <w:rFonts w:ascii="Times New Roman" w:eastAsia="仿宋_GB2312" w:hAnsi="Times New Roman" w:cs="Times New Roman"/>
          <w:sz w:val="28"/>
          <w:szCs w:val="28"/>
        </w:rPr>
        <w:t>；</w:t>
      </w:r>
    </w:p>
    <w:p w14:paraId="7BCE9A43" w14:textId="38057406" w:rsidR="004D28B9" w:rsidRPr="002D0A9B"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sz w:val="28"/>
          <w:szCs w:val="28"/>
        </w:rPr>
        <w:t>11.</w:t>
      </w:r>
      <w:r w:rsidRPr="002D0A9B">
        <w:rPr>
          <w:rFonts w:ascii="Times New Roman" w:eastAsia="仿宋_GB2312" w:hAnsi="Times New Roman" w:cs="Times New Roman"/>
          <w:sz w:val="28"/>
          <w:szCs w:val="28"/>
        </w:rPr>
        <w:t>其他相关法律法规、政策文件等。</w:t>
      </w:r>
    </w:p>
    <w:p w14:paraId="30F61BEF" w14:textId="58B6110A" w:rsidR="00A27B8F" w:rsidRPr="008C05F7" w:rsidRDefault="008C05F7" w:rsidP="008C05F7">
      <w:pPr>
        <w:spacing w:line="560" w:lineRule="exact"/>
        <w:rPr>
          <w:rFonts w:ascii="Times New Roman" w:eastAsia="黑体" w:hAnsi="Times New Roman" w:cs="Times New Roman"/>
          <w:bCs/>
          <w:sz w:val="28"/>
          <w:szCs w:val="28"/>
        </w:rPr>
      </w:pPr>
      <w:r>
        <w:rPr>
          <w:rFonts w:ascii="Times New Roman" w:eastAsia="黑体" w:hAnsi="Times New Roman" w:cs="Times New Roman" w:hint="eastAsia"/>
          <w:bCs/>
          <w:sz w:val="28"/>
          <w:szCs w:val="28"/>
        </w:rPr>
        <w:t>四、</w:t>
      </w:r>
      <w:r w:rsidR="00A27B8F" w:rsidRPr="008C05F7">
        <w:rPr>
          <w:rFonts w:ascii="Times New Roman" w:eastAsia="黑体" w:hAnsi="Times New Roman" w:cs="Times New Roman" w:hint="eastAsia"/>
          <w:bCs/>
          <w:sz w:val="28"/>
          <w:szCs w:val="28"/>
        </w:rPr>
        <w:t>制</w:t>
      </w:r>
      <w:r w:rsidR="008A2636" w:rsidRPr="008C05F7">
        <w:rPr>
          <w:rFonts w:ascii="Times New Roman" w:eastAsia="黑体" w:hAnsi="Times New Roman" w:cs="Times New Roman" w:hint="eastAsia"/>
          <w:bCs/>
          <w:sz w:val="28"/>
          <w:szCs w:val="28"/>
        </w:rPr>
        <w:t>定</w:t>
      </w:r>
      <w:r w:rsidR="00A27B8F" w:rsidRPr="008C05F7">
        <w:rPr>
          <w:rFonts w:ascii="Times New Roman" w:eastAsia="黑体" w:hAnsi="Times New Roman" w:cs="Times New Roman" w:hint="eastAsia"/>
          <w:bCs/>
          <w:sz w:val="28"/>
          <w:szCs w:val="28"/>
        </w:rPr>
        <w:t>过程</w:t>
      </w:r>
    </w:p>
    <w:p w14:paraId="4F65C2FA" w14:textId="51716255" w:rsidR="00A27B8F" w:rsidRPr="00DD16A2" w:rsidRDefault="002D0A9B" w:rsidP="002D0A9B">
      <w:pPr>
        <w:widowControl/>
        <w:wordWrap w:val="0"/>
        <w:spacing w:line="360" w:lineRule="auto"/>
        <w:ind w:firstLine="540"/>
        <w:jc w:val="left"/>
        <w:rPr>
          <w:rFonts w:ascii="Times New Roman" w:eastAsia="仿宋_GB2312" w:hAnsi="Times New Roman" w:cs="Times New Roman"/>
          <w:sz w:val="28"/>
          <w:szCs w:val="28"/>
        </w:rPr>
      </w:pPr>
      <w:r w:rsidRPr="002D0A9B">
        <w:rPr>
          <w:rFonts w:ascii="Times New Roman" w:eastAsia="仿宋_GB2312" w:hAnsi="Times New Roman" w:cs="Times New Roman" w:hint="eastAsia"/>
          <w:sz w:val="28"/>
          <w:szCs w:val="28"/>
        </w:rPr>
        <w:t>此项工作于</w:t>
      </w:r>
      <w:r w:rsidRPr="002D0A9B">
        <w:rPr>
          <w:rFonts w:ascii="Times New Roman" w:eastAsia="仿宋_GB2312" w:hAnsi="Times New Roman" w:cs="Times New Roman"/>
          <w:sz w:val="28"/>
          <w:szCs w:val="28"/>
        </w:rPr>
        <w:t>202</w:t>
      </w:r>
      <w:r w:rsidRPr="002D0A9B">
        <w:rPr>
          <w:rFonts w:ascii="Times New Roman" w:eastAsia="仿宋_GB2312" w:hAnsi="Times New Roman" w:cs="Times New Roman" w:hint="eastAsia"/>
          <w:sz w:val="28"/>
          <w:szCs w:val="28"/>
        </w:rPr>
        <w:t>6</w:t>
      </w:r>
      <w:r w:rsidRPr="002D0A9B">
        <w:rPr>
          <w:rFonts w:ascii="Times New Roman" w:eastAsia="仿宋_GB2312" w:hAnsi="Times New Roman" w:cs="Times New Roman" w:hint="eastAsia"/>
          <w:sz w:val="28"/>
          <w:szCs w:val="28"/>
        </w:rPr>
        <w:t>年</w:t>
      </w:r>
      <w:r w:rsidRPr="002D0A9B">
        <w:rPr>
          <w:rFonts w:ascii="Times New Roman" w:eastAsia="仿宋_GB2312" w:hAnsi="Times New Roman" w:cs="Times New Roman" w:hint="eastAsia"/>
          <w:sz w:val="28"/>
          <w:szCs w:val="28"/>
        </w:rPr>
        <w:t>7</w:t>
      </w:r>
      <w:r w:rsidRPr="002D0A9B">
        <w:rPr>
          <w:rFonts w:ascii="Times New Roman" w:eastAsia="仿宋_GB2312" w:hAnsi="Times New Roman" w:cs="Times New Roman" w:hint="eastAsia"/>
          <w:sz w:val="28"/>
          <w:szCs w:val="28"/>
        </w:rPr>
        <w:t>月开始启动，</w:t>
      </w:r>
      <w:r w:rsidR="00053AA1">
        <w:rPr>
          <w:rFonts w:ascii="Times New Roman" w:eastAsia="仿宋_GB2312" w:hAnsi="Times New Roman" w:cs="Times New Roman" w:hint="eastAsia"/>
          <w:sz w:val="28"/>
          <w:szCs w:val="28"/>
        </w:rPr>
        <w:t>7</w:t>
      </w:r>
      <w:r w:rsidR="007D62E9">
        <w:rPr>
          <w:rFonts w:ascii="宋体" w:eastAsia="宋体" w:hAnsi="宋体" w:cs="Times New Roman" w:hint="eastAsia"/>
          <w:sz w:val="28"/>
          <w:szCs w:val="28"/>
        </w:rPr>
        <w:t>～</w:t>
      </w:r>
      <w:r w:rsidR="00053AA1">
        <w:rPr>
          <w:rFonts w:ascii="Times New Roman" w:eastAsia="仿宋_GB2312" w:hAnsi="Times New Roman" w:cs="Times New Roman" w:hint="eastAsia"/>
          <w:sz w:val="28"/>
          <w:szCs w:val="28"/>
        </w:rPr>
        <w:t>9</w:t>
      </w:r>
      <w:r w:rsidR="00053AA1">
        <w:rPr>
          <w:rFonts w:ascii="Times New Roman" w:eastAsia="仿宋_GB2312" w:hAnsi="Times New Roman" w:cs="Times New Roman" w:hint="eastAsia"/>
          <w:sz w:val="28"/>
          <w:szCs w:val="28"/>
        </w:rPr>
        <w:t>月开展</w:t>
      </w:r>
      <w:r w:rsidRPr="002D0A9B">
        <w:rPr>
          <w:rFonts w:ascii="Times New Roman" w:eastAsia="仿宋_GB2312" w:hAnsi="Times New Roman" w:cs="Times New Roman" w:hint="eastAsia"/>
          <w:sz w:val="28"/>
          <w:szCs w:val="28"/>
        </w:rPr>
        <w:t>前期准备、资料收集、开展调研、内业整理、区片划分核查、区片标准核实、县域内平衡与市域衔接分析、初步成果编写、内部审查</w:t>
      </w:r>
      <w:r w:rsidR="00053AA1">
        <w:rPr>
          <w:rFonts w:ascii="Times New Roman" w:eastAsia="仿宋_GB2312" w:hAnsi="Times New Roman" w:cs="Times New Roman" w:hint="eastAsia"/>
          <w:sz w:val="28"/>
          <w:szCs w:val="28"/>
        </w:rPr>
        <w:t>等工作，拟</w:t>
      </w:r>
      <w:r w:rsidR="00053AA1">
        <w:rPr>
          <w:rFonts w:ascii="Times New Roman" w:eastAsia="仿宋_GB2312" w:hAnsi="Times New Roman" w:cs="Times New Roman" w:hint="eastAsia"/>
          <w:sz w:val="28"/>
          <w:szCs w:val="28"/>
        </w:rPr>
        <w:t>9</w:t>
      </w:r>
      <w:r w:rsidR="007D62E9">
        <w:rPr>
          <w:rFonts w:ascii="宋体" w:eastAsia="宋体" w:hAnsi="宋体" w:cs="Times New Roman" w:hint="eastAsia"/>
          <w:sz w:val="28"/>
          <w:szCs w:val="28"/>
        </w:rPr>
        <w:t>～</w:t>
      </w:r>
      <w:r w:rsidR="007D62E9">
        <w:rPr>
          <w:rFonts w:ascii="Times New Roman" w:eastAsia="仿宋_GB2312" w:hAnsi="Times New Roman" w:cs="Times New Roman" w:hint="eastAsia"/>
          <w:sz w:val="28"/>
          <w:szCs w:val="28"/>
        </w:rPr>
        <w:t>10</w:t>
      </w:r>
      <w:r w:rsidR="00053AA1">
        <w:rPr>
          <w:rFonts w:ascii="Times New Roman" w:eastAsia="仿宋_GB2312" w:hAnsi="Times New Roman" w:cs="Times New Roman" w:hint="eastAsia"/>
          <w:sz w:val="28"/>
          <w:szCs w:val="28"/>
        </w:rPr>
        <w:t>月进行</w:t>
      </w:r>
      <w:r w:rsidRPr="002D0A9B">
        <w:rPr>
          <w:rFonts w:ascii="Times New Roman" w:eastAsia="仿宋_GB2312" w:hAnsi="Times New Roman" w:cs="Times New Roman" w:hint="eastAsia"/>
          <w:sz w:val="28"/>
          <w:szCs w:val="28"/>
        </w:rPr>
        <w:t>征询单位和社会公众意见、组织听证等程序，形成上报稿。</w:t>
      </w:r>
    </w:p>
    <w:p w14:paraId="53AF03D4" w14:textId="305E1769" w:rsidR="00B474D7" w:rsidRPr="008C05F7" w:rsidRDefault="008C05F7" w:rsidP="008C05F7">
      <w:pPr>
        <w:spacing w:line="560" w:lineRule="exact"/>
        <w:rPr>
          <w:rFonts w:ascii="Times New Roman" w:eastAsia="仿宋_GB2312" w:hAnsi="Times New Roman" w:cs="Times New Roman"/>
          <w:sz w:val="28"/>
          <w:szCs w:val="28"/>
        </w:rPr>
      </w:pPr>
      <w:r>
        <w:rPr>
          <w:rFonts w:ascii="Times New Roman" w:eastAsia="黑体" w:hAnsi="Times New Roman" w:cs="Times New Roman" w:hint="eastAsia"/>
          <w:bCs/>
          <w:sz w:val="28"/>
          <w:szCs w:val="28"/>
        </w:rPr>
        <w:t>五、</w:t>
      </w:r>
      <w:r w:rsidR="00C41FB5" w:rsidRPr="008C05F7">
        <w:rPr>
          <w:rFonts w:ascii="Times New Roman" w:eastAsia="黑体" w:hAnsi="Times New Roman" w:cs="Times New Roman"/>
          <w:bCs/>
          <w:sz w:val="28"/>
          <w:szCs w:val="28"/>
        </w:rPr>
        <w:t>主要内容</w:t>
      </w:r>
    </w:p>
    <w:p w14:paraId="486B52E2" w14:textId="4C2F1DAF" w:rsidR="00FA32AA" w:rsidRPr="00C971D0" w:rsidRDefault="00C971D0" w:rsidP="00FA32AA">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lastRenderedPageBreak/>
        <w:t>主要内容为：区片划分、区片价标准、土地补偿费与安置补助费分配比例、各地类调节系数。</w:t>
      </w:r>
    </w:p>
    <w:p w14:paraId="271A0F45" w14:textId="77777777" w:rsidR="00C971D0" w:rsidRPr="00C971D0" w:rsidRDefault="00C971D0" w:rsidP="00C971D0">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t>（一）区片划分情况</w:t>
      </w:r>
    </w:p>
    <w:p w14:paraId="2DC88E1A" w14:textId="77777777" w:rsidR="00C971D0" w:rsidRDefault="00C971D0" w:rsidP="00C971D0">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t>按照梅州市梅县区行政区域范围内各乡镇（办事处）、行政村的经济发展水平，地形差异和现有征地补偿水平等因素，本着切实保障被征地群众利益和新旧补偿标准平稳过渡的原则，梅州市梅县区</w:t>
      </w:r>
      <w:r w:rsidRPr="00C971D0">
        <w:rPr>
          <w:rFonts w:ascii="Times New Roman" w:eastAsia="仿宋_GB2312" w:hAnsi="Times New Roman" w:cs="Times New Roman"/>
          <w:sz w:val="28"/>
          <w:szCs w:val="28"/>
        </w:rPr>
        <w:t>征收农用地区片综合地价</w:t>
      </w:r>
      <w:r w:rsidRPr="00C971D0">
        <w:rPr>
          <w:rFonts w:ascii="Times New Roman" w:eastAsia="仿宋_GB2312" w:hAnsi="Times New Roman" w:cs="Times New Roman" w:hint="eastAsia"/>
          <w:sz w:val="28"/>
          <w:szCs w:val="28"/>
        </w:rPr>
        <w:t>划分为</w:t>
      </w:r>
      <w:r w:rsidRPr="00C971D0">
        <w:rPr>
          <w:rFonts w:ascii="Times New Roman" w:eastAsia="仿宋_GB2312" w:hAnsi="Times New Roman" w:cs="Times New Roman" w:hint="eastAsia"/>
          <w:sz w:val="28"/>
          <w:szCs w:val="28"/>
        </w:rPr>
        <w:t>3</w:t>
      </w:r>
      <w:r w:rsidRPr="00C971D0">
        <w:rPr>
          <w:rFonts w:ascii="Times New Roman" w:eastAsia="仿宋_GB2312" w:hAnsi="Times New Roman" w:cs="Times New Roman" w:hint="eastAsia"/>
          <w:sz w:val="28"/>
          <w:szCs w:val="28"/>
        </w:rPr>
        <w:t>个区片。</w:t>
      </w:r>
    </w:p>
    <w:p w14:paraId="6B0DCFCD" w14:textId="77777777" w:rsidR="00C971D0" w:rsidRPr="003D4ED9" w:rsidRDefault="00C971D0" w:rsidP="00C971D0">
      <w:pPr>
        <w:pStyle w:val="af0"/>
        <w:spacing w:before="78" w:after="78"/>
        <w:outlineLvl w:val="9"/>
        <w:rPr>
          <w:rFonts w:ascii="仿宋_GB2312" w:hAnsi="宋体" w:cs="宋体" w:hint="eastAsia"/>
        </w:rPr>
      </w:pPr>
      <w:r>
        <w:rPr>
          <w:rFonts w:ascii="仿宋_GB2312" w:hAnsi="宋体" w:cs="宋体" w:hint="eastAsia"/>
        </w:rPr>
        <w:t>梅县区</w:t>
      </w:r>
      <w:r w:rsidRPr="003D4ED9">
        <w:rPr>
          <w:rFonts w:ascii="仿宋_GB2312" w:hAnsi="宋体" w:cs="宋体" w:hint="eastAsia"/>
        </w:rPr>
        <w:t>征地区片划分结果表</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5"/>
        <w:gridCol w:w="7514"/>
      </w:tblGrid>
      <w:tr w:rsidR="00C971D0" w:rsidRPr="003D4ED9" w14:paraId="5F70A7F9" w14:textId="77777777" w:rsidTr="00D32A6E">
        <w:trPr>
          <w:trHeight w:val="340"/>
        </w:trPr>
        <w:tc>
          <w:tcPr>
            <w:tcW w:w="646" w:type="pct"/>
            <w:vAlign w:val="center"/>
          </w:tcPr>
          <w:p w14:paraId="0BE9ED8D" w14:textId="77777777" w:rsidR="00C971D0" w:rsidRPr="003D4ED9" w:rsidRDefault="00C971D0" w:rsidP="00D32A6E">
            <w:pPr>
              <w:spacing w:before="60" w:after="60" w:line="240" w:lineRule="exact"/>
              <w:jc w:val="center"/>
              <w:rPr>
                <w:rFonts w:ascii="仿宋_GB2312" w:eastAsia="仿宋_GB2312" w:hAnsi="宋体" w:cs="宋体" w:hint="eastAsia"/>
                <w:b/>
                <w:bCs/>
                <w:color w:val="000000"/>
                <w:szCs w:val="21"/>
              </w:rPr>
            </w:pPr>
            <w:r w:rsidRPr="003D4ED9">
              <w:rPr>
                <w:rFonts w:ascii="仿宋_GB2312" w:eastAsia="仿宋_GB2312" w:hAnsi="宋体" w:cs="宋体" w:hint="eastAsia"/>
                <w:b/>
                <w:bCs/>
                <w:color w:val="000000"/>
                <w:szCs w:val="21"/>
              </w:rPr>
              <w:t>区片编号</w:t>
            </w:r>
          </w:p>
        </w:tc>
        <w:tc>
          <w:tcPr>
            <w:tcW w:w="4354" w:type="pct"/>
            <w:vAlign w:val="center"/>
          </w:tcPr>
          <w:p w14:paraId="284AFA4A" w14:textId="77777777" w:rsidR="00C971D0" w:rsidRPr="003D4ED9" w:rsidRDefault="00C971D0" w:rsidP="00D32A6E">
            <w:pPr>
              <w:spacing w:before="60" w:after="60" w:line="240" w:lineRule="exact"/>
              <w:jc w:val="center"/>
              <w:rPr>
                <w:rFonts w:ascii="仿宋_GB2312" w:eastAsia="仿宋_GB2312" w:hAnsi="宋体" w:cs="宋体" w:hint="eastAsia"/>
                <w:b/>
                <w:bCs/>
                <w:color w:val="000000"/>
                <w:szCs w:val="21"/>
              </w:rPr>
            </w:pPr>
            <w:r w:rsidRPr="003D4ED9">
              <w:rPr>
                <w:rFonts w:ascii="仿宋_GB2312" w:eastAsia="仿宋_GB2312" w:hAnsi="宋体" w:cs="宋体" w:hint="eastAsia"/>
                <w:b/>
                <w:bCs/>
                <w:color w:val="000000"/>
                <w:szCs w:val="21"/>
              </w:rPr>
              <w:t>区片范围描述</w:t>
            </w:r>
          </w:p>
        </w:tc>
      </w:tr>
      <w:tr w:rsidR="00C971D0" w:rsidRPr="003D4ED9" w14:paraId="0E39652D" w14:textId="77777777" w:rsidTr="00D32A6E">
        <w:trPr>
          <w:trHeight w:val="340"/>
        </w:trPr>
        <w:tc>
          <w:tcPr>
            <w:tcW w:w="646" w:type="pct"/>
            <w:vAlign w:val="center"/>
          </w:tcPr>
          <w:p w14:paraId="7FE8D30B" w14:textId="77777777" w:rsidR="00C971D0" w:rsidRPr="003D4ED9" w:rsidRDefault="00C971D0" w:rsidP="00D32A6E">
            <w:pPr>
              <w:spacing w:before="60" w:after="60"/>
              <w:jc w:val="center"/>
              <w:rPr>
                <w:rFonts w:ascii="仿宋_GB2312" w:eastAsia="仿宋_GB2312" w:hAnsi="宋体" w:cs="宋体" w:hint="eastAsia"/>
                <w:color w:val="000000"/>
                <w:szCs w:val="21"/>
              </w:rPr>
            </w:pPr>
            <w:r w:rsidRPr="003D4ED9">
              <w:rPr>
                <w:rFonts w:ascii="仿宋_GB2312" w:eastAsia="仿宋_GB2312" w:hAnsi="宋体" w:cs="宋体" w:hint="eastAsia"/>
                <w:color w:val="000000"/>
                <w:szCs w:val="21"/>
              </w:rPr>
              <w:t>1</w:t>
            </w:r>
          </w:p>
        </w:tc>
        <w:tc>
          <w:tcPr>
            <w:tcW w:w="4354" w:type="pct"/>
            <w:vAlign w:val="center"/>
          </w:tcPr>
          <w:p w14:paraId="21F55A2A"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新城街道：</w:t>
            </w:r>
            <w:r w:rsidRPr="003D4ED9">
              <w:rPr>
                <w:rFonts w:ascii="仿宋_GB2312" w:eastAsia="仿宋_GB2312" w:hAnsi="宋体" w:cs="宋体" w:hint="eastAsia"/>
                <w:szCs w:val="21"/>
              </w:rPr>
              <w:t>华侨城社区、锭子桥社区、程江社区、富贵社区、西桥社区。</w:t>
            </w:r>
          </w:p>
          <w:p w14:paraId="5C90B8D3"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831B3">
              <w:rPr>
                <w:rFonts w:ascii="仿宋_GB2312" w:eastAsia="仿宋_GB2312" w:hAnsi="宋体" w:cs="宋体" w:hint="eastAsia"/>
                <w:b/>
                <w:bCs/>
                <w:szCs w:val="21"/>
              </w:rPr>
              <w:t>扶大高新区</w:t>
            </w:r>
            <w:r w:rsidRPr="003D4ED9">
              <w:rPr>
                <w:rFonts w:ascii="仿宋_GB2312" w:eastAsia="仿宋_GB2312" w:hAnsi="宋体" w:cs="宋体" w:hint="eastAsia"/>
                <w:szCs w:val="21"/>
              </w:rPr>
              <w:t>：扶大社区、铁炉桥村、三葵村、所里村、三丰村。</w:t>
            </w:r>
          </w:p>
          <w:p w14:paraId="370F6001"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程江镇：</w:t>
            </w:r>
            <w:r w:rsidRPr="003D4ED9">
              <w:rPr>
                <w:rFonts w:ascii="仿宋_GB2312" w:eastAsia="仿宋_GB2312" w:hAnsi="宋体" w:cs="宋体" w:hint="eastAsia"/>
                <w:szCs w:val="21"/>
              </w:rPr>
              <w:t>槐岗村、周塘村、扶贵村、西山村、扶外村、古塘村、车上村、大沙村、浒洲村、大塘村、大和村、横岗村、长滩村、墩上村。</w:t>
            </w:r>
          </w:p>
          <w:p w14:paraId="63E2C8AC" w14:textId="77777777" w:rsidR="00C971D0" w:rsidRPr="003D4ED9" w:rsidRDefault="00C971D0" w:rsidP="00D32A6E">
            <w:pPr>
              <w:spacing w:before="25" w:after="25" w:line="260" w:lineRule="exact"/>
              <w:jc w:val="left"/>
              <w:rPr>
                <w:rFonts w:ascii="仿宋_GB2312" w:eastAsia="仿宋_GB2312" w:hAnsi="宋体" w:cs="宋体" w:hint="eastAsia"/>
                <w:color w:val="000000"/>
                <w:szCs w:val="21"/>
              </w:rPr>
            </w:pPr>
            <w:r w:rsidRPr="003D4ED9">
              <w:rPr>
                <w:rFonts w:ascii="仿宋_GB2312" w:eastAsia="仿宋_GB2312" w:hAnsi="宋体" w:cs="宋体" w:hint="eastAsia"/>
                <w:b/>
                <w:szCs w:val="21"/>
              </w:rPr>
              <w:t>南口镇：</w:t>
            </w:r>
            <w:r w:rsidRPr="003D4ED9">
              <w:rPr>
                <w:rFonts w:ascii="仿宋_GB2312" w:eastAsia="仿宋_GB2312" w:hAnsi="宋体" w:cs="宋体" w:hint="eastAsia"/>
                <w:szCs w:val="21"/>
              </w:rPr>
              <w:t>葵岗村、瑶燕村、车陂村、仙湖村、南龙村、龙塘村、侨乡村、双桥村、益昌村、葵黄村、锦鸡村、长山村。</w:t>
            </w:r>
          </w:p>
        </w:tc>
      </w:tr>
      <w:tr w:rsidR="00C971D0" w:rsidRPr="003D4ED9" w14:paraId="0907C89D" w14:textId="77777777" w:rsidTr="00D32A6E">
        <w:trPr>
          <w:trHeight w:val="340"/>
        </w:trPr>
        <w:tc>
          <w:tcPr>
            <w:tcW w:w="646" w:type="pct"/>
            <w:vAlign w:val="center"/>
          </w:tcPr>
          <w:p w14:paraId="4AEB1809" w14:textId="77777777" w:rsidR="00C971D0" w:rsidRPr="003D4ED9" w:rsidRDefault="00C971D0" w:rsidP="00D32A6E">
            <w:pPr>
              <w:spacing w:before="60" w:after="60" w:line="240" w:lineRule="exact"/>
              <w:jc w:val="center"/>
              <w:rPr>
                <w:rFonts w:ascii="仿宋_GB2312" w:eastAsia="仿宋_GB2312" w:hAnsi="宋体" w:cs="宋体" w:hint="eastAsia"/>
                <w:color w:val="000000"/>
                <w:szCs w:val="21"/>
              </w:rPr>
            </w:pPr>
            <w:r w:rsidRPr="003D4ED9">
              <w:rPr>
                <w:rFonts w:ascii="仿宋_GB2312" w:eastAsia="仿宋_GB2312" w:hAnsi="宋体" w:cs="宋体" w:hint="eastAsia"/>
                <w:color w:val="000000"/>
                <w:szCs w:val="21"/>
              </w:rPr>
              <w:t>2</w:t>
            </w:r>
          </w:p>
        </w:tc>
        <w:tc>
          <w:tcPr>
            <w:tcW w:w="4354" w:type="pct"/>
            <w:vAlign w:val="center"/>
          </w:tcPr>
          <w:p w14:paraId="3805DCF3"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南口镇：</w:t>
            </w:r>
            <w:r w:rsidRPr="003D4ED9">
              <w:rPr>
                <w:rFonts w:ascii="仿宋_GB2312" w:eastAsia="仿宋_GB2312" w:hAnsi="宋体" w:cs="宋体" w:hint="eastAsia"/>
                <w:szCs w:val="21"/>
              </w:rPr>
              <w:t>赤径村、林径村、南虎村、维山村、榕岗村、洋龙村、琯坑村、松水村、竹香村、白叶村、潭江村、东坑村、群达村、金声村、蕉坑村、鱼田村、响水村、过龙村、太平村、董田村、锦湖村、石陂村、七贤村、荷田村、联合村、太和村、增梅村、瑶美村、瑶西村、铅畲村、文光村、瑶上村、瑶东村、油坊村。</w:t>
            </w:r>
          </w:p>
          <w:p w14:paraId="53FA1B49"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畲江镇：</w:t>
            </w:r>
            <w:r w:rsidRPr="003D4ED9">
              <w:rPr>
                <w:rFonts w:ascii="仿宋_GB2312" w:eastAsia="仿宋_GB2312" w:hAnsi="宋体" w:cs="宋体" w:hint="eastAsia"/>
                <w:szCs w:val="21"/>
              </w:rPr>
              <w:t>中坑村、彰三村、咸和村、彰坑村、杉里村、松林村、太湖村、双龙村、新化村、双螺村、上墩村、成山村、红星村、官铺村、连江村、公和村、叶田村、双溪村、双坪村、松棚村、赤岭村、径心村、叶华村。</w:t>
            </w:r>
          </w:p>
          <w:p w14:paraId="3CF5A486"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雁洋镇：</w:t>
            </w:r>
            <w:r w:rsidRPr="003D4ED9">
              <w:rPr>
                <w:rFonts w:ascii="仿宋_GB2312" w:eastAsia="仿宋_GB2312" w:hAnsi="宋体" w:cs="宋体" w:hint="eastAsia"/>
                <w:szCs w:val="21"/>
              </w:rPr>
              <w:t>塘心村、雁下村、莆里村、雁上村、南福村、鹧鸪村、永福村、雁中村、小都村、上村村、黄坳村、东洲村、大坪村、松坪村、阴那村、对坑村、添溪村、文社村、长教村、石楼村、四和村、甲坑村、林农村、黄沙村、沿边村、高桥村、下村村。</w:t>
            </w:r>
          </w:p>
          <w:p w14:paraId="36B57CD3"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丙村镇：</w:t>
            </w:r>
            <w:r w:rsidRPr="003D4ED9">
              <w:rPr>
                <w:rFonts w:ascii="仿宋_GB2312" w:eastAsia="仿宋_GB2312" w:hAnsi="宋体" w:cs="宋体" w:hint="eastAsia"/>
                <w:szCs w:val="21"/>
              </w:rPr>
              <w:t>芦陵村、旋风村、大雅村、新圩村、程江村、横石村、群丰村、银场村、田头村、溪联村、东溪村、红光村、银二村、黄梅村、银竹村、人和村、梅福村、联和村、雷丰村、郑均村、咀头村。</w:t>
            </w:r>
          </w:p>
          <w:p w14:paraId="6B8283D1" w14:textId="77777777" w:rsidR="00C971D0" w:rsidRPr="003D4ED9" w:rsidRDefault="00C971D0" w:rsidP="00D32A6E">
            <w:pPr>
              <w:spacing w:before="25" w:after="25" w:line="260" w:lineRule="exact"/>
              <w:jc w:val="left"/>
              <w:rPr>
                <w:rFonts w:ascii="仿宋_GB2312" w:eastAsia="仿宋_GB2312" w:hAnsi="宋体" w:cs="宋体" w:hint="eastAsia"/>
                <w:color w:val="000000"/>
                <w:szCs w:val="21"/>
              </w:rPr>
            </w:pPr>
            <w:r w:rsidRPr="003D4ED9">
              <w:rPr>
                <w:rFonts w:ascii="仿宋_GB2312" w:eastAsia="仿宋_GB2312" w:hAnsi="宋体" w:cs="宋体" w:hint="eastAsia"/>
                <w:b/>
                <w:szCs w:val="21"/>
              </w:rPr>
              <w:t>城东镇：</w:t>
            </w:r>
            <w:r w:rsidRPr="003D4ED9">
              <w:rPr>
                <w:rFonts w:ascii="仿宋_GB2312" w:eastAsia="仿宋_GB2312" w:hAnsi="宋体" w:cs="宋体" w:hint="eastAsia"/>
                <w:szCs w:val="21"/>
              </w:rPr>
              <w:t>上坑村、莲塘村、玉水村、葵上村、葵下村、竹洋村、汾水村、谢田村、书坑村、潮塘村、石月村、石下村。</w:t>
            </w:r>
          </w:p>
        </w:tc>
      </w:tr>
      <w:tr w:rsidR="00C971D0" w:rsidRPr="003D4ED9" w14:paraId="63607373" w14:textId="77777777" w:rsidTr="00D32A6E">
        <w:trPr>
          <w:trHeight w:val="340"/>
        </w:trPr>
        <w:tc>
          <w:tcPr>
            <w:tcW w:w="646" w:type="pct"/>
            <w:vAlign w:val="center"/>
          </w:tcPr>
          <w:p w14:paraId="0AA7E0DE" w14:textId="77777777" w:rsidR="00C971D0" w:rsidRPr="003D4ED9" w:rsidRDefault="00C971D0" w:rsidP="00D32A6E">
            <w:pPr>
              <w:spacing w:before="60" w:after="60" w:line="240" w:lineRule="exact"/>
              <w:jc w:val="center"/>
              <w:rPr>
                <w:rFonts w:ascii="仿宋_GB2312" w:eastAsia="仿宋_GB2312" w:hAnsi="宋体" w:cs="宋体" w:hint="eastAsia"/>
                <w:color w:val="000000"/>
                <w:szCs w:val="21"/>
              </w:rPr>
            </w:pPr>
            <w:r w:rsidRPr="003D4ED9">
              <w:rPr>
                <w:rFonts w:ascii="仿宋_GB2312" w:eastAsia="仿宋_GB2312" w:hAnsi="宋体" w:cs="宋体" w:hint="eastAsia"/>
                <w:color w:val="000000"/>
                <w:szCs w:val="21"/>
              </w:rPr>
              <w:t>3</w:t>
            </w:r>
          </w:p>
        </w:tc>
        <w:tc>
          <w:tcPr>
            <w:tcW w:w="4354" w:type="pct"/>
            <w:vAlign w:val="center"/>
          </w:tcPr>
          <w:p w14:paraId="656A501B"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白渡镇：</w:t>
            </w:r>
            <w:r w:rsidRPr="003D4ED9">
              <w:rPr>
                <w:rFonts w:ascii="仿宋_GB2312" w:eastAsia="仿宋_GB2312" w:hAnsi="宋体" w:cs="宋体" w:hint="eastAsia"/>
                <w:szCs w:val="21"/>
              </w:rPr>
              <w:t>沙坪村、蕉南村、瓜洲村、悦一村、建侨村、罗寨村、悦来村、汶水村、三和村、半步村、桃柳村、径口村、峰溪村、凤岭村、嵩溪村、梅大村、嵩灵村、公珠村、赋梅村、江南村、白渡村、创乐村、长田村、蔚彩村。</w:t>
            </w:r>
          </w:p>
          <w:p w14:paraId="3A900323"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szCs w:val="21"/>
              </w:rPr>
              <w:t>松源镇：园潭村、金星村、青塘村、五星村、东王村、新南村、金星村、五星村、园岭村、湾溪村、径口村、彩山村、黄坑村、横坊村、桥市村、荷玉村、桥背村、桥市村、杨阁村、案背村、化联村、豪秀村、白玉村、湖维村、宝坑村。</w:t>
            </w:r>
          </w:p>
          <w:p w14:paraId="41D51BB3"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松口镇：</w:t>
            </w:r>
            <w:r w:rsidRPr="003D4ED9">
              <w:rPr>
                <w:rFonts w:ascii="仿宋_GB2312" w:eastAsia="仿宋_GB2312" w:hAnsi="宋体" w:cs="宋体" w:hint="eastAsia"/>
                <w:szCs w:val="21"/>
              </w:rPr>
              <w:t>松口镇社区、南上村、圳头村、德化村、横西村、大黄村、小黄村、四社村、横东村、蓬上村、蓬下村、径示村、上畲村、中畲村、上井村、山口村、中井村、泰东村、涧田村、洋坑村、桃宝村、梅教村、下井村、三塔村、到车村、</w:t>
            </w:r>
            <w:r w:rsidRPr="003D4ED9">
              <w:rPr>
                <w:rFonts w:ascii="仿宋_GB2312" w:eastAsia="仿宋_GB2312" w:hAnsi="宋体" w:cs="宋体" w:hint="eastAsia"/>
                <w:szCs w:val="21"/>
              </w:rPr>
              <w:lastRenderedPageBreak/>
              <w:t>界溪村、盘龙村、中江村、富坑村、车田村、大涧村、下坪村、铜琶村、官坪村、大力村、大塘村、松郊村、石盘村、南下村、镇郊村、梓育村、寺坑村。</w:t>
            </w:r>
          </w:p>
          <w:p w14:paraId="27946E88"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梅南镇：</w:t>
            </w:r>
            <w:r w:rsidRPr="003D4ED9">
              <w:rPr>
                <w:rFonts w:ascii="仿宋_GB2312" w:eastAsia="仿宋_GB2312" w:hAnsi="宋体" w:cs="宋体" w:hint="eastAsia"/>
                <w:szCs w:val="21"/>
              </w:rPr>
              <w:t>轩内村、轩中村、轩外村、罗田上村、官径村、蓝溪村、罗田下村、南坑村、龙岗村、顺里村、蓝田村、北洞村、水美村、黄礤村、九龙村、新塘村。</w:t>
            </w:r>
          </w:p>
          <w:p w14:paraId="04611C58"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水车镇：</w:t>
            </w:r>
            <w:r w:rsidRPr="003D4ED9">
              <w:rPr>
                <w:rFonts w:ascii="仿宋_GB2312" w:eastAsia="仿宋_GB2312" w:hAnsi="宋体" w:cs="宋体" w:hint="eastAsia"/>
                <w:szCs w:val="21"/>
              </w:rPr>
              <w:t>水车社区、鹅峰村、小立村、灯塔村、石岭村、水声村、白沙村、大新村、安和村、泮坑村、先锋村、安美村、水车村、小桑村、礤下村、双湖村、新湖村、坑尾村、淮洞村。</w:t>
            </w:r>
          </w:p>
          <w:p w14:paraId="1C8913A5"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石坑镇：</w:t>
            </w:r>
            <w:r w:rsidRPr="003D4ED9">
              <w:rPr>
                <w:rFonts w:ascii="仿宋_GB2312" w:eastAsia="仿宋_GB2312" w:hAnsi="宋体" w:cs="宋体" w:hint="eastAsia"/>
                <w:szCs w:val="21"/>
              </w:rPr>
              <w:t>马径村、长埔村、琴江村、七硃村、澄江村、澄坑村、澄上村、龙塘村、扬化村、澄中村、示岭村、示梅村、龙中村、岭村村、龙凤村、蓝坑村、龙径村。</w:t>
            </w:r>
            <w:r w:rsidRPr="003831B3">
              <w:rPr>
                <w:rFonts w:ascii="仿宋_GB2312" w:eastAsia="仿宋_GB2312" w:hAnsi="宋体" w:cs="宋体" w:hint="eastAsia"/>
                <w:b/>
                <w:bCs/>
                <w:szCs w:val="21"/>
              </w:rPr>
              <w:t>梅州市梅南林场</w:t>
            </w:r>
            <w:r w:rsidRPr="003D4ED9">
              <w:rPr>
                <w:rFonts w:ascii="仿宋_GB2312" w:eastAsia="仿宋_GB2312" w:hAnsi="宋体" w:cs="宋体" w:hint="eastAsia"/>
                <w:szCs w:val="21"/>
              </w:rPr>
              <w:t>。</w:t>
            </w:r>
          </w:p>
          <w:p w14:paraId="51C352D8"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梅西镇：</w:t>
            </w:r>
            <w:r w:rsidRPr="003D4ED9">
              <w:rPr>
                <w:rFonts w:ascii="仿宋_GB2312" w:eastAsia="仿宋_GB2312" w:hAnsi="宋体" w:cs="宋体" w:hint="eastAsia"/>
                <w:szCs w:val="21"/>
              </w:rPr>
              <w:t>龙虎社区、车子排社区、三益村、永福村、龙虎村、龙增村、胜塘村、田福村、均田村、罗墩村、宜塘村、石篆村、幸福村、石赖村、丰田村、柱坑村、白面村、车子排村、崇化村</w:t>
            </w:r>
          </w:p>
          <w:p w14:paraId="4D4E0142"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大坪镇：</w:t>
            </w:r>
            <w:r w:rsidRPr="003D4ED9">
              <w:rPr>
                <w:rFonts w:ascii="仿宋_GB2312" w:eastAsia="仿宋_GB2312" w:hAnsi="宋体" w:cs="宋体" w:hint="eastAsia"/>
                <w:szCs w:val="21"/>
              </w:rPr>
              <w:t>大坪村、营里村、坪畲村、育豪村、上和村、清莲村、秀湖村、汤湖村、雷甘村、守台村、三台村、平中村。</w:t>
            </w:r>
          </w:p>
          <w:p w14:paraId="4493242F"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石扇镇：</w:t>
            </w:r>
            <w:r w:rsidRPr="003D4ED9">
              <w:rPr>
                <w:rFonts w:ascii="仿宋_GB2312" w:eastAsia="仿宋_GB2312" w:hAnsi="宋体" w:cs="宋体" w:hint="eastAsia"/>
                <w:szCs w:val="21"/>
              </w:rPr>
              <w:t>圩镇社区、三坑村、新东村、加庄村、巴庄村、银钱村、中和村、松林村、红南村、建新村、中村村、村南村、西南村。</w:t>
            </w:r>
          </w:p>
          <w:p w14:paraId="5BDFE56E"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隆文镇：</w:t>
            </w:r>
            <w:r w:rsidRPr="003D4ED9">
              <w:rPr>
                <w:rFonts w:ascii="仿宋_GB2312" w:eastAsia="仿宋_GB2312" w:hAnsi="宋体" w:cs="宋体" w:hint="eastAsia"/>
                <w:szCs w:val="21"/>
              </w:rPr>
              <w:t>芦溪村、苏溪村、檀江村、梅州村、横坑村、文普村、江上村、村东村、三坑村、坑美村、木寨村、岩前村、横庄村、联坑村。</w:t>
            </w:r>
          </w:p>
          <w:p w14:paraId="37719C4E" w14:textId="77777777" w:rsidR="00C971D0" w:rsidRPr="003D4ED9" w:rsidRDefault="00C971D0" w:rsidP="00D32A6E">
            <w:pPr>
              <w:adjustRightInd w:val="0"/>
              <w:snapToGrid w:val="0"/>
              <w:spacing w:before="25" w:after="25" w:line="260" w:lineRule="exact"/>
              <w:jc w:val="left"/>
              <w:rPr>
                <w:rFonts w:ascii="仿宋_GB2312" w:eastAsia="仿宋_GB2312" w:hAnsi="宋体" w:cs="宋体" w:hint="eastAsia"/>
                <w:szCs w:val="21"/>
              </w:rPr>
            </w:pPr>
            <w:r w:rsidRPr="003D4ED9">
              <w:rPr>
                <w:rFonts w:ascii="仿宋_GB2312" w:eastAsia="仿宋_GB2312" w:hAnsi="宋体" w:cs="宋体" w:hint="eastAsia"/>
                <w:b/>
                <w:szCs w:val="21"/>
              </w:rPr>
              <w:t>桃尧镇：</w:t>
            </w:r>
            <w:r w:rsidRPr="003D4ED9">
              <w:rPr>
                <w:rFonts w:ascii="仿宋_GB2312" w:eastAsia="仿宋_GB2312" w:hAnsi="宋体" w:cs="宋体" w:hint="eastAsia"/>
                <w:szCs w:val="21"/>
              </w:rPr>
              <w:t>黄沙村、桃源村、珠玉村、桃溪村、麻坝村、余坑村、澄坑村、练坑村、螺江村、显朝村、松林村、大美村、诰上村、竹岌村、深教村。</w:t>
            </w:r>
          </w:p>
          <w:p w14:paraId="1C863308" w14:textId="77777777" w:rsidR="00C971D0" w:rsidRPr="003D4ED9" w:rsidRDefault="00C971D0" w:rsidP="00D32A6E">
            <w:pPr>
              <w:spacing w:before="25" w:after="25" w:line="260" w:lineRule="exact"/>
              <w:jc w:val="left"/>
              <w:rPr>
                <w:rFonts w:ascii="仿宋_GB2312" w:eastAsia="仿宋_GB2312" w:hAnsi="宋体" w:cs="宋体" w:hint="eastAsia"/>
                <w:b/>
                <w:color w:val="000000"/>
                <w:szCs w:val="21"/>
              </w:rPr>
            </w:pPr>
            <w:r w:rsidRPr="003D4ED9">
              <w:rPr>
                <w:rFonts w:ascii="仿宋_GB2312" w:eastAsia="仿宋_GB2312" w:hAnsi="宋体" w:cs="宋体" w:hint="eastAsia"/>
                <w:b/>
                <w:szCs w:val="21"/>
              </w:rPr>
              <w:t>梅西水库。</w:t>
            </w:r>
          </w:p>
        </w:tc>
      </w:tr>
    </w:tbl>
    <w:p w14:paraId="02005297" w14:textId="59162FED" w:rsidR="00C971D0" w:rsidRPr="00C971D0" w:rsidRDefault="00C971D0" w:rsidP="00C971D0">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lastRenderedPageBreak/>
        <w:t>（二）区片价标准及土地补偿费、安置</w:t>
      </w:r>
      <w:r>
        <w:rPr>
          <w:rFonts w:ascii="Times New Roman" w:eastAsia="仿宋_GB2312" w:hAnsi="Times New Roman" w:cs="Times New Roman" w:hint="eastAsia"/>
          <w:sz w:val="28"/>
          <w:szCs w:val="28"/>
        </w:rPr>
        <w:t>补助</w:t>
      </w:r>
      <w:r w:rsidRPr="00C971D0">
        <w:rPr>
          <w:rFonts w:ascii="Times New Roman" w:eastAsia="仿宋_GB2312" w:hAnsi="Times New Roman" w:cs="Times New Roman" w:hint="eastAsia"/>
          <w:sz w:val="28"/>
          <w:szCs w:val="28"/>
        </w:rPr>
        <w:t>费分配比例</w:t>
      </w:r>
    </w:p>
    <w:p w14:paraId="616D27D8" w14:textId="14418EEE" w:rsidR="00C971D0" w:rsidRPr="00C971D0" w:rsidRDefault="006B4E19" w:rsidP="00C971D0">
      <w:pPr>
        <w:widowControl/>
        <w:wordWrap w:val="0"/>
        <w:spacing w:line="360" w:lineRule="auto"/>
        <w:ind w:firstLine="540"/>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在现在标准基础上，</w:t>
      </w:r>
      <w:r w:rsidR="00C971D0" w:rsidRPr="00C971D0">
        <w:rPr>
          <w:rFonts w:ascii="Times New Roman" w:eastAsia="仿宋_GB2312" w:hAnsi="Times New Roman" w:cs="Times New Roman" w:hint="eastAsia"/>
          <w:sz w:val="28"/>
          <w:szCs w:val="28"/>
        </w:rPr>
        <w:t>依据土地原用途、土地资源条件、土地产值、土地区位、土地供求关系、人口以及经济社会发展水平等因素综合</w:t>
      </w:r>
      <w:r>
        <w:rPr>
          <w:rFonts w:ascii="Times New Roman" w:eastAsia="仿宋_GB2312" w:hAnsi="Times New Roman" w:cs="Times New Roman" w:hint="eastAsia"/>
          <w:sz w:val="28"/>
          <w:szCs w:val="28"/>
        </w:rPr>
        <w:t>核对分析</w:t>
      </w:r>
      <w:r w:rsidR="00C971D0" w:rsidRPr="00C971D0">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确定</w:t>
      </w:r>
      <w:r w:rsidR="00C971D0" w:rsidRPr="00C971D0">
        <w:rPr>
          <w:rFonts w:ascii="Times New Roman" w:eastAsia="仿宋_GB2312" w:hAnsi="Times New Roman" w:cs="Times New Roman" w:hint="eastAsia"/>
          <w:sz w:val="28"/>
          <w:szCs w:val="28"/>
        </w:rPr>
        <w:t>梅县区征收农用地区片综合地价标准及土地补偿费、安置</w:t>
      </w:r>
      <w:bookmarkStart w:id="6" w:name="OLE_LINK116"/>
      <w:r w:rsidR="00C971D0" w:rsidRPr="00C971D0">
        <w:rPr>
          <w:rFonts w:ascii="Times New Roman" w:eastAsia="仿宋_GB2312" w:hAnsi="Times New Roman" w:cs="Times New Roman" w:hint="eastAsia"/>
          <w:sz w:val="28"/>
          <w:szCs w:val="28"/>
        </w:rPr>
        <w:t>补助</w:t>
      </w:r>
      <w:bookmarkEnd w:id="6"/>
      <w:r w:rsidR="00C971D0" w:rsidRPr="00C971D0">
        <w:rPr>
          <w:rFonts w:ascii="Times New Roman" w:eastAsia="仿宋_GB2312" w:hAnsi="Times New Roman" w:cs="Times New Roman" w:hint="eastAsia"/>
          <w:sz w:val="28"/>
          <w:szCs w:val="28"/>
        </w:rPr>
        <w:t>费分配比例。</w:t>
      </w:r>
    </w:p>
    <w:p w14:paraId="339E8421" w14:textId="34164731" w:rsidR="00C971D0" w:rsidRPr="00C971D0" w:rsidRDefault="008C05F7" w:rsidP="00C971D0">
      <w:pPr>
        <w:widowControl/>
        <w:spacing w:line="360" w:lineRule="auto"/>
        <w:ind w:firstLine="54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梅县区</w:t>
      </w:r>
      <w:r w:rsidR="00C971D0" w:rsidRPr="00C971D0">
        <w:rPr>
          <w:rFonts w:ascii="Times New Roman" w:eastAsia="仿宋_GB2312" w:hAnsi="Times New Roman" w:cs="Times New Roman" w:hint="eastAsia"/>
          <w:sz w:val="24"/>
          <w:szCs w:val="24"/>
        </w:rPr>
        <w:t>征收农用地</w:t>
      </w:r>
      <w:r>
        <w:rPr>
          <w:rFonts w:ascii="Times New Roman" w:eastAsia="仿宋_GB2312" w:hAnsi="Times New Roman" w:cs="Times New Roman" w:hint="eastAsia"/>
          <w:sz w:val="24"/>
          <w:szCs w:val="24"/>
        </w:rPr>
        <w:t>区片</w:t>
      </w:r>
      <w:r w:rsidR="00C971D0" w:rsidRPr="00C971D0">
        <w:rPr>
          <w:rFonts w:ascii="Times New Roman" w:eastAsia="仿宋_GB2312" w:hAnsi="Times New Roman" w:cs="Times New Roman" w:hint="eastAsia"/>
          <w:sz w:val="24"/>
          <w:szCs w:val="24"/>
        </w:rPr>
        <w:t>综合地价表</w:t>
      </w:r>
    </w:p>
    <w:tbl>
      <w:tblPr>
        <w:tblW w:w="4999"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96"/>
        <w:gridCol w:w="1197"/>
        <w:gridCol w:w="1247"/>
        <w:gridCol w:w="1604"/>
        <w:gridCol w:w="865"/>
        <w:gridCol w:w="1552"/>
        <w:gridCol w:w="953"/>
      </w:tblGrid>
      <w:tr w:rsidR="00C971D0" w:rsidRPr="00C971D0" w14:paraId="5B28EAE3" w14:textId="77777777" w:rsidTr="00C971D0">
        <w:trPr>
          <w:trHeight w:val="340"/>
          <w:jc w:val="center"/>
        </w:trPr>
        <w:tc>
          <w:tcPr>
            <w:tcW w:w="694" w:type="pct"/>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633FBDBA"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区域</w:t>
            </w:r>
          </w:p>
          <w:p w14:paraId="1F5E7D50"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名称</w:t>
            </w:r>
          </w:p>
        </w:tc>
        <w:tc>
          <w:tcPr>
            <w:tcW w:w="695" w:type="pct"/>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06FA1964"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区片</w:t>
            </w:r>
          </w:p>
          <w:p w14:paraId="43ACD510"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编号</w:t>
            </w:r>
          </w:p>
        </w:tc>
        <w:tc>
          <w:tcPr>
            <w:tcW w:w="3612" w:type="pct"/>
            <w:gridSpan w:val="5"/>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5876A871"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区片综合地价（万元/亩）</w:t>
            </w:r>
          </w:p>
        </w:tc>
      </w:tr>
      <w:tr w:rsidR="00C971D0" w:rsidRPr="00C971D0" w14:paraId="7425FFA9" w14:textId="77777777" w:rsidTr="00C971D0">
        <w:trPr>
          <w:trHeight w:val="340"/>
          <w:jc w:val="center"/>
        </w:trPr>
        <w:tc>
          <w:tcPr>
            <w:tcW w:w="694" w:type="pct"/>
            <w:vMerge/>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4BC7FFA0" w14:textId="77777777" w:rsidR="00C971D0" w:rsidRPr="00C971D0" w:rsidRDefault="00C971D0" w:rsidP="00C971D0">
            <w:pPr>
              <w:jc w:val="center"/>
              <w:textAlignment w:val="center"/>
              <w:rPr>
                <w:rFonts w:ascii="仿宋_GB2312" w:eastAsia="仿宋_GB2312" w:hAnsi="楷体" w:hint="eastAsia"/>
                <w:kern w:val="0"/>
                <w:szCs w:val="21"/>
                <w:lang w:bidi="ar"/>
              </w:rPr>
            </w:pPr>
          </w:p>
        </w:tc>
        <w:tc>
          <w:tcPr>
            <w:tcW w:w="695" w:type="pct"/>
            <w:vMerge/>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52A66BF3" w14:textId="77777777" w:rsidR="00C971D0" w:rsidRPr="00C971D0" w:rsidRDefault="00C971D0" w:rsidP="00C971D0">
            <w:pPr>
              <w:jc w:val="center"/>
              <w:textAlignment w:val="center"/>
              <w:rPr>
                <w:rFonts w:ascii="仿宋_GB2312" w:eastAsia="仿宋_GB2312" w:hAnsi="楷体" w:hint="eastAsia"/>
                <w:kern w:val="0"/>
                <w:szCs w:val="21"/>
                <w:lang w:bidi="ar"/>
              </w:rPr>
            </w:pPr>
          </w:p>
        </w:tc>
        <w:tc>
          <w:tcPr>
            <w:tcW w:w="72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5588266A"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合计</w:t>
            </w:r>
          </w:p>
        </w:tc>
        <w:tc>
          <w:tcPr>
            <w:tcW w:w="93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633681E1"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土地补偿费</w:t>
            </w:r>
          </w:p>
        </w:tc>
        <w:tc>
          <w:tcPr>
            <w:tcW w:w="502"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3D21789E"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占比</w:t>
            </w:r>
          </w:p>
        </w:tc>
        <w:tc>
          <w:tcPr>
            <w:tcW w:w="90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481D241C"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安置补助费</w:t>
            </w:r>
          </w:p>
        </w:tc>
        <w:tc>
          <w:tcPr>
            <w:tcW w:w="55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0FF106E"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占比</w:t>
            </w:r>
          </w:p>
        </w:tc>
      </w:tr>
      <w:tr w:rsidR="00C971D0" w:rsidRPr="00C971D0" w14:paraId="73F89E50" w14:textId="77777777" w:rsidTr="00C971D0">
        <w:trPr>
          <w:trHeight w:val="340"/>
          <w:jc w:val="center"/>
        </w:trPr>
        <w:tc>
          <w:tcPr>
            <w:tcW w:w="694" w:type="pct"/>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70CDDCF8"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梅县区</w:t>
            </w:r>
          </w:p>
        </w:tc>
        <w:tc>
          <w:tcPr>
            <w:tcW w:w="695"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4A3098F"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1</w:t>
            </w:r>
          </w:p>
        </w:tc>
        <w:tc>
          <w:tcPr>
            <w:tcW w:w="72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1DB28958"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7.10</w:t>
            </w:r>
          </w:p>
        </w:tc>
        <w:tc>
          <w:tcPr>
            <w:tcW w:w="93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654BB900"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2.84</w:t>
            </w:r>
          </w:p>
        </w:tc>
        <w:tc>
          <w:tcPr>
            <w:tcW w:w="502"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5053282"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40%</w:t>
            </w:r>
          </w:p>
        </w:tc>
        <w:tc>
          <w:tcPr>
            <w:tcW w:w="90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536F6238"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4.26</w:t>
            </w:r>
          </w:p>
        </w:tc>
        <w:tc>
          <w:tcPr>
            <w:tcW w:w="55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7317D2A3"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60%</w:t>
            </w:r>
          </w:p>
        </w:tc>
      </w:tr>
      <w:tr w:rsidR="00C971D0" w:rsidRPr="00C971D0" w14:paraId="0AF25079" w14:textId="77777777" w:rsidTr="00C971D0">
        <w:trPr>
          <w:trHeight w:val="340"/>
          <w:jc w:val="center"/>
        </w:trPr>
        <w:tc>
          <w:tcPr>
            <w:tcW w:w="694" w:type="pct"/>
            <w:vMerge/>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3DE60DF" w14:textId="77777777" w:rsidR="00C971D0" w:rsidRPr="00C971D0" w:rsidRDefault="00C971D0" w:rsidP="00C971D0">
            <w:pPr>
              <w:jc w:val="center"/>
              <w:textAlignment w:val="center"/>
              <w:rPr>
                <w:rFonts w:ascii="仿宋_GB2312" w:eastAsia="仿宋_GB2312" w:hAnsi="楷体" w:hint="eastAsia"/>
                <w:kern w:val="0"/>
                <w:szCs w:val="21"/>
                <w:lang w:bidi="ar"/>
              </w:rPr>
            </w:pPr>
          </w:p>
        </w:tc>
        <w:tc>
          <w:tcPr>
            <w:tcW w:w="695"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536FD97"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2</w:t>
            </w:r>
          </w:p>
        </w:tc>
        <w:tc>
          <w:tcPr>
            <w:tcW w:w="72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49AB54A2"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6.30</w:t>
            </w:r>
          </w:p>
        </w:tc>
        <w:tc>
          <w:tcPr>
            <w:tcW w:w="93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4CDAAF54"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2.52</w:t>
            </w:r>
          </w:p>
        </w:tc>
        <w:tc>
          <w:tcPr>
            <w:tcW w:w="502"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7C85199B"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40%</w:t>
            </w:r>
          </w:p>
        </w:tc>
        <w:tc>
          <w:tcPr>
            <w:tcW w:w="90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19344553"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3.78</w:t>
            </w:r>
          </w:p>
        </w:tc>
        <w:tc>
          <w:tcPr>
            <w:tcW w:w="55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055437EE"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60%</w:t>
            </w:r>
          </w:p>
        </w:tc>
      </w:tr>
      <w:tr w:rsidR="00C971D0" w:rsidRPr="00C971D0" w14:paraId="0C86649E" w14:textId="77777777" w:rsidTr="00C971D0">
        <w:trPr>
          <w:trHeight w:val="340"/>
          <w:jc w:val="center"/>
        </w:trPr>
        <w:tc>
          <w:tcPr>
            <w:tcW w:w="694" w:type="pct"/>
            <w:vMerge/>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0D05EF7A" w14:textId="77777777" w:rsidR="00C971D0" w:rsidRPr="00C971D0" w:rsidRDefault="00C971D0" w:rsidP="00C971D0">
            <w:pPr>
              <w:jc w:val="center"/>
              <w:textAlignment w:val="center"/>
              <w:rPr>
                <w:rFonts w:ascii="仿宋_GB2312" w:eastAsia="仿宋_GB2312" w:hAnsi="楷体" w:hint="eastAsia"/>
                <w:kern w:val="0"/>
                <w:szCs w:val="21"/>
                <w:lang w:bidi="ar"/>
              </w:rPr>
            </w:pPr>
          </w:p>
        </w:tc>
        <w:tc>
          <w:tcPr>
            <w:tcW w:w="695"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37C0D3AB"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3</w:t>
            </w:r>
          </w:p>
        </w:tc>
        <w:tc>
          <w:tcPr>
            <w:tcW w:w="72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7B85115F"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5.75</w:t>
            </w:r>
          </w:p>
        </w:tc>
        <w:tc>
          <w:tcPr>
            <w:tcW w:w="93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3AF869F1"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2.30</w:t>
            </w:r>
          </w:p>
        </w:tc>
        <w:tc>
          <w:tcPr>
            <w:tcW w:w="502"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670502EA"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40%</w:t>
            </w:r>
          </w:p>
        </w:tc>
        <w:tc>
          <w:tcPr>
            <w:tcW w:w="901"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464DA5F8"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3.45</w:t>
            </w:r>
          </w:p>
        </w:tc>
        <w:tc>
          <w:tcPr>
            <w:tcW w:w="554"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tcPr>
          <w:p w14:paraId="2BE50891" w14:textId="77777777" w:rsidR="00C971D0" w:rsidRPr="00C971D0" w:rsidRDefault="00C971D0" w:rsidP="00C971D0">
            <w:pPr>
              <w:jc w:val="center"/>
              <w:textAlignment w:val="center"/>
              <w:rPr>
                <w:rFonts w:ascii="仿宋_GB2312" w:eastAsia="仿宋_GB2312" w:hAnsi="楷体" w:hint="eastAsia"/>
                <w:kern w:val="0"/>
                <w:szCs w:val="21"/>
                <w:lang w:bidi="ar"/>
              </w:rPr>
            </w:pPr>
            <w:r w:rsidRPr="00C971D0">
              <w:rPr>
                <w:rFonts w:ascii="仿宋_GB2312" w:eastAsia="仿宋_GB2312" w:hAnsi="楷体" w:hint="eastAsia"/>
                <w:kern w:val="0"/>
                <w:szCs w:val="21"/>
                <w:lang w:bidi="ar"/>
              </w:rPr>
              <w:t>60%</w:t>
            </w:r>
          </w:p>
        </w:tc>
      </w:tr>
    </w:tbl>
    <w:p w14:paraId="1ACEAEE2" w14:textId="77777777" w:rsidR="00C971D0" w:rsidRPr="00C971D0" w:rsidRDefault="00C971D0" w:rsidP="00C971D0">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t>（三）地类调节系数情况</w:t>
      </w:r>
    </w:p>
    <w:p w14:paraId="0617D166" w14:textId="3A0EB969" w:rsidR="00C971D0" w:rsidRPr="00C971D0" w:rsidRDefault="00C971D0" w:rsidP="00C971D0">
      <w:pPr>
        <w:widowControl/>
        <w:wordWrap w:val="0"/>
        <w:spacing w:line="360" w:lineRule="auto"/>
        <w:ind w:firstLine="540"/>
        <w:jc w:val="left"/>
        <w:rPr>
          <w:rFonts w:ascii="Times New Roman" w:eastAsia="仿宋_GB2312" w:hAnsi="Times New Roman" w:cs="Times New Roman"/>
          <w:sz w:val="28"/>
          <w:szCs w:val="28"/>
        </w:rPr>
      </w:pPr>
      <w:r w:rsidRPr="00C971D0">
        <w:rPr>
          <w:rFonts w:ascii="Times New Roman" w:eastAsia="仿宋_GB2312" w:hAnsi="Times New Roman" w:cs="Times New Roman" w:hint="eastAsia"/>
          <w:sz w:val="28"/>
          <w:szCs w:val="28"/>
        </w:rPr>
        <w:t>根据现行梅县区征收农用地区片综合地价，结合梅县区实际情况，设定林地</w:t>
      </w:r>
      <w:bookmarkStart w:id="7" w:name="OLE_LINK2"/>
      <w:bookmarkStart w:id="8" w:name="OLE_LINK3"/>
      <w:r w:rsidRPr="00C971D0">
        <w:rPr>
          <w:rFonts w:ascii="Times New Roman" w:eastAsia="仿宋_GB2312" w:hAnsi="Times New Roman" w:cs="Times New Roman" w:hint="eastAsia"/>
          <w:sz w:val="28"/>
          <w:szCs w:val="28"/>
        </w:rPr>
        <w:t>地类调节系数</w:t>
      </w:r>
      <w:r w:rsidRPr="00C971D0">
        <w:rPr>
          <w:rFonts w:ascii="Times New Roman" w:eastAsia="仿宋_GB2312" w:hAnsi="Times New Roman" w:cs="Times New Roman"/>
          <w:sz w:val="28"/>
          <w:szCs w:val="28"/>
        </w:rPr>
        <w:t>0.30</w:t>
      </w:r>
      <w:bookmarkEnd w:id="7"/>
      <w:bookmarkEnd w:id="8"/>
      <w:r w:rsidR="006B4E19">
        <w:rPr>
          <w:rFonts w:ascii="Times New Roman" w:eastAsia="仿宋_GB2312" w:hAnsi="Times New Roman" w:cs="Times New Roman" w:hint="eastAsia"/>
          <w:sz w:val="28"/>
          <w:szCs w:val="28"/>
        </w:rPr>
        <w:t>、园地</w:t>
      </w:r>
      <w:r w:rsidR="006B4E19" w:rsidRPr="00C971D0">
        <w:rPr>
          <w:rFonts w:ascii="Times New Roman" w:eastAsia="仿宋_GB2312" w:hAnsi="Times New Roman" w:cs="Times New Roman" w:hint="eastAsia"/>
          <w:sz w:val="28"/>
          <w:szCs w:val="28"/>
        </w:rPr>
        <w:t>地类调节系数</w:t>
      </w:r>
      <w:r w:rsidR="006B4E19" w:rsidRPr="00C971D0">
        <w:rPr>
          <w:rFonts w:ascii="Times New Roman" w:eastAsia="仿宋_GB2312" w:hAnsi="Times New Roman" w:cs="Times New Roman"/>
          <w:sz w:val="28"/>
          <w:szCs w:val="28"/>
        </w:rPr>
        <w:t>0.</w:t>
      </w:r>
      <w:r w:rsidR="006B4E19">
        <w:rPr>
          <w:rFonts w:ascii="Times New Roman" w:eastAsia="仿宋_GB2312" w:hAnsi="Times New Roman" w:cs="Times New Roman" w:hint="eastAsia"/>
          <w:sz w:val="28"/>
          <w:szCs w:val="28"/>
        </w:rPr>
        <w:t>95</w:t>
      </w:r>
      <w:r w:rsidRPr="00C971D0">
        <w:rPr>
          <w:rFonts w:ascii="Times New Roman" w:eastAsia="仿宋_GB2312" w:hAnsi="Times New Roman" w:cs="Times New Roman" w:hint="eastAsia"/>
          <w:sz w:val="28"/>
          <w:szCs w:val="28"/>
        </w:rPr>
        <w:t>进行调节；征收</w:t>
      </w:r>
      <w:r w:rsidRPr="00C971D0">
        <w:rPr>
          <w:rFonts w:ascii="Times New Roman" w:eastAsia="仿宋_GB2312" w:hAnsi="Times New Roman" w:cs="Times New Roman" w:hint="eastAsia"/>
          <w:sz w:val="28"/>
          <w:szCs w:val="28"/>
        </w:rPr>
        <w:lastRenderedPageBreak/>
        <w:t>建设用地参照征收农用地区片综合地价执行</w:t>
      </w:r>
      <w:r>
        <w:rPr>
          <w:rFonts w:ascii="Times New Roman" w:eastAsia="仿宋_GB2312" w:hAnsi="Times New Roman" w:cs="Times New Roman" w:hint="eastAsia"/>
          <w:sz w:val="28"/>
          <w:szCs w:val="28"/>
        </w:rPr>
        <w:t>；</w:t>
      </w:r>
      <w:r w:rsidRPr="00C971D0">
        <w:rPr>
          <w:rFonts w:ascii="Times New Roman" w:eastAsia="仿宋_GB2312" w:hAnsi="Times New Roman" w:cs="Times New Roman" w:hint="eastAsia"/>
          <w:sz w:val="28"/>
          <w:szCs w:val="28"/>
        </w:rPr>
        <w:t>征收未利用地参照征收农用地区片综合地价设定调节系数</w:t>
      </w:r>
      <w:r w:rsidRPr="00C971D0">
        <w:rPr>
          <w:rFonts w:ascii="Times New Roman" w:eastAsia="仿宋_GB2312" w:hAnsi="Times New Roman" w:cs="Times New Roman"/>
          <w:sz w:val="28"/>
          <w:szCs w:val="28"/>
        </w:rPr>
        <w:t>0.4</w:t>
      </w:r>
      <w:r w:rsidRPr="00C971D0">
        <w:rPr>
          <w:rFonts w:ascii="Times New Roman" w:eastAsia="仿宋_GB2312" w:hAnsi="Times New Roman" w:cs="Times New Roman" w:hint="eastAsia"/>
          <w:sz w:val="28"/>
          <w:szCs w:val="28"/>
        </w:rPr>
        <w:t>执行。</w:t>
      </w:r>
    </w:p>
    <w:p w14:paraId="4AA77E2A" w14:textId="2EDE7584" w:rsidR="002F6FA5" w:rsidRPr="008C05F7" w:rsidRDefault="008C05F7" w:rsidP="008C05F7">
      <w:pPr>
        <w:spacing w:line="560" w:lineRule="exact"/>
        <w:rPr>
          <w:rFonts w:ascii="Times New Roman" w:eastAsia="黑体" w:hAnsi="Times New Roman" w:cs="Times New Roman"/>
          <w:bCs/>
          <w:sz w:val="28"/>
          <w:szCs w:val="28"/>
        </w:rPr>
      </w:pPr>
      <w:r>
        <w:rPr>
          <w:rFonts w:ascii="Times New Roman" w:eastAsia="黑体" w:hAnsi="Times New Roman" w:cs="Times New Roman" w:hint="eastAsia"/>
          <w:bCs/>
          <w:sz w:val="28"/>
          <w:szCs w:val="28"/>
        </w:rPr>
        <w:t>六、</w:t>
      </w:r>
      <w:r w:rsidR="00925E26" w:rsidRPr="008C05F7">
        <w:rPr>
          <w:rFonts w:ascii="Times New Roman" w:eastAsia="黑体" w:hAnsi="Times New Roman" w:cs="Times New Roman" w:hint="eastAsia"/>
          <w:bCs/>
          <w:sz w:val="28"/>
          <w:szCs w:val="28"/>
        </w:rPr>
        <w:t>成果</w:t>
      </w:r>
      <w:r w:rsidR="004014BF" w:rsidRPr="008C05F7">
        <w:rPr>
          <w:rFonts w:ascii="Times New Roman" w:eastAsia="黑体" w:hAnsi="Times New Roman" w:cs="Times New Roman" w:hint="eastAsia"/>
          <w:bCs/>
          <w:sz w:val="28"/>
          <w:szCs w:val="28"/>
        </w:rPr>
        <w:t>特点</w:t>
      </w:r>
    </w:p>
    <w:p w14:paraId="7811EAC8" w14:textId="0B964AD0" w:rsidR="00A537B2" w:rsidRPr="00DD16A2" w:rsidRDefault="00653479" w:rsidP="00A537B2">
      <w:pPr>
        <w:spacing w:line="560" w:lineRule="exact"/>
        <w:ind w:firstLineChars="200" w:firstLine="560"/>
        <w:rPr>
          <w:rFonts w:ascii="Times New Roman" w:eastAsia="仿宋_GB2312" w:hAnsi="Times New Roman" w:cs="Times New Roman"/>
          <w:sz w:val="28"/>
          <w:szCs w:val="28"/>
        </w:rPr>
      </w:pPr>
      <w:r w:rsidRPr="00653479">
        <w:rPr>
          <w:rFonts w:ascii="Times New Roman" w:eastAsia="仿宋_GB2312" w:hAnsi="Times New Roman" w:cs="Times New Roman"/>
          <w:sz w:val="28"/>
          <w:szCs w:val="28"/>
        </w:rPr>
        <w:t>本次梅县区征收农用地区片综合地价</w:t>
      </w:r>
      <w:r w:rsidR="006B4E19">
        <w:rPr>
          <w:rFonts w:ascii="Times New Roman" w:eastAsia="仿宋_GB2312" w:hAnsi="Times New Roman" w:cs="Times New Roman" w:hint="eastAsia"/>
          <w:sz w:val="28"/>
          <w:szCs w:val="28"/>
        </w:rPr>
        <w:t>调整</w:t>
      </w:r>
      <w:r w:rsidRPr="00653479">
        <w:rPr>
          <w:rFonts w:ascii="Times New Roman" w:eastAsia="仿宋_GB2312" w:hAnsi="Times New Roman" w:cs="Times New Roman"/>
          <w:sz w:val="28"/>
          <w:szCs w:val="28"/>
        </w:rPr>
        <w:t>成果，总体延续三级区片空间格局，区片边界以行政村为单元精细化校核；综合区位、经济、交通、征地案例、规划预期等多因素科学测算，</w:t>
      </w:r>
      <w:r w:rsidR="008C05F7" w:rsidRPr="008C05F7">
        <w:rPr>
          <w:rFonts w:ascii="Times New Roman" w:eastAsia="仿宋_GB2312" w:hAnsi="Times New Roman" w:cs="Times New Roman"/>
          <w:sz w:val="28"/>
          <w:szCs w:val="28"/>
        </w:rPr>
        <w:t>地价水平客观合理</w:t>
      </w:r>
      <w:r w:rsidRPr="00653479">
        <w:rPr>
          <w:rFonts w:ascii="Times New Roman" w:eastAsia="仿宋_GB2312" w:hAnsi="Times New Roman" w:cs="Times New Roman"/>
          <w:sz w:val="28"/>
          <w:szCs w:val="28"/>
        </w:rPr>
        <w:t>；成果做好新旧补偿标准平稳衔接，全区统一土地补偿费与安置补助费分配比例，地价内涵明确，可操作性强，既保障被征地农民合法权益，又适配梅县区城镇与产业发展布局，能够有效服务全区今后一段时期土地征收工作。</w:t>
      </w:r>
    </w:p>
    <w:p w14:paraId="29B2BD99" w14:textId="2680661A" w:rsidR="00AD41C7" w:rsidRPr="008C05F7" w:rsidRDefault="008C05F7" w:rsidP="008C05F7">
      <w:pPr>
        <w:spacing w:line="560" w:lineRule="exact"/>
        <w:rPr>
          <w:rFonts w:ascii="Times New Roman" w:eastAsia="黑体" w:hAnsi="Times New Roman" w:cs="Times New Roman"/>
          <w:bCs/>
          <w:sz w:val="28"/>
          <w:szCs w:val="28"/>
        </w:rPr>
      </w:pPr>
      <w:r>
        <w:rPr>
          <w:rFonts w:ascii="Times New Roman" w:eastAsia="黑体" w:hAnsi="Times New Roman" w:cs="Times New Roman" w:hint="eastAsia"/>
          <w:bCs/>
          <w:sz w:val="28"/>
          <w:szCs w:val="28"/>
        </w:rPr>
        <w:t>七、</w:t>
      </w:r>
      <w:bookmarkStart w:id="9" w:name="OLE_LINK125"/>
      <w:r w:rsidR="00AD41C7" w:rsidRPr="008C05F7">
        <w:rPr>
          <w:rFonts w:ascii="Times New Roman" w:eastAsia="黑体" w:hAnsi="Times New Roman" w:cs="Times New Roman"/>
          <w:bCs/>
          <w:sz w:val="28"/>
          <w:szCs w:val="28"/>
        </w:rPr>
        <w:t>利企惠民措施</w:t>
      </w:r>
      <w:bookmarkEnd w:id="9"/>
    </w:p>
    <w:p w14:paraId="492065DB" w14:textId="605C88AB" w:rsidR="00AD41C7" w:rsidRPr="00AD41C7" w:rsidRDefault="00AD41C7" w:rsidP="00AD41C7">
      <w:pPr>
        <w:overflowPunct w:val="0"/>
        <w:spacing w:line="560" w:lineRule="exact"/>
        <w:ind w:firstLineChars="200" w:firstLine="560"/>
        <w:rPr>
          <w:rFonts w:ascii="Times New Roman" w:eastAsia="仿宋_GB2312" w:hAnsi="Times New Roman" w:cs="Times New Roman"/>
          <w:bCs/>
          <w:sz w:val="28"/>
          <w:szCs w:val="28"/>
        </w:rPr>
      </w:pPr>
      <w:r w:rsidRPr="00AD41C7">
        <w:rPr>
          <w:rFonts w:ascii="Times New Roman" w:eastAsia="仿宋_GB2312" w:hAnsi="Times New Roman" w:cs="Times New Roman"/>
          <w:bCs/>
          <w:sz w:val="28"/>
          <w:szCs w:val="28"/>
        </w:rPr>
        <w:t>本成果</w:t>
      </w:r>
      <w:r w:rsidR="00E422DF" w:rsidRPr="00DD16A2">
        <w:rPr>
          <w:rFonts w:ascii="Times New Roman" w:eastAsia="仿宋_GB2312" w:hAnsi="Times New Roman" w:cs="Times New Roman" w:hint="eastAsia"/>
          <w:sz w:val="28"/>
          <w:szCs w:val="28"/>
        </w:rPr>
        <w:t>切实保障被征地农民的土地财产权益</w:t>
      </w:r>
      <w:r w:rsidR="00E422DF">
        <w:rPr>
          <w:rFonts w:ascii="Times New Roman" w:eastAsia="仿宋_GB2312" w:hAnsi="Times New Roman" w:cs="Times New Roman" w:hint="eastAsia"/>
          <w:bCs/>
          <w:sz w:val="28"/>
          <w:szCs w:val="28"/>
        </w:rPr>
        <w:t>，</w:t>
      </w:r>
      <w:r w:rsidR="00E422DF" w:rsidRPr="00DD16A2">
        <w:rPr>
          <w:rFonts w:ascii="Times New Roman" w:eastAsia="仿宋_GB2312" w:hAnsi="Times New Roman" w:cs="Times New Roman" w:hint="eastAsia"/>
          <w:sz w:val="28"/>
          <w:szCs w:val="28"/>
        </w:rPr>
        <w:t>确保</w:t>
      </w:r>
      <w:r w:rsidR="00E422DF">
        <w:rPr>
          <w:rFonts w:ascii="Times New Roman" w:eastAsia="仿宋_GB2312" w:hAnsi="Times New Roman" w:cs="Times New Roman" w:hint="eastAsia"/>
          <w:sz w:val="28"/>
          <w:szCs w:val="28"/>
        </w:rPr>
        <w:t>政府</w:t>
      </w:r>
      <w:r w:rsidR="00E422DF" w:rsidRPr="00DD16A2">
        <w:rPr>
          <w:rFonts w:ascii="Times New Roman" w:eastAsia="仿宋_GB2312" w:hAnsi="Times New Roman" w:cs="Times New Roman" w:hint="eastAsia"/>
          <w:sz w:val="28"/>
          <w:szCs w:val="28"/>
        </w:rPr>
        <w:t>征收土地补偿工作的顺利进行，为征收土地工作做到合法合理，有科学的依据可循</w:t>
      </w:r>
      <w:r w:rsidRPr="00AD41C7">
        <w:rPr>
          <w:rFonts w:ascii="Times New Roman" w:eastAsia="仿宋_GB2312" w:hAnsi="Times New Roman" w:cs="Times New Roman"/>
          <w:bCs/>
          <w:sz w:val="28"/>
          <w:szCs w:val="28"/>
        </w:rPr>
        <w:t>。</w:t>
      </w:r>
    </w:p>
    <w:sectPr w:rsidR="00AD41C7" w:rsidRPr="00AD41C7" w:rsidSect="00276426">
      <w:pgSz w:w="11906" w:h="16838"/>
      <w:pgMar w:top="1440" w:right="17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0C46" w14:textId="77777777" w:rsidR="00335628" w:rsidRDefault="00335628" w:rsidP="0080124C">
      <w:r>
        <w:separator/>
      </w:r>
    </w:p>
  </w:endnote>
  <w:endnote w:type="continuationSeparator" w:id="0">
    <w:p w14:paraId="71FF86C1" w14:textId="77777777" w:rsidR="00335628" w:rsidRDefault="00335628" w:rsidP="0080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方正小标宋简体">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ADF3" w14:textId="77777777" w:rsidR="00335628" w:rsidRDefault="00335628" w:rsidP="0080124C">
      <w:r>
        <w:separator/>
      </w:r>
    </w:p>
  </w:footnote>
  <w:footnote w:type="continuationSeparator" w:id="0">
    <w:p w14:paraId="4B34D65A" w14:textId="77777777" w:rsidR="00335628" w:rsidRDefault="00335628" w:rsidP="00801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A3963"/>
    <w:multiLevelType w:val="hybridMultilevel"/>
    <w:tmpl w:val="B9103A3C"/>
    <w:lvl w:ilvl="0" w:tplc="04090013">
      <w:start w:val="1"/>
      <w:numFmt w:val="chineseCountingThousand"/>
      <w:lvlText w:val="%1、"/>
      <w:lvlJc w:val="left"/>
      <w:pPr>
        <w:ind w:left="1080" w:hanging="440"/>
      </w:p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31B53058"/>
    <w:multiLevelType w:val="hybridMultilevel"/>
    <w:tmpl w:val="938CD6D6"/>
    <w:lvl w:ilvl="0" w:tplc="04090013">
      <w:start w:val="1"/>
      <w:numFmt w:val="chineseCountingThousand"/>
      <w:lvlText w:val="%1、"/>
      <w:lvlJc w:val="left"/>
      <w:pPr>
        <w:ind w:left="1520" w:hanging="440"/>
      </w:pPr>
    </w:lvl>
    <w:lvl w:ilvl="1" w:tplc="04090019" w:tentative="1">
      <w:start w:val="1"/>
      <w:numFmt w:val="lowerLetter"/>
      <w:lvlText w:val="%2)"/>
      <w:lvlJc w:val="left"/>
      <w:pPr>
        <w:ind w:left="1960" w:hanging="440"/>
      </w:pPr>
    </w:lvl>
    <w:lvl w:ilvl="2" w:tplc="0409001B" w:tentative="1">
      <w:start w:val="1"/>
      <w:numFmt w:val="lowerRoman"/>
      <w:lvlText w:val="%3."/>
      <w:lvlJc w:val="right"/>
      <w:pPr>
        <w:ind w:left="2400" w:hanging="440"/>
      </w:pPr>
    </w:lvl>
    <w:lvl w:ilvl="3" w:tplc="0409000F" w:tentative="1">
      <w:start w:val="1"/>
      <w:numFmt w:val="decimal"/>
      <w:lvlText w:val="%4."/>
      <w:lvlJc w:val="left"/>
      <w:pPr>
        <w:ind w:left="2840" w:hanging="440"/>
      </w:pPr>
    </w:lvl>
    <w:lvl w:ilvl="4" w:tplc="04090019" w:tentative="1">
      <w:start w:val="1"/>
      <w:numFmt w:val="lowerLetter"/>
      <w:lvlText w:val="%5)"/>
      <w:lvlJc w:val="left"/>
      <w:pPr>
        <w:ind w:left="3280" w:hanging="440"/>
      </w:pPr>
    </w:lvl>
    <w:lvl w:ilvl="5" w:tplc="0409001B" w:tentative="1">
      <w:start w:val="1"/>
      <w:numFmt w:val="lowerRoman"/>
      <w:lvlText w:val="%6."/>
      <w:lvlJc w:val="right"/>
      <w:pPr>
        <w:ind w:left="3720" w:hanging="440"/>
      </w:pPr>
    </w:lvl>
    <w:lvl w:ilvl="6" w:tplc="0409000F" w:tentative="1">
      <w:start w:val="1"/>
      <w:numFmt w:val="decimal"/>
      <w:lvlText w:val="%7."/>
      <w:lvlJc w:val="left"/>
      <w:pPr>
        <w:ind w:left="4160" w:hanging="440"/>
      </w:pPr>
    </w:lvl>
    <w:lvl w:ilvl="7" w:tplc="04090019" w:tentative="1">
      <w:start w:val="1"/>
      <w:numFmt w:val="lowerLetter"/>
      <w:lvlText w:val="%8)"/>
      <w:lvlJc w:val="left"/>
      <w:pPr>
        <w:ind w:left="4600" w:hanging="440"/>
      </w:pPr>
    </w:lvl>
    <w:lvl w:ilvl="8" w:tplc="0409001B" w:tentative="1">
      <w:start w:val="1"/>
      <w:numFmt w:val="lowerRoman"/>
      <w:lvlText w:val="%9."/>
      <w:lvlJc w:val="right"/>
      <w:pPr>
        <w:ind w:left="5040" w:hanging="440"/>
      </w:pPr>
    </w:lvl>
  </w:abstractNum>
  <w:abstractNum w:abstractNumId="2" w15:restartNumberingAfterBreak="0">
    <w:nsid w:val="323D003C"/>
    <w:multiLevelType w:val="hybridMultilevel"/>
    <w:tmpl w:val="E02A5D36"/>
    <w:lvl w:ilvl="0" w:tplc="6CA0D8B6">
      <w:start w:val="1"/>
      <w:numFmt w:val="chineseCountingThousand"/>
      <w:lvlText w:val="%1、"/>
      <w:lvlJc w:val="left"/>
      <w:pPr>
        <w:ind w:left="720" w:hanging="720"/>
      </w:pPr>
      <w:rPr>
        <w:rFonts w:ascii="黑体" w:eastAsia="黑体" w:hAnsi="黑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5094E05"/>
    <w:multiLevelType w:val="hybridMultilevel"/>
    <w:tmpl w:val="543C0488"/>
    <w:lvl w:ilvl="0" w:tplc="AFE6A638">
      <w:start w:val="2"/>
      <w:numFmt w:val="japaneseCounting"/>
      <w:lvlText w:val="%1、"/>
      <w:lvlJc w:val="left"/>
      <w:pPr>
        <w:ind w:left="2080" w:hanging="720"/>
      </w:pPr>
      <w:rPr>
        <w:rFonts w:hint="default"/>
      </w:rPr>
    </w:lvl>
    <w:lvl w:ilvl="1" w:tplc="04090019" w:tentative="1">
      <w:start w:val="1"/>
      <w:numFmt w:val="lowerLetter"/>
      <w:lvlText w:val="%2)"/>
      <w:lvlJc w:val="left"/>
      <w:pPr>
        <w:ind w:left="2240" w:hanging="440"/>
      </w:pPr>
    </w:lvl>
    <w:lvl w:ilvl="2" w:tplc="0409001B" w:tentative="1">
      <w:start w:val="1"/>
      <w:numFmt w:val="lowerRoman"/>
      <w:lvlText w:val="%3."/>
      <w:lvlJc w:val="right"/>
      <w:pPr>
        <w:ind w:left="2680" w:hanging="440"/>
      </w:pPr>
    </w:lvl>
    <w:lvl w:ilvl="3" w:tplc="0409000F" w:tentative="1">
      <w:start w:val="1"/>
      <w:numFmt w:val="decimal"/>
      <w:lvlText w:val="%4."/>
      <w:lvlJc w:val="left"/>
      <w:pPr>
        <w:ind w:left="3120" w:hanging="440"/>
      </w:pPr>
    </w:lvl>
    <w:lvl w:ilvl="4" w:tplc="04090019" w:tentative="1">
      <w:start w:val="1"/>
      <w:numFmt w:val="lowerLetter"/>
      <w:lvlText w:val="%5)"/>
      <w:lvlJc w:val="left"/>
      <w:pPr>
        <w:ind w:left="3560" w:hanging="440"/>
      </w:pPr>
    </w:lvl>
    <w:lvl w:ilvl="5" w:tplc="0409001B" w:tentative="1">
      <w:start w:val="1"/>
      <w:numFmt w:val="lowerRoman"/>
      <w:lvlText w:val="%6."/>
      <w:lvlJc w:val="right"/>
      <w:pPr>
        <w:ind w:left="4000" w:hanging="440"/>
      </w:pPr>
    </w:lvl>
    <w:lvl w:ilvl="6" w:tplc="0409000F" w:tentative="1">
      <w:start w:val="1"/>
      <w:numFmt w:val="decimal"/>
      <w:lvlText w:val="%7."/>
      <w:lvlJc w:val="left"/>
      <w:pPr>
        <w:ind w:left="4440" w:hanging="440"/>
      </w:pPr>
    </w:lvl>
    <w:lvl w:ilvl="7" w:tplc="04090019" w:tentative="1">
      <w:start w:val="1"/>
      <w:numFmt w:val="lowerLetter"/>
      <w:lvlText w:val="%8)"/>
      <w:lvlJc w:val="left"/>
      <w:pPr>
        <w:ind w:left="4880" w:hanging="440"/>
      </w:pPr>
    </w:lvl>
    <w:lvl w:ilvl="8" w:tplc="0409001B" w:tentative="1">
      <w:start w:val="1"/>
      <w:numFmt w:val="lowerRoman"/>
      <w:lvlText w:val="%9."/>
      <w:lvlJc w:val="right"/>
      <w:pPr>
        <w:ind w:left="5320" w:hanging="440"/>
      </w:pPr>
    </w:lvl>
  </w:abstractNum>
  <w:abstractNum w:abstractNumId="4" w15:restartNumberingAfterBreak="0">
    <w:nsid w:val="457F5EBE"/>
    <w:multiLevelType w:val="hybridMultilevel"/>
    <w:tmpl w:val="D5A6C174"/>
    <w:lvl w:ilvl="0" w:tplc="3D347292">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5" w15:restartNumberingAfterBreak="0">
    <w:nsid w:val="6D522063"/>
    <w:multiLevelType w:val="multilevel"/>
    <w:tmpl w:val="6D522063"/>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2072652797">
    <w:abstractNumId w:val="5"/>
  </w:num>
  <w:num w:numId="2" w16cid:durableId="771970430">
    <w:abstractNumId w:val="3"/>
  </w:num>
  <w:num w:numId="3" w16cid:durableId="392385806">
    <w:abstractNumId w:val="4"/>
  </w:num>
  <w:num w:numId="4" w16cid:durableId="2061322682">
    <w:abstractNumId w:val="2"/>
  </w:num>
  <w:num w:numId="5" w16cid:durableId="1681392446">
    <w:abstractNumId w:val="0"/>
  </w:num>
  <w:num w:numId="6" w16cid:durableId="81560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UwNTZlOWY1MTRjN2NkNzc5N2RlYjVhZDQzNmY4ZWMifQ=="/>
    <w:docVar w:name="KSO_WPS_MARK_KEY" w:val="dee12c76-b0bb-4c20-965b-07f4cb3bb857"/>
  </w:docVars>
  <w:rsids>
    <w:rsidRoot w:val="00A01B90"/>
    <w:rsid w:val="00025153"/>
    <w:rsid w:val="00053AA1"/>
    <w:rsid w:val="0005631D"/>
    <w:rsid w:val="000710F5"/>
    <w:rsid w:val="00083BD8"/>
    <w:rsid w:val="000855EF"/>
    <w:rsid w:val="000A096B"/>
    <w:rsid w:val="000B02B8"/>
    <w:rsid w:val="000C3C95"/>
    <w:rsid w:val="000D3B99"/>
    <w:rsid w:val="000D5378"/>
    <w:rsid w:val="000F4FDD"/>
    <w:rsid w:val="001007A3"/>
    <w:rsid w:val="00124489"/>
    <w:rsid w:val="00141DC0"/>
    <w:rsid w:val="00157274"/>
    <w:rsid w:val="001B53A5"/>
    <w:rsid w:val="001D4502"/>
    <w:rsid w:val="001E6088"/>
    <w:rsid w:val="001F79F3"/>
    <w:rsid w:val="00241EC0"/>
    <w:rsid w:val="0025159E"/>
    <w:rsid w:val="00252A13"/>
    <w:rsid w:val="00264781"/>
    <w:rsid w:val="002678B8"/>
    <w:rsid w:val="00276426"/>
    <w:rsid w:val="002B77D1"/>
    <w:rsid w:val="002C1584"/>
    <w:rsid w:val="002C2AD0"/>
    <w:rsid w:val="002D0A9B"/>
    <w:rsid w:val="002F6FA5"/>
    <w:rsid w:val="003215D2"/>
    <w:rsid w:val="00327F64"/>
    <w:rsid w:val="0033408B"/>
    <w:rsid w:val="00335628"/>
    <w:rsid w:val="00357BF8"/>
    <w:rsid w:val="003831B3"/>
    <w:rsid w:val="003851A8"/>
    <w:rsid w:val="00392C6A"/>
    <w:rsid w:val="003A396A"/>
    <w:rsid w:val="003B5C43"/>
    <w:rsid w:val="003E310D"/>
    <w:rsid w:val="00401037"/>
    <w:rsid w:val="004014BF"/>
    <w:rsid w:val="004032D8"/>
    <w:rsid w:val="0040699D"/>
    <w:rsid w:val="00412DA2"/>
    <w:rsid w:val="00422FF7"/>
    <w:rsid w:val="00437F15"/>
    <w:rsid w:val="004656B9"/>
    <w:rsid w:val="0047643D"/>
    <w:rsid w:val="004C0C5F"/>
    <w:rsid w:val="004D28B9"/>
    <w:rsid w:val="00513B0D"/>
    <w:rsid w:val="00520618"/>
    <w:rsid w:val="0052772E"/>
    <w:rsid w:val="00545488"/>
    <w:rsid w:val="00562D85"/>
    <w:rsid w:val="005A69FF"/>
    <w:rsid w:val="005E06E5"/>
    <w:rsid w:val="00615DC1"/>
    <w:rsid w:val="0062306B"/>
    <w:rsid w:val="00653479"/>
    <w:rsid w:val="00662F67"/>
    <w:rsid w:val="00683A13"/>
    <w:rsid w:val="00687E25"/>
    <w:rsid w:val="006B4E19"/>
    <w:rsid w:val="006C1D3A"/>
    <w:rsid w:val="006E5797"/>
    <w:rsid w:val="0070753F"/>
    <w:rsid w:val="007258AF"/>
    <w:rsid w:val="00732874"/>
    <w:rsid w:val="00737D52"/>
    <w:rsid w:val="00740569"/>
    <w:rsid w:val="00766E86"/>
    <w:rsid w:val="007845A8"/>
    <w:rsid w:val="00793D65"/>
    <w:rsid w:val="007A3E2E"/>
    <w:rsid w:val="007D62E9"/>
    <w:rsid w:val="007E6D4C"/>
    <w:rsid w:val="0080124C"/>
    <w:rsid w:val="00814AB9"/>
    <w:rsid w:val="00850A36"/>
    <w:rsid w:val="00850BB3"/>
    <w:rsid w:val="008825A3"/>
    <w:rsid w:val="00884760"/>
    <w:rsid w:val="00885746"/>
    <w:rsid w:val="008941BA"/>
    <w:rsid w:val="008A0F4B"/>
    <w:rsid w:val="008A2636"/>
    <w:rsid w:val="008B41F2"/>
    <w:rsid w:val="008C05F7"/>
    <w:rsid w:val="008D07BA"/>
    <w:rsid w:val="008D5ADA"/>
    <w:rsid w:val="008E0832"/>
    <w:rsid w:val="008E2EB5"/>
    <w:rsid w:val="008F1D9C"/>
    <w:rsid w:val="00920231"/>
    <w:rsid w:val="00925E26"/>
    <w:rsid w:val="009522B2"/>
    <w:rsid w:val="00964B30"/>
    <w:rsid w:val="00980196"/>
    <w:rsid w:val="00985355"/>
    <w:rsid w:val="009A299E"/>
    <w:rsid w:val="009E6CC2"/>
    <w:rsid w:val="009F349B"/>
    <w:rsid w:val="00A01B90"/>
    <w:rsid w:val="00A25E59"/>
    <w:rsid w:val="00A27B8F"/>
    <w:rsid w:val="00A31CCE"/>
    <w:rsid w:val="00A351D9"/>
    <w:rsid w:val="00A537B2"/>
    <w:rsid w:val="00A90912"/>
    <w:rsid w:val="00AA0A5C"/>
    <w:rsid w:val="00AB5253"/>
    <w:rsid w:val="00AB6BE8"/>
    <w:rsid w:val="00AD41C7"/>
    <w:rsid w:val="00AE132D"/>
    <w:rsid w:val="00AE3825"/>
    <w:rsid w:val="00AF632B"/>
    <w:rsid w:val="00B13EC9"/>
    <w:rsid w:val="00B168AF"/>
    <w:rsid w:val="00B225B1"/>
    <w:rsid w:val="00B269FE"/>
    <w:rsid w:val="00B474D7"/>
    <w:rsid w:val="00B5452F"/>
    <w:rsid w:val="00B6451D"/>
    <w:rsid w:val="00B94F9D"/>
    <w:rsid w:val="00BC0613"/>
    <w:rsid w:val="00BD5438"/>
    <w:rsid w:val="00BE799A"/>
    <w:rsid w:val="00C41FB5"/>
    <w:rsid w:val="00C653EA"/>
    <w:rsid w:val="00C85BFA"/>
    <w:rsid w:val="00C971D0"/>
    <w:rsid w:val="00CA44F9"/>
    <w:rsid w:val="00CC5A28"/>
    <w:rsid w:val="00D22EC5"/>
    <w:rsid w:val="00D51CBB"/>
    <w:rsid w:val="00D62EBB"/>
    <w:rsid w:val="00D713EF"/>
    <w:rsid w:val="00D82438"/>
    <w:rsid w:val="00D824DC"/>
    <w:rsid w:val="00D901F2"/>
    <w:rsid w:val="00DC2B34"/>
    <w:rsid w:val="00DD16A2"/>
    <w:rsid w:val="00DE2CFB"/>
    <w:rsid w:val="00DE3D45"/>
    <w:rsid w:val="00E0257D"/>
    <w:rsid w:val="00E02BDE"/>
    <w:rsid w:val="00E35331"/>
    <w:rsid w:val="00E422DF"/>
    <w:rsid w:val="00E522F8"/>
    <w:rsid w:val="00E60A0F"/>
    <w:rsid w:val="00EB6C21"/>
    <w:rsid w:val="00EC3F0C"/>
    <w:rsid w:val="00EF79A4"/>
    <w:rsid w:val="00F01171"/>
    <w:rsid w:val="00F26B7C"/>
    <w:rsid w:val="00F30DD4"/>
    <w:rsid w:val="00F42B7D"/>
    <w:rsid w:val="00F5265D"/>
    <w:rsid w:val="00FA21D4"/>
    <w:rsid w:val="00FA32AA"/>
    <w:rsid w:val="00FA543F"/>
    <w:rsid w:val="00FE59C5"/>
    <w:rsid w:val="00FE77C4"/>
    <w:rsid w:val="00FF1E1E"/>
    <w:rsid w:val="01561CA7"/>
    <w:rsid w:val="02F27C10"/>
    <w:rsid w:val="04D53301"/>
    <w:rsid w:val="05741582"/>
    <w:rsid w:val="076B3AA9"/>
    <w:rsid w:val="0B10550B"/>
    <w:rsid w:val="0B4E59C7"/>
    <w:rsid w:val="0D260B83"/>
    <w:rsid w:val="10141182"/>
    <w:rsid w:val="15817AA3"/>
    <w:rsid w:val="1A5737FC"/>
    <w:rsid w:val="1B970EB9"/>
    <w:rsid w:val="1D350989"/>
    <w:rsid w:val="218D77CB"/>
    <w:rsid w:val="23433DB8"/>
    <w:rsid w:val="25EE26EE"/>
    <w:rsid w:val="26B26AB5"/>
    <w:rsid w:val="2DEB3A55"/>
    <w:rsid w:val="30991DD3"/>
    <w:rsid w:val="33DE3785"/>
    <w:rsid w:val="36EA2F68"/>
    <w:rsid w:val="370276FA"/>
    <w:rsid w:val="39BF18AF"/>
    <w:rsid w:val="3D3753EC"/>
    <w:rsid w:val="3E5A7DF8"/>
    <w:rsid w:val="41AD2822"/>
    <w:rsid w:val="42622FA8"/>
    <w:rsid w:val="45EA453C"/>
    <w:rsid w:val="4B886687"/>
    <w:rsid w:val="4D9B1D1B"/>
    <w:rsid w:val="4D9B30BE"/>
    <w:rsid w:val="4EDB16EE"/>
    <w:rsid w:val="572648C3"/>
    <w:rsid w:val="58E467E4"/>
    <w:rsid w:val="591A2AB7"/>
    <w:rsid w:val="594C3CF7"/>
    <w:rsid w:val="5BAA698D"/>
    <w:rsid w:val="5CA43A17"/>
    <w:rsid w:val="5FBF4835"/>
    <w:rsid w:val="61A1047E"/>
    <w:rsid w:val="61E94D63"/>
    <w:rsid w:val="6593581A"/>
    <w:rsid w:val="67353BA3"/>
    <w:rsid w:val="679D7D3F"/>
    <w:rsid w:val="6CC175C4"/>
    <w:rsid w:val="6D311E23"/>
    <w:rsid w:val="6DAA7A17"/>
    <w:rsid w:val="6E005A16"/>
    <w:rsid w:val="6E5F2476"/>
    <w:rsid w:val="6F9174FC"/>
    <w:rsid w:val="705719B6"/>
    <w:rsid w:val="709E023C"/>
    <w:rsid w:val="716716BC"/>
    <w:rsid w:val="72CB608F"/>
    <w:rsid w:val="797A2FFE"/>
    <w:rsid w:val="7A736770"/>
    <w:rsid w:val="7B7807E4"/>
    <w:rsid w:val="7CE7227B"/>
    <w:rsid w:val="7E2C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B1FA"/>
  <w15:docId w15:val="{407857FD-6619-4640-8513-889DFDB8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Strong"/>
    <w:basedOn w:val="a0"/>
    <w:uiPriority w:val="22"/>
    <w:qFormat/>
    <w:rPr>
      <w:b/>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99"/>
    <w:unhideWhenUsed/>
    <w:qFormat/>
    <w:pPr>
      <w:ind w:firstLineChars="200" w:firstLine="420"/>
    </w:pPr>
  </w:style>
  <w:style w:type="paragraph" w:customStyle="1" w:styleId="aa">
    <w:name w:val="表格内容"/>
    <w:basedOn w:val="a"/>
    <w:link w:val="Char"/>
    <w:rsid w:val="0005631D"/>
    <w:pPr>
      <w:jc w:val="center"/>
    </w:pPr>
    <w:rPr>
      <w:rFonts w:ascii="Times New Roman" w:eastAsia="仿宋" w:hAnsi="Times New Roman" w:cs="Times New Roman"/>
      <w:color w:val="000000"/>
      <w:szCs w:val="21"/>
    </w:rPr>
  </w:style>
  <w:style w:type="paragraph" w:customStyle="1" w:styleId="1">
    <w:name w:val="表标题1"/>
    <w:basedOn w:val="a"/>
    <w:next w:val="a"/>
    <w:rsid w:val="0005631D"/>
    <w:pPr>
      <w:spacing w:beforeLines="50" w:after="100" w:afterAutospacing="1"/>
      <w:jc w:val="center"/>
      <w:outlineLvl w:val="8"/>
    </w:pPr>
    <w:rPr>
      <w:rFonts w:ascii="Times New Roman" w:eastAsia="仿宋" w:hAnsi="Times New Roman" w:cs="Times New Roman"/>
      <w:b/>
      <w:sz w:val="24"/>
      <w:szCs w:val="24"/>
    </w:rPr>
  </w:style>
  <w:style w:type="paragraph" w:customStyle="1" w:styleId="10">
    <w:name w:val="图标题1"/>
    <w:basedOn w:val="a"/>
    <w:next w:val="a"/>
    <w:rsid w:val="0005631D"/>
    <w:pPr>
      <w:adjustRightInd w:val="0"/>
      <w:spacing w:afterLines="50"/>
      <w:jc w:val="center"/>
      <w:outlineLvl w:val="8"/>
    </w:pPr>
    <w:rPr>
      <w:rFonts w:ascii="Times New Roman" w:eastAsia="仿宋" w:hAnsi="Times New Roman" w:cs="Times New Roman"/>
      <w:b/>
      <w:sz w:val="24"/>
      <w:szCs w:val="24"/>
    </w:rPr>
  </w:style>
  <w:style w:type="paragraph" w:styleId="ab">
    <w:name w:val="Balloon Text"/>
    <w:basedOn w:val="a"/>
    <w:link w:val="ac"/>
    <w:uiPriority w:val="99"/>
    <w:semiHidden/>
    <w:unhideWhenUsed/>
    <w:rsid w:val="008D07BA"/>
    <w:rPr>
      <w:sz w:val="18"/>
      <w:szCs w:val="18"/>
    </w:rPr>
  </w:style>
  <w:style w:type="character" w:customStyle="1" w:styleId="ac">
    <w:name w:val="批注框文本 字符"/>
    <w:basedOn w:val="a0"/>
    <w:link w:val="ab"/>
    <w:uiPriority w:val="99"/>
    <w:semiHidden/>
    <w:rsid w:val="008D07BA"/>
    <w:rPr>
      <w:rFonts w:asciiTheme="minorHAnsi" w:eastAsiaTheme="minorEastAsia" w:hAnsiTheme="minorHAnsi" w:cstheme="minorBidi"/>
      <w:kern w:val="2"/>
      <w:sz w:val="18"/>
      <w:szCs w:val="18"/>
    </w:rPr>
  </w:style>
  <w:style w:type="paragraph" w:styleId="ad">
    <w:name w:val="Revision"/>
    <w:hidden/>
    <w:uiPriority w:val="99"/>
    <w:unhideWhenUsed/>
    <w:rsid w:val="005E06E5"/>
    <w:rPr>
      <w:rFonts w:asciiTheme="minorHAnsi" w:eastAsiaTheme="minorEastAsia" w:hAnsiTheme="minorHAnsi" w:cstheme="minorBidi"/>
      <w:kern w:val="2"/>
      <w:sz w:val="21"/>
      <w:szCs w:val="22"/>
    </w:rPr>
  </w:style>
  <w:style w:type="character" w:customStyle="1" w:styleId="Char">
    <w:name w:val="表格内容 Char"/>
    <w:link w:val="aa"/>
    <w:rsid w:val="00850BB3"/>
    <w:rPr>
      <w:rFonts w:eastAsia="仿宋"/>
      <w:color w:val="000000"/>
      <w:kern w:val="2"/>
      <w:sz w:val="21"/>
      <w:szCs w:val="21"/>
    </w:rPr>
  </w:style>
  <w:style w:type="paragraph" w:customStyle="1" w:styleId="ae">
    <w:name w:val="表格"/>
    <w:basedOn w:val="a"/>
    <w:link w:val="af"/>
    <w:qFormat/>
    <w:rsid w:val="00850BB3"/>
    <w:pPr>
      <w:jc w:val="center"/>
    </w:pPr>
    <w:rPr>
      <w:rFonts w:ascii="Times New Roman" w:eastAsia="仿宋_GB2312" w:hAnsi="Times New Roman" w:cs="Times New Roman"/>
      <w:color w:val="000000"/>
      <w:kern w:val="28"/>
      <w:szCs w:val="20"/>
    </w:rPr>
  </w:style>
  <w:style w:type="character" w:customStyle="1" w:styleId="af">
    <w:name w:val="表格 字符"/>
    <w:link w:val="ae"/>
    <w:qFormat/>
    <w:rsid w:val="00850BB3"/>
    <w:rPr>
      <w:rFonts w:eastAsia="仿宋_GB2312"/>
      <w:color w:val="000000"/>
      <w:kern w:val="28"/>
      <w:sz w:val="21"/>
    </w:rPr>
  </w:style>
  <w:style w:type="paragraph" w:styleId="af0">
    <w:name w:val="caption"/>
    <w:basedOn w:val="a"/>
    <w:next w:val="a"/>
    <w:link w:val="af1"/>
    <w:qFormat/>
    <w:rsid w:val="00C971D0"/>
    <w:pPr>
      <w:adjustRightInd w:val="0"/>
      <w:snapToGrid w:val="0"/>
      <w:spacing w:beforeLines="25" w:before="25" w:afterLines="25" w:after="25" w:line="300" w:lineRule="auto"/>
      <w:jc w:val="center"/>
      <w:outlineLvl w:val="7"/>
    </w:pPr>
    <w:rPr>
      <w:rFonts w:ascii="Times New Roman" w:eastAsia="仿宋_GB2312" w:hAnsi="Times New Roman" w:cs="Times New Roman"/>
      <w:b/>
      <w:sz w:val="24"/>
      <w:szCs w:val="24"/>
    </w:rPr>
  </w:style>
  <w:style w:type="character" w:customStyle="1" w:styleId="af1">
    <w:name w:val="题注 字符"/>
    <w:link w:val="af0"/>
    <w:rsid w:val="00C971D0"/>
    <w:rPr>
      <w:rFonts w:eastAsia="仿宋_GB2312"/>
      <w:b/>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043">
      <w:bodyDiv w:val="1"/>
      <w:marLeft w:val="0"/>
      <w:marRight w:val="0"/>
      <w:marTop w:val="0"/>
      <w:marBottom w:val="0"/>
      <w:divBdr>
        <w:top w:val="none" w:sz="0" w:space="0" w:color="auto"/>
        <w:left w:val="none" w:sz="0" w:space="0" w:color="auto"/>
        <w:bottom w:val="none" w:sz="0" w:space="0" w:color="auto"/>
        <w:right w:val="none" w:sz="0" w:space="0" w:color="auto"/>
      </w:divBdr>
    </w:div>
    <w:div w:id="221256227">
      <w:bodyDiv w:val="1"/>
      <w:marLeft w:val="0"/>
      <w:marRight w:val="0"/>
      <w:marTop w:val="0"/>
      <w:marBottom w:val="0"/>
      <w:divBdr>
        <w:top w:val="none" w:sz="0" w:space="0" w:color="auto"/>
        <w:left w:val="none" w:sz="0" w:space="0" w:color="auto"/>
        <w:bottom w:val="none" w:sz="0" w:space="0" w:color="auto"/>
        <w:right w:val="none" w:sz="0" w:space="0" w:color="auto"/>
      </w:divBdr>
    </w:div>
    <w:div w:id="291131609">
      <w:bodyDiv w:val="1"/>
      <w:marLeft w:val="0"/>
      <w:marRight w:val="0"/>
      <w:marTop w:val="0"/>
      <w:marBottom w:val="0"/>
      <w:divBdr>
        <w:top w:val="none" w:sz="0" w:space="0" w:color="auto"/>
        <w:left w:val="none" w:sz="0" w:space="0" w:color="auto"/>
        <w:bottom w:val="none" w:sz="0" w:space="0" w:color="auto"/>
        <w:right w:val="none" w:sz="0" w:space="0" w:color="auto"/>
      </w:divBdr>
    </w:div>
    <w:div w:id="307588410">
      <w:bodyDiv w:val="1"/>
      <w:marLeft w:val="0"/>
      <w:marRight w:val="0"/>
      <w:marTop w:val="0"/>
      <w:marBottom w:val="0"/>
      <w:divBdr>
        <w:top w:val="none" w:sz="0" w:space="0" w:color="auto"/>
        <w:left w:val="none" w:sz="0" w:space="0" w:color="auto"/>
        <w:bottom w:val="none" w:sz="0" w:space="0" w:color="auto"/>
        <w:right w:val="none" w:sz="0" w:space="0" w:color="auto"/>
      </w:divBdr>
    </w:div>
    <w:div w:id="632442144">
      <w:bodyDiv w:val="1"/>
      <w:marLeft w:val="0"/>
      <w:marRight w:val="0"/>
      <w:marTop w:val="0"/>
      <w:marBottom w:val="0"/>
      <w:divBdr>
        <w:top w:val="none" w:sz="0" w:space="0" w:color="auto"/>
        <w:left w:val="none" w:sz="0" w:space="0" w:color="auto"/>
        <w:bottom w:val="none" w:sz="0" w:space="0" w:color="auto"/>
        <w:right w:val="none" w:sz="0" w:space="0" w:color="auto"/>
      </w:divBdr>
    </w:div>
    <w:div w:id="850024566">
      <w:bodyDiv w:val="1"/>
      <w:marLeft w:val="0"/>
      <w:marRight w:val="0"/>
      <w:marTop w:val="0"/>
      <w:marBottom w:val="0"/>
      <w:divBdr>
        <w:top w:val="none" w:sz="0" w:space="0" w:color="auto"/>
        <w:left w:val="none" w:sz="0" w:space="0" w:color="auto"/>
        <w:bottom w:val="none" w:sz="0" w:space="0" w:color="auto"/>
        <w:right w:val="none" w:sz="0" w:space="0" w:color="auto"/>
      </w:divBdr>
    </w:div>
    <w:div w:id="912005611">
      <w:bodyDiv w:val="1"/>
      <w:marLeft w:val="0"/>
      <w:marRight w:val="0"/>
      <w:marTop w:val="0"/>
      <w:marBottom w:val="0"/>
      <w:divBdr>
        <w:top w:val="none" w:sz="0" w:space="0" w:color="auto"/>
        <w:left w:val="none" w:sz="0" w:space="0" w:color="auto"/>
        <w:bottom w:val="none" w:sz="0" w:space="0" w:color="auto"/>
        <w:right w:val="none" w:sz="0" w:space="0" w:color="auto"/>
      </w:divBdr>
    </w:div>
    <w:div w:id="1036541520">
      <w:bodyDiv w:val="1"/>
      <w:marLeft w:val="0"/>
      <w:marRight w:val="0"/>
      <w:marTop w:val="0"/>
      <w:marBottom w:val="0"/>
      <w:divBdr>
        <w:top w:val="none" w:sz="0" w:space="0" w:color="auto"/>
        <w:left w:val="none" w:sz="0" w:space="0" w:color="auto"/>
        <w:bottom w:val="none" w:sz="0" w:space="0" w:color="auto"/>
        <w:right w:val="none" w:sz="0" w:space="0" w:color="auto"/>
      </w:divBdr>
    </w:div>
    <w:div w:id="1223559517">
      <w:bodyDiv w:val="1"/>
      <w:marLeft w:val="0"/>
      <w:marRight w:val="0"/>
      <w:marTop w:val="0"/>
      <w:marBottom w:val="0"/>
      <w:divBdr>
        <w:top w:val="none" w:sz="0" w:space="0" w:color="auto"/>
        <w:left w:val="none" w:sz="0" w:space="0" w:color="auto"/>
        <w:bottom w:val="none" w:sz="0" w:space="0" w:color="auto"/>
        <w:right w:val="none" w:sz="0" w:space="0" w:color="auto"/>
      </w:divBdr>
    </w:div>
    <w:div w:id="1512918190">
      <w:bodyDiv w:val="1"/>
      <w:marLeft w:val="0"/>
      <w:marRight w:val="0"/>
      <w:marTop w:val="0"/>
      <w:marBottom w:val="0"/>
      <w:divBdr>
        <w:top w:val="none" w:sz="0" w:space="0" w:color="auto"/>
        <w:left w:val="none" w:sz="0" w:space="0" w:color="auto"/>
        <w:bottom w:val="none" w:sz="0" w:space="0" w:color="auto"/>
        <w:right w:val="none" w:sz="0" w:space="0" w:color="auto"/>
      </w:divBdr>
    </w:div>
    <w:div w:id="1792359918">
      <w:bodyDiv w:val="1"/>
      <w:marLeft w:val="0"/>
      <w:marRight w:val="0"/>
      <w:marTop w:val="0"/>
      <w:marBottom w:val="0"/>
      <w:divBdr>
        <w:top w:val="none" w:sz="0" w:space="0" w:color="auto"/>
        <w:left w:val="none" w:sz="0" w:space="0" w:color="auto"/>
        <w:bottom w:val="none" w:sz="0" w:space="0" w:color="auto"/>
        <w:right w:val="none" w:sz="0" w:space="0" w:color="auto"/>
      </w:divBdr>
    </w:div>
    <w:div w:id="1878396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6</Pages>
  <Words>2066</Words>
  <Characters>2129</Characters>
  <Application>Microsoft Office Word</Application>
  <DocSecurity>0</DocSecurity>
  <Lines>101</Lines>
  <Paragraphs>91</Paragraphs>
  <ScaleCrop>false</ScaleCrop>
  <Company>Chinese ORG</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维 戴</cp:lastModifiedBy>
  <cp:revision>102</cp:revision>
  <cp:lastPrinted>2022-07-11T02:14:00Z</cp:lastPrinted>
  <dcterms:created xsi:type="dcterms:W3CDTF">2022-07-29T07:34:00Z</dcterms:created>
  <dcterms:modified xsi:type="dcterms:W3CDTF">2026-09-07T09:45:00Z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8CCC8140B4924606AFA485B97C9A9A1D</vt:lpwstr>
  </property>
</Properties>
</file>