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671E">
      <w:pPr>
        <w:pStyle w:val="2"/>
        <w:spacing w:before="44" w:line="237" w:lineRule="auto"/>
        <w:ind w:right="978"/>
        <w:jc w:val="center"/>
        <w:rPr>
          <w:rFonts w:hint="eastAsia" w:eastAsia="仿宋"/>
          <w:spacing w:val="-5"/>
          <w:sz w:val="44"/>
          <w:szCs w:val="44"/>
          <w:lang w:eastAsia="zh-CN"/>
        </w:rPr>
      </w:pPr>
      <w:r>
        <w:rPr>
          <w:rFonts w:hint="eastAsia"/>
          <w:spacing w:val="-8"/>
          <w:sz w:val="44"/>
          <w:szCs w:val="44"/>
          <w:lang w:val="en-US" w:eastAsia="zh-CN"/>
        </w:rPr>
        <w:t>应急抢险库入库</w:t>
      </w:r>
      <w:r>
        <w:rPr>
          <w:spacing w:val="-5"/>
          <w:sz w:val="44"/>
          <w:szCs w:val="44"/>
        </w:rPr>
        <w:t>评分表</w:t>
      </w:r>
      <w:r>
        <w:rPr>
          <w:rFonts w:hint="eastAsia"/>
          <w:spacing w:val="-5"/>
          <w:sz w:val="44"/>
          <w:szCs w:val="44"/>
          <w:lang w:eastAsia="zh-CN"/>
        </w:rPr>
        <w:t>（</w:t>
      </w:r>
      <w:r>
        <w:rPr>
          <w:rFonts w:hint="eastAsia"/>
          <w:spacing w:val="-5"/>
          <w:sz w:val="44"/>
          <w:szCs w:val="44"/>
          <w:lang w:val="en-US" w:eastAsia="zh-CN"/>
        </w:rPr>
        <w:t>设计</w:t>
      </w:r>
      <w:r>
        <w:rPr>
          <w:rFonts w:hint="eastAsia"/>
          <w:spacing w:val="-5"/>
          <w:sz w:val="44"/>
          <w:szCs w:val="44"/>
          <w:lang w:eastAsia="zh-CN"/>
        </w:rPr>
        <w:t>）</w:t>
      </w:r>
    </w:p>
    <w:p w14:paraId="0CDC81E3">
      <w:pPr>
        <w:pStyle w:val="2"/>
        <w:spacing w:before="44" w:line="237" w:lineRule="auto"/>
        <w:ind w:right="978"/>
        <w:jc w:val="center"/>
        <w:rPr>
          <w:spacing w:val="-5"/>
          <w:sz w:val="44"/>
          <w:szCs w:val="44"/>
        </w:rPr>
      </w:pPr>
    </w:p>
    <w:p w14:paraId="6CDC45C5">
      <w:pPr>
        <w:pStyle w:val="2"/>
        <w:spacing w:before="44" w:line="237" w:lineRule="auto"/>
        <w:ind w:right="978"/>
        <w:jc w:val="left"/>
        <w:rPr>
          <w:rFonts w:hint="eastAsia" w:eastAsia="仿宋"/>
          <w:spacing w:val="-5"/>
          <w:sz w:val="32"/>
          <w:szCs w:val="32"/>
          <w:lang w:val="en-US" w:eastAsia="zh-CN"/>
        </w:rPr>
      </w:pPr>
      <w:r>
        <w:rPr>
          <w:rFonts w:hint="eastAsia"/>
          <w:spacing w:val="-5"/>
          <w:sz w:val="32"/>
          <w:szCs w:val="32"/>
          <w:lang w:val="en-US" w:eastAsia="zh-CN"/>
        </w:rPr>
        <w:t>企业名称：</w:t>
      </w:r>
    </w:p>
    <w:p w14:paraId="2A890F43">
      <w:pPr>
        <w:spacing w:line="87" w:lineRule="exact"/>
      </w:pPr>
    </w:p>
    <w:tbl>
      <w:tblPr>
        <w:tblStyle w:val="6"/>
        <w:tblW w:w="83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388"/>
        <w:gridCol w:w="979"/>
        <w:gridCol w:w="4085"/>
        <w:gridCol w:w="944"/>
      </w:tblGrid>
      <w:tr w14:paraId="1F393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63" w:type="dxa"/>
            <w:vAlign w:val="top"/>
          </w:tcPr>
          <w:p w14:paraId="30E5243B">
            <w:pPr>
              <w:pStyle w:val="7"/>
              <w:spacing w:before="106" w:line="221" w:lineRule="auto"/>
              <w:ind w:left="22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序号</w:t>
            </w:r>
          </w:p>
        </w:tc>
        <w:tc>
          <w:tcPr>
            <w:tcW w:w="1388" w:type="dxa"/>
            <w:vAlign w:val="top"/>
          </w:tcPr>
          <w:p w14:paraId="12000CB8">
            <w:pPr>
              <w:pStyle w:val="7"/>
              <w:spacing w:before="106" w:line="220" w:lineRule="auto"/>
              <w:ind w:left="311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评分项</w:t>
            </w:r>
          </w:p>
        </w:tc>
        <w:tc>
          <w:tcPr>
            <w:tcW w:w="979" w:type="dxa"/>
            <w:vAlign w:val="top"/>
          </w:tcPr>
          <w:p w14:paraId="7D9BEC3C">
            <w:pPr>
              <w:pStyle w:val="7"/>
              <w:spacing w:before="105" w:line="219" w:lineRule="auto"/>
              <w:ind w:left="233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分值</w:t>
            </w:r>
          </w:p>
        </w:tc>
        <w:tc>
          <w:tcPr>
            <w:tcW w:w="4085" w:type="dxa"/>
            <w:vAlign w:val="top"/>
          </w:tcPr>
          <w:p w14:paraId="554EF218">
            <w:pPr>
              <w:pStyle w:val="7"/>
              <w:spacing w:before="106" w:line="220" w:lineRule="auto"/>
              <w:ind w:left="215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评分标准</w:t>
            </w:r>
          </w:p>
        </w:tc>
        <w:tc>
          <w:tcPr>
            <w:tcW w:w="944" w:type="dxa"/>
            <w:vAlign w:val="top"/>
          </w:tcPr>
          <w:p w14:paraId="7E0B6310">
            <w:pPr>
              <w:pStyle w:val="7"/>
              <w:spacing w:before="105" w:line="219" w:lineRule="auto"/>
              <w:ind w:left="239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得分</w:t>
            </w:r>
          </w:p>
        </w:tc>
      </w:tr>
      <w:tr w14:paraId="21ADD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359" w:type="dxa"/>
            <w:gridSpan w:val="5"/>
            <w:vAlign w:val="top"/>
          </w:tcPr>
          <w:p w14:paraId="311387CD">
            <w:pPr>
              <w:pStyle w:val="7"/>
              <w:spacing w:before="101" w:line="219" w:lineRule="auto"/>
              <w:ind w:left="94"/>
              <w:rPr>
                <w:sz w:val="28"/>
                <w:szCs w:val="28"/>
              </w:rPr>
            </w:pPr>
          </w:p>
        </w:tc>
      </w:tr>
      <w:tr w14:paraId="278CC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1811A4A3">
            <w:pPr>
              <w:spacing w:line="284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6070283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388" w:type="dxa"/>
            <w:vAlign w:val="center"/>
          </w:tcPr>
          <w:p w14:paraId="49B340D2">
            <w:pPr>
              <w:pStyle w:val="7"/>
              <w:spacing w:before="183" w:line="248" w:lineRule="auto"/>
              <w:ind w:left="311" w:right="187" w:hanging="130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理解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与响应</w:t>
            </w:r>
          </w:p>
        </w:tc>
        <w:tc>
          <w:tcPr>
            <w:tcW w:w="979" w:type="dxa"/>
            <w:vAlign w:val="center"/>
          </w:tcPr>
          <w:p w14:paraId="0B2D79CB">
            <w:pPr>
              <w:spacing w:line="26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757CAE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4085" w:type="dxa"/>
            <w:vAlign w:val="top"/>
          </w:tcPr>
          <w:p w14:paraId="6909E3DA">
            <w:pPr>
              <w:pStyle w:val="7"/>
              <w:spacing w:before="21" w:line="233" w:lineRule="auto"/>
              <w:ind w:left="14" w:firstLine="19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完全响应需求、理解透彻、贴合项目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实际：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分；基本响应：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1D2C2F40">
            <w:pPr>
              <w:pStyle w:val="7"/>
              <w:spacing w:line="196" w:lineRule="auto"/>
              <w:ind w:left="104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响应不足：0-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944" w:type="dxa"/>
            <w:vAlign w:val="top"/>
          </w:tcPr>
          <w:p w14:paraId="2EA56C48">
            <w:pPr>
              <w:rPr>
                <w:rFonts w:ascii="Arial"/>
                <w:sz w:val="28"/>
                <w:szCs w:val="28"/>
              </w:rPr>
            </w:pPr>
          </w:p>
        </w:tc>
      </w:tr>
      <w:tr w14:paraId="04426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2077C499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8" w:type="dxa"/>
            <w:vAlign w:val="center"/>
          </w:tcPr>
          <w:p w14:paraId="567EB85F">
            <w:pPr>
              <w:pStyle w:val="7"/>
              <w:spacing w:before="193" w:line="239" w:lineRule="auto"/>
              <w:ind w:left="311" w:right="183" w:hanging="13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企业注册地</w:t>
            </w:r>
          </w:p>
        </w:tc>
        <w:tc>
          <w:tcPr>
            <w:tcW w:w="979" w:type="dxa"/>
            <w:vAlign w:val="center"/>
          </w:tcPr>
          <w:p w14:paraId="57A8C911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4085" w:type="dxa"/>
            <w:vAlign w:val="center"/>
          </w:tcPr>
          <w:p w14:paraId="5E6CBE68">
            <w:pPr>
              <w:pStyle w:val="7"/>
              <w:spacing w:before="15" w:line="196" w:lineRule="auto"/>
              <w:ind w:left="104"/>
              <w:jc w:val="both"/>
              <w:rPr>
                <w:rFonts w:hint="eastAsia" w:ascii="宋体" w:hAnsi="宋体" w:eastAsia="宋体" w:cs="宋体"/>
                <w:strike/>
                <w:dstrike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企业注册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地在梅县区范围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20-25分，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外地注册但在梅县区设立固定经营场所、配备常驻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设计团队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的企业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10-20分，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外地注册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且未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在梅县区设立固定经营场所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0-10分。</w:t>
            </w:r>
          </w:p>
        </w:tc>
        <w:tc>
          <w:tcPr>
            <w:tcW w:w="944" w:type="dxa"/>
            <w:vAlign w:val="top"/>
          </w:tcPr>
          <w:p w14:paraId="6253AE68">
            <w:pPr>
              <w:rPr>
                <w:rFonts w:ascii="Arial"/>
                <w:sz w:val="28"/>
                <w:szCs w:val="28"/>
              </w:rPr>
            </w:pPr>
          </w:p>
        </w:tc>
      </w:tr>
      <w:tr w14:paraId="4C752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7385F269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88" w:type="dxa"/>
            <w:vAlign w:val="center"/>
          </w:tcPr>
          <w:p w14:paraId="4BAE8BB6">
            <w:pPr>
              <w:pStyle w:val="7"/>
              <w:spacing w:before="206" w:line="223" w:lineRule="auto"/>
              <w:ind w:left="311" w:right="173" w:hanging="130"/>
              <w:jc w:val="both"/>
              <w:rPr>
                <w:rFonts w:hint="default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员</w:t>
            </w: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配置</w:t>
            </w:r>
          </w:p>
        </w:tc>
        <w:tc>
          <w:tcPr>
            <w:tcW w:w="979" w:type="dxa"/>
            <w:vAlign w:val="center"/>
          </w:tcPr>
          <w:p w14:paraId="01E29686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4085" w:type="dxa"/>
            <w:vAlign w:val="center"/>
          </w:tcPr>
          <w:p w14:paraId="0D301947">
            <w:pPr>
              <w:pStyle w:val="7"/>
              <w:spacing w:before="53" w:line="213" w:lineRule="auto"/>
              <w:ind w:left="94"/>
              <w:jc w:val="both"/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常驻梅县区固定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人数小于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：3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分；≥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0人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：5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944" w:type="dxa"/>
            <w:vAlign w:val="top"/>
          </w:tcPr>
          <w:p w14:paraId="7DD36506">
            <w:pPr>
              <w:rPr>
                <w:rFonts w:ascii="Arial"/>
                <w:sz w:val="28"/>
                <w:szCs w:val="28"/>
              </w:rPr>
            </w:pPr>
          </w:p>
        </w:tc>
      </w:tr>
      <w:tr w14:paraId="029EF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6007A4FF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88" w:type="dxa"/>
            <w:vAlign w:val="center"/>
          </w:tcPr>
          <w:p w14:paraId="13344940">
            <w:pPr>
              <w:pStyle w:val="7"/>
              <w:spacing w:before="3" w:line="220" w:lineRule="auto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主要人员配置</w:t>
            </w:r>
          </w:p>
        </w:tc>
        <w:tc>
          <w:tcPr>
            <w:tcW w:w="979" w:type="dxa"/>
            <w:vAlign w:val="center"/>
          </w:tcPr>
          <w:p w14:paraId="448F9570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4085" w:type="dxa"/>
            <w:vAlign w:val="center"/>
          </w:tcPr>
          <w:p w14:paraId="0E28BE06">
            <w:pPr>
              <w:pStyle w:val="7"/>
              <w:spacing w:line="194" w:lineRule="auto"/>
              <w:ind w:left="84"/>
              <w:jc w:val="both"/>
              <w:rPr>
                <w:rFonts w:hint="eastAsia" w:ascii="宋体" w:hAnsi="宋体" w:eastAsia="宋体" w:cs="宋体"/>
                <w:strike w:val="0"/>
                <w:dstrike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每位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加2分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每位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中级工程师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分，最高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944" w:type="dxa"/>
            <w:vAlign w:val="top"/>
          </w:tcPr>
          <w:p w14:paraId="00A66D44">
            <w:pPr>
              <w:rPr>
                <w:rFonts w:ascii="Arial"/>
                <w:sz w:val="28"/>
                <w:szCs w:val="28"/>
              </w:rPr>
            </w:pPr>
          </w:p>
        </w:tc>
      </w:tr>
      <w:tr w14:paraId="5DAB7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63" w:type="dxa"/>
            <w:vAlign w:val="center"/>
          </w:tcPr>
          <w:p w14:paraId="649010B6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CC1A009">
            <w:pPr>
              <w:pStyle w:val="7"/>
              <w:spacing w:before="249" w:line="232" w:lineRule="auto"/>
              <w:ind w:left="430" w:leftChars="0" w:right="148" w:rightChars="0" w:hanging="249" w:firstLine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1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</w:rPr>
              <w:t>业绩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9F9B99A">
            <w:pPr>
              <w:spacing w:line="326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D762E10">
            <w:pPr>
              <w:pStyle w:val="7"/>
              <w:spacing w:before="82" w:line="220" w:lineRule="auto"/>
              <w:ind w:left="233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cs="宋体"/>
                <w:color w:val="auto"/>
                <w:spacing w:val="3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8"/>
                <w:szCs w:val="28"/>
              </w:rPr>
              <w:t>分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30A2A5D4">
            <w:pPr>
              <w:pStyle w:val="7"/>
              <w:spacing w:before="78" w:line="234" w:lineRule="auto"/>
              <w:ind w:left="94" w:leftChars="0" w:right="89" w:righ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近3年内完成至少1项本地公路水毁修复、道路应急抢通、农村公路养护同类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业绩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得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分，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每增加1项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业绩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加</w:t>
            </w:r>
            <w:r>
              <w:rPr>
                <w:rFonts w:hint="eastAsia" w:cs="宋体"/>
                <w:spacing w:val="4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分，最高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分(需附合同关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键页)。</w:t>
            </w:r>
          </w:p>
        </w:tc>
        <w:tc>
          <w:tcPr>
            <w:tcW w:w="944" w:type="dxa"/>
            <w:vAlign w:val="top"/>
          </w:tcPr>
          <w:p w14:paraId="2C4742AE">
            <w:pPr>
              <w:rPr>
                <w:rFonts w:ascii="Arial"/>
                <w:sz w:val="28"/>
                <w:szCs w:val="28"/>
              </w:rPr>
            </w:pPr>
          </w:p>
        </w:tc>
      </w:tr>
      <w:tr w14:paraId="2F7E1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963" w:type="dxa"/>
            <w:vAlign w:val="center"/>
          </w:tcPr>
          <w:p w14:paraId="7B91C305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88" w:type="dxa"/>
            <w:vAlign w:val="center"/>
          </w:tcPr>
          <w:p w14:paraId="45EC0538">
            <w:pPr>
              <w:pStyle w:val="7"/>
              <w:spacing w:before="82" w:line="227" w:lineRule="auto"/>
              <w:ind w:left="311" w:right="306" w:firstLine="119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完成设计任务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979" w:type="dxa"/>
            <w:vAlign w:val="center"/>
          </w:tcPr>
          <w:p w14:paraId="3C0CA647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4085" w:type="dxa"/>
            <w:vAlign w:val="center"/>
          </w:tcPr>
          <w:p w14:paraId="5B7FA7CB">
            <w:pPr>
              <w:pStyle w:val="7"/>
              <w:spacing w:before="4" w:line="209" w:lineRule="auto"/>
              <w:ind w:left="113" w:right="89" w:hanging="19"/>
              <w:jc w:val="both"/>
              <w:rPr>
                <w:rFonts w:hint="default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近三年内在合同期内完成设计任务的，得6分，每增加一项加2分，最高20分，（需附合同及成果关键页）</w:t>
            </w:r>
          </w:p>
        </w:tc>
        <w:tc>
          <w:tcPr>
            <w:tcW w:w="944" w:type="dxa"/>
            <w:vAlign w:val="top"/>
          </w:tcPr>
          <w:p w14:paraId="6A1A1B85">
            <w:pPr>
              <w:rPr>
                <w:rFonts w:ascii="Arial"/>
                <w:sz w:val="28"/>
                <w:szCs w:val="28"/>
              </w:rPr>
            </w:pPr>
          </w:p>
        </w:tc>
      </w:tr>
    </w:tbl>
    <w:p w14:paraId="1874C0F4">
      <w:pPr>
        <w:rPr>
          <w:rFonts w:ascii="Arial" w:hAnsi="Arial" w:eastAsia="Arial" w:cs="Arial"/>
          <w:sz w:val="21"/>
          <w:szCs w:val="21"/>
        </w:rPr>
        <w:sectPr>
          <w:pgSz w:w="11920" w:h="16840"/>
          <w:pgMar w:top="1364" w:right="1495" w:bottom="1366" w:left="1497" w:header="0" w:footer="0" w:gutter="0"/>
          <w:cols w:space="720" w:num="1"/>
        </w:sectPr>
      </w:pPr>
      <w:bookmarkStart w:id="0" w:name="_GoBack"/>
      <w:bookmarkEnd w:id="0"/>
    </w:p>
    <w:p w14:paraId="7B0462F9">
      <w:pPr>
        <w:rPr>
          <w:rFonts w:ascii="Arial"/>
          <w:sz w:val="21"/>
        </w:rPr>
      </w:pPr>
    </w:p>
    <w:sectPr>
      <w:pgSz w:w="11920" w:h="16840"/>
      <w:pgMar w:top="1269" w:right="1788" w:bottom="0" w:left="17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2B59D3"/>
    <w:rsid w:val="0B5C3E34"/>
    <w:rsid w:val="0CF21AAA"/>
    <w:rsid w:val="0FBF773E"/>
    <w:rsid w:val="2E4816A9"/>
    <w:rsid w:val="49F94202"/>
    <w:rsid w:val="541E7880"/>
    <w:rsid w:val="681A3C4E"/>
    <w:rsid w:val="779B0608"/>
    <w:rsid w:val="7983331D"/>
    <w:rsid w:val="7C7434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391</Words>
  <Characters>426</Characters>
  <TotalTime>41</TotalTime>
  <ScaleCrop>false</ScaleCrop>
  <LinksUpToDate>false</LinksUpToDate>
  <CharactersWithSpaces>436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2026-05-28T09:05:00Z</dcterms:created>
  <dc:creator>Administrator</dc:creator>
  <cp:lastModifiedBy>基建</cp:lastModifiedBy>
  <dcterms:modified xsi:type="dcterms:W3CDTF">2026-09-02T02:11:28Z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2026-05-28T09:05:12Z</vt:filetime>
  </property>
  <property fmtid="{D5CDD505-2E9C-101B-9397-08002B2CF9AE}" pid="4" name="UsrData">
    <vt:lpwstr>6a1794c6dc78ba001f1df3a5wl</vt:lpwstr>
  </property>
  <property fmtid="{D5CDD505-2E9C-101B-9397-08002B2CF9AE}" pid="5" name="KSOTemplateDocerSaveRecord">
    <vt:lpwstr>eyJoZGlkIjoiNWUxMmFhOWQyZmE1Y2UzYzM3OGE0OWFjZjc1MDEzODQiLCJ1c2VySWQiOiIyNDAwMjQ0OTcifQ==</vt:lpwstr>
  </property>
  <property fmtid="{D5CDD505-2E9C-101B-9397-08002B2CF9AE}" pid="6" name="KSOProductBuildVer">
    <vt:lpwstr>2052-12.1.0.28505</vt:lpwstr>
  </property>
  <property fmtid="{D5CDD505-2E9C-101B-9397-08002B2CF9AE}" pid="7" name="ICV">
    <vt:lpwstr>D897A8F3B44B4DD7B9AE1C985F04513F_13</vt:lpwstr>
  </property>
</Properties>
</file>