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2B4C42">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方正小标宋简体" w:cs="方正小标宋简体"/>
          <w:sz w:val="44"/>
          <w:szCs w:val="44"/>
          <w:lang w:val="en-US" w:eastAsia="zh-CN"/>
        </w:rPr>
      </w:pPr>
      <w:bookmarkStart w:id="0" w:name="OLE_LINK1"/>
      <w:bookmarkStart w:id="14" w:name="_GoBack"/>
      <w:bookmarkEnd w:id="14"/>
    </w:p>
    <w:p w14:paraId="4630C469">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方正小标宋简体" w:cs="方正小标宋简体"/>
          <w:sz w:val="44"/>
          <w:szCs w:val="44"/>
          <w:lang w:val="en-US" w:eastAsia="zh-CN"/>
        </w:rPr>
      </w:pPr>
      <w:r>
        <w:rPr>
          <w:rFonts w:hint="eastAsia" w:ascii="Times New Roman" w:hAnsi="Times New Roman" w:eastAsia="方正小标宋简体" w:cs="方正小标宋简体"/>
          <w:sz w:val="44"/>
          <w:szCs w:val="44"/>
          <w:lang w:val="en-US" w:eastAsia="zh-CN"/>
        </w:rPr>
        <w:t>梅州市梅县区体育发展“十五五”规划</w:t>
      </w:r>
    </w:p>
    <w:p w14:paraId="043C0BCA">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方正小标宋简体" w:cs="方正小标宋简体"/>
          <w:sz w:val="44"/>
          <w:szCs w:val="44"/>
          <w:lang w:val="en-US" w:eastAsia="zh-CN"/>
        </w:rPr>
      </w:pPr>
      <w:r>
        <w:rPr>
          <w:rFonts w:hint="eastAsia" w:ascii="Times New Roman" w:hAnsi="Times New Roman" w:eastAsia="方正小标宋简体" w:cs="方正小标宋简体"/>
          <w:sz w:val="44"/>
          <w:szCs w:val="44"/>
          <w:lang w:val="en-US" w:eastAsia="zh-CN"/>
        </w:rPr>
        <w:t>（征求意见稿）</w:t>
      </w:r>
      <w:bookmarkEnd w:id="0"/>
    </w:p>
    <w:p w14:paraId="32DE22B7">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方正小标宋简体" w:cs="方正小标宋简体"/>
          <w:sz w:val="44"/>
          <w:szCs w:val="44"/>
          <w:lang w:val="en-US" w:eastAsia="zh-CN"/>
        </w:rPr>
      </w:pPr>
    </w:p>
    <w:p w14:paraId="61AD8932">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方正小标宋简体" w:cs="方正小标宋简体"/>
          <w:sz w:val="44"/>
          <w:szCs w:val="44"/>
          <w:lang w:val="en-US" w:eastAsia="zh-CN"/>
        </w:rPr>
      </w:pPr>
    </w:p>
    <w:p w14:paraId="26B7E471">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方正小标宋简体" w:cs="方正小标宋简体"/>
          <w:sz w:val="44"/>
          <w:szCs w:val="44"/>
          <w:lang w:val="en-US" w:eastAsia="zh-CN"/>
        </w:rPr>
      </w:pPr>
    </w:p>
    <w:p w14:paraId="2E7909FB">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方正小标宋简体" w:cs="方正小标宋简体"/>
          <w:sz w:val="44"/>
          <w:szCs w:val="44"/>
          <w:lang w:val="en-US" w:eastAsia="zh-CN"/>
        </w:rPr>
      </w:pPr>
    </w:p>
    <w:p w14:paraId="5DF1E9A0">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方正小标宋简体" w:cs="方正小标宋简体"/>
          <w:sz w:val="44"/>
          <w:szCs w:val="44"/>
          <w:lang w:val="en-US" w:eastAsia="zh-CN"/>
        </w:rPr>
      </w:pPr>
    </w:p>
    <w:p w14:paraId="309D5F4A">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方正小标宋简体" w:cs="方正小标宋简体"/>
          <w:sz w:val="44"/>
          <w:szCs w:val="44"/>
          <w:lang w:val="en-US" w:eastAsia="zh-CN"/>
        </w:rPr>
      </w:pPr>
    </w:p>
    <w:p w14:paraId="32B6F655">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方正小标宋简体" w:cs="方正小标宋简体"/>
          <w:sz w:val="44"/>
          <w:szCs w:val="44"/>
          <w:lang w:val="en-US" w:eastAsia="zh-CN"/>
        </w:rPr>
      </w:pPr>
    </w:p>
    <w:p w14:paraId="06FE9C6E">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方正小标宋简体" w:cs="方正小标宋简体"/>
          <w:sz w:val="44"/>
          <w:szCs w:val="44"/>
          <w:lang w:val="en-US" w:eastAsia="zh-CN"/>
        </w:rPr>
      </w:pPr>
    </w:p>
    <w:p w14:paraId="0C670EFF">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方正小标宋简体" w:cs="方正小标宋简体"/>
          <w:sz w:val="44"/>
          <w:szCs w:val="44"/>
          <w:lang w:val="en-US" w:eastAsia="zh-CN"/>
        </w:rPr>
      </w:pPr>
    </w:p>
    <w:p w14:paraId="02C27E06">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方正小标宋简体" w:cs="方正小标宋简体"/>
          <w:sz w:val="44"/>
          <w:szCs w:val="44"/>
          <w:lang w:val="en-US" w:eastAsia="zh-CN"/>
        </w:rPr>
      </w:pPr>
    </w:p>
    <w:p w14:paraId="05C9C480">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方正小标宋简体" w:cs="方正小标宋简体"/>
          <w:sz w:val="44"/>
          <w:szCs w:val="44"/>
          <w:lang w:val="en-US" w:eastAsia="zh-CN"/>
        </w:rPr>
      </w:pPr>
    </w:p>
    <w:p w14:paraId="1117C771">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方正小标宋简体" w:cs="方正小标宋简体"/>
          <w:sz w:val="44"/>
          <w:szCs w:val="44"/>
          <w:lang w:val="en-US" w:eastAsia="zh-CN"/>
        </w:rPr>
      </w:pPr>
    </w:p>
    <w:p w14:paraId="16E9BEB1">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方正小标宋简体" w:cs="方正小标宋简体"/>
          <w:sz w:val="44"/>
          <w:szCs w:val="44"/>
          <w:lang w:val="en-US" w:eastAsia="zh-CN"/>
        </w:rPr>
      </w:pPr>
    </w:p>
    <w:p w14:paraId="6501E408">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方正小标宋简体" w:cs="方正小标宋简体"/>
          <w:sz w:val="44"/>
          <w:szCs w:val="44"/>
          <w:lang w:val="en-US" w:eastAsia="zh-CN"/>
        </w:rPr>
      </w:pPr>
    </w:p>
    <w:p w14:paraId="745BC7DE">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方正小标宋简体" w:cs="方正小标宋简体"/>
          <w:sz w:val="44"/>
          <w:szCs w:val="44"/>
          <w:lang w:val="en-US" w:eastAsia="zh-CN"/>
        </w:rPr>
      </w:pPr>
      <w:r>
        <w:rPr>
          <w:rFonts w:hint="eastAsia" w:ascii="Times New Roman" w:hAnsi="Times New Roman" w:eastAsia="方正小标宋简体" w:cs="方正小标宋简体"/>
          <w:sz w:val="44"/>
          <w:szCs w:val="44"/>
          <w:lang w:val="en-US" w:eastAsia="zh-CN"/>
        </w:rPr>
        <w:t>2026年  月  日</w:t>
      </w:r>
    </w:p>
    <w:p w14:paraId="32FE3AA9">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方正小标宋简体" w:cs="方正小标宋简体"/>
          <w:sz w:val="44"/>
          <w:szCs w:val="44"/>
          <w:lang w:val="en-US" w:eastAsia="zh-CN"/>
        </w:rPr>
        <w:sectPr>
          <w:footerReference r:id="rId3" w:type="default"/>
          <w:pgSz w:w="11906" w:h="16838"/>
          <w:pgMar w:top="2098" w:right="1474" w:bottom="1984" w:left="1587" w:header="851" w:footer="992" w:gutter="0"/>
          <w:cols w:space="0" w:num="1"/>
          <w:docGrid w:type="linesAndChars" w:linePitch="312" w:charSpace="-1839"/>
        </w:sectPr>
      </w:pPr>
    </w:p>
    <w:sdt>
      <w:sdtPr>
        <w:rPr>
          <w:rFonts w:ascii="宋体" w:hAnsi="宋体" w:eastAsia="宋体" w:cstheme="minorBidi"/>
          <w:b/>
          <w:bCs/>
          <w:kern w:val="2"/>
          <w:sz w:val="52"/>
          <w:szCs w:val="52"/>
          <w:lang w:val="en-US" w:eastAsia="zh-CN" w:bidi="ar-SA"/>
        </w:rPr>
        <w:id w:val="147457559"/>
        <w15:color w:val="DBDBDB"/>
        <w:docPartObj>
          <w:docPartGallery w:val="Table of Contents"/>
          <w:docPartUnique/>
        </w:docPartObj>
      </w:sdtPr>
      <w:sdtEndPr>
        <w:rPr>
          <w:rFonts w:ascii="宋体" w:hAnsi="宋体" w:eastAsia="宋体" w:cstheme="minorBidi"/>
          <w:b/>
          <w:bCs/>
          <w:kern w:val="2"/>
          <w:sz w:val="52"/>
          <w:szCs w:val="52"/>
          <w:lang w:val="en-US" w:eastAsia="zh-CN" w:bidi="ar-SA"/>
        </w:rPr>
      </w:sdtEndPr>
      <w:sdtContent>
        <w:p w14:paraId="313EEDEE">
          <w:pPr>
            <w:spacing w:before="0" w:beforeLines="0" w:after="0" w:afterLines="0" w:line="240" w:lineRule="auto"/>
            <w:ind w:left="0" w:leftChars="0" w:right="0" w:rightChars="0" w:firstLine="0" w:firstLineChars="0"/>
            <w:jc w:val="center"/>
            <w:rPr>
              <w:rFonts w:ascii="宋体" w:hAnsi="宋体" w:eastAsia="宋体"/>
              <w:b/>
              <w:bCs/>
              <w:sz w:val="52"/>
              <w:szCs w:val="52"/>
            </w:rPr>
          </w:pPr>
          <w:r>
            <w:rPr>
              <w:rFonts w:ascii="宋体" w:hAnsi="宋体" w:eastAsia="宋体"/>
              <w:b/>
              <w:bCs/>
              <w:sz w:val="52"/>
              <w:szCs w:val="52"/>
            </w:rPr>
            <w:t>目</w:t>
          </w:r>
          <w:r>
            <w:rPr>
              <w:rFonts w:hint="eastAsia" w:ascii="宋体" w:hAnsi="宋体" w:eastAsia="宋体"/>
              <w:b/>
              <w:bCs/>
              <w:sz w:val="52"/>
              <w:szCs w:val="52"/>
              <w:lang w:val="en-US" w:eastAsia="zh-CN"/>
            </w:rPr>
            <w:t xml:space="preserve">  </w:t>
          </w:r>
          <w:r>
            <w:rPr>
              <w:rFonts w:ascii="宋体" w:hAnsi="宋体" w:eastAsia="宋体"/>
              <w:b/>
              <w:bCs/>
              <w:sz w:val="52"/>
              <w:szCs w:val="52"/>
            </w:rPr>
            <w:t>录</w:t>
          </w:r>
        </w:p>
        <w:p w14:paraId="0EC5BD8A">
          <w:pPr>
            <w:spacing w:before="0" w:beforeLines="0" w:after="0" w:afterLines="0" w:line="240" w:lineRule="auto"/>
            <w:ind w:left="0" w:leftChars="0" w:right="0" w:rightChars="0" w:firstLine="0" w:firstLineChars="0"/>
            <w:jc w:val="center"/>
            <w:rPr>
              <w:rFonts w:ascii="宋体" w:hAnsi="宋体" w:eastAsia="宋体"/>
              <w:b/>
              <w:bCs/>
              <w:sz w:val="52"/>
              <w:szCs w:val="52"/>
            </w:rPr>
          </w:pPr>
        </w:p>
        <w:p w14:paraId="7A497EB6">
          <w:pPr>
            <w:pStyle w:val="7"/>
            <w:tabs>
              <w:tab w:val="right" w:leader="dot" w:pos="8845"/>
            </w:tabs>
            <w:rPr>
              <w:sz w:val="28"/>
              <w:szCs w:val="36"/>
            </w:rPr>
          </w:pPr>
          <w:r>
            <w:rPr>
              <w:sz w:val="28"/>
              <w:szCs w:val="36"/>
            </w:rPr>
            <w:fldChar w:fldCharType="begin"/>
          </w:r>
          <w:r>
            <w:rPr>
              <w:sz w:val="28"/>
              <w:szCs w:val="36"/>
            </w:rPr>
            <w:instrText xml:space="preserve">TOC \o "1-1" \h \u </w:instrText>
          </w:r>
          <w:r>
            <w:rPr>
              <w:sz w:val="28"/>
              <w:szCs w:val="36"/>
            </w:rPr>
            <w:fldChar w:fldCharType="separate"/>
          </w:r>
          <w:r>
            <w:rPr>
              <w:sz w:val="28"/>
              <w:szCs w:val="36"/>
            </w:rPr>
            <w:fldChar w:fldCharType="begin"/>
          </w:r>
          <w:r>
            <w:rPr>
              <w:sz w:val="28"/>
              <w:szCs w:val="36"/>
            </w:rPr>
            <w:instrText xml:space="preserve"> HYPERLINK \l _Toc30955 </w:instrText>
          </w:r>
          <w:r>
            <w:rPr>
              <w:sz w:val="28"/>
              <w:szCs w:val="36"/>
            </w:rPr>
            <w:fldChar w:fldCharType="separate"/>
          </w:r>
          <w:r>
            <w:rPr>
              <w:rFonts w:hint="eastAsia" w:ascii="Times New Roman" w:hAnsi="Times New Roman" w:eastAsia="黑体" w:cs="黑体"/>
              <w:sz w:val="28"/>
              <w:szCs w:val="44"/>
              <w:lang w:val="en-US" w:eastAsia="zh-CN"/>
            </w:rPr>
            <w:t>一、总结回顾</w:t>
          </w:r>
          <w:r>
            <w:rPr>
              <w:sz w:val="28"/>
              <w:szCs w:val="36"/>
            </w:rPr>
            <w:tab/>
          </w:r>
          <w:r>
            <w:rPr>
              <w:sz w:val="28"/>
              <w:szCs w:val="36"/>
            </w:rPr>
            <w:fldChar w:fldCharType="begin"/>
          </w:r>
          <w:r>
            <w:rPr>
              <w:sz w:val="28"/>
              <w:szCs w:val="36"/>
            </w:rPr>
            <w:instrText xml:space="preserve"> PAGEREF _Toc30955 \h </w:instrText>
          </w:r>
          <w:r>
            <w:rPr>
              <w:sz w:val="28"/>
              <w:szCs w:val="36"/>
            </w:rPr>
            <w:fldChar w:fldCharType="separate"/>
          </w:r>
          <w:r>
            <w:rPr>
              <w:sz w:val="28"/>
              <w:szCs w:val="36"/>
            </w:rPr>
            <w:t>3</w:t>
          </w:r>
          <w:r>
            <w:rPr>
              <w:sz w:val="28"/>
              <w:szCs w:val="36"/>
            </w:rPr>
            <w:fldChar w:fldCharType="end"/>
          </w:r>
          <w:r>
            <w:rPr>
              <w:sz w:val="28"/>
              <w:szCs w:val="36"/>
            </w:rPr>
            <w:fldChar w:fldCharType="end"/>
          </w:r>
        </w:p>
        <w:p w14:paraId="16E08E99">
          <w:pPr>
            <w:pStyle w:val="7"/>
            <w:tabs>
              <w:tab w:val="right" w:leader="dot" w:pos="8845"/>
            </w:tabs>
            <w:rPr>
              <w:sz w:val="28"/>
              <w:szCs w:val="36"/>
            </w:rPr>
          </w:pPr>
          <w:r>
            <w:rPr>
              <w:sz w:val="28"/>
              <w:szCs w:val="36"/>
            </w:rPr>
            <w:fldChar w:fldCharType="begin"/>
          </w:r>
          <w:r>
            <w:rPr>
              <w:sz w:val="28"/>
              <w:szCs w:val="36"/>
            </w:rPr>
            <w:instrText xml:space="preserve"> HYPERLINK \l _Toc8175 </w:instrText>
          </w:r>
          <w:r>
            <w:rPr>
              <w:sz w:val="28"/>
              <w:szCs w:val="36"/>
            </w:rPr>
            <w:fldChar w:fldCharType="separate"/>
          </w:r>
          <w:r>
            <w:rPr>
              <w:rFonts w:hint="eastAsia" w:ascii="Times New Roman" w:hAnsi="Times New Roman" w:eastAsia="黑体" w:cs="黑体"/>
              <w:sz w:val="28"/>
              <w:szCs w:val="44"/>
              <w:lang w:eastAsia="zh-CN"/>
            </w:rPr>
            <w:t>二</w:t>
          </w:r>
          <w:r>
            <w:rPr>
              <w:rFonts w:hint="eastAsia" w:ascii="Times New Roman" w:hAnsi="Times New Roman" w:eastAsia="黑体" w:cs="黑体"/>
              <w:sz w:val="28"/>
              <w:szCs w:val="44"/>
            </w:rPr>
            <w:t>、</w:t>
          </w:r>
          <w:r>
            <w:rPr>
              <w:rFonts w:hint="eastAsia" w:ascii="Times New Roman" w:hAnsi="Times New Roman" w:eastAsia="黑体" w:cs="黑体"/>
              <w:sz w:val="28"/>
              <w:szCs w:val="44"/>
              <w:lang w:val="en-US" w:eastAsia="zh-CN"/>
            </w:rPr>
            <w:t>发展规划</w:t>
          </w:r>
          <w:r>
            <w:rPr>
              <w:sz w:val="28"/>
              <w:szCs w:val="36"/>
            </w:rPr>
            <w:tab/>
          </w:r>
          <w:r>
            <w:rPr>
              <w:sz w:val="28"/>
              <w:szCs w:val="36"/>
            </w:rPr>
            <w:fldChar w:fldCharType="begin"/>
          </w:r>
          <w:r>
            <w:rPr>
              <w:sz w:val="28"/>
              <w:szCs w:val="36"/>
            </w:rPr>
            <w:instrText xml:space="preserve"> PAGEREF _Toc8175 \h </w:instrText>
          </w:r>
          <w:r>
            <w:rPr>
              <w:sz w:val="28"/>
              <w:szCs w:val="36"/>
            </w:rPr>
            <w:fldChar w:fldCharType="separate"/>
          </w:r>
          <w:r>
            <w:rPr>
              <w:sz w:val="28"/>
              <w:szCs w:val="36"/>
            </w:rPr>
            <w:t>6</w:t>
          </w:r>
          <w:r>
            <w:rPr>
              <w:sz w:val="28"/>
              <w:szCs w:val="36"/>
            </w:rPr>
            <w:fldChar w:fldCharType="end"/>
          </w:r>
          <w:r>
            <w:rPr>
              <w:sz w:val="28"/>
              <w:szCs w:val="36"/>
            </w:rPr>
            <w:fldChar w:fldCharType="end"/>
          </w:r>
        </w:p>
        <w:p w14:paraId="42DA175F">
          <w:pPr>
            <w:pStyle w:val="7"/>
            <w:tabs>
              <w:tab w:val="right" w:leader="dot" w:pos="8845"/>
            </w:tabs>
            <w:rPr>
              <w:sz w:val="28"/>
              <w:szCs w:val="36"/>
            </w:rPr>
          </w:pPr>
          <w:r>
            <w:rPr>
              <w:sz w:val="28"/>
              <w:szCs w:val="36"/>
            </w:rPr>
            <w:fldChar w:fldCharType="begin"/>
          </w:r>
          <w:r>
            <w:rPr>
              <w:sz w:val="28"/>
              <w:szCs w:val="36"/>
            </w:rPr>
            <w:instrText xml:space="preserve"> HYPERLINK \l _Toc30927 </w:instrText>
          </w:r>
          <w:r>
            <w:rPr>
              <w:sz w:val="28"/>
              <w:szCs w:val="36"/>
            </w:rPr>
            <w:fldChar w:fldCharType="separate"/>
          </w:r>
          <w:r>
            <w:rPr>
              <w:rFonts w:hint="eastAsia" w:ascii="Times New Roman" w:hAnsi="Times New Roman" w:eastAsia="楷体" w:cs="楷体"/>
              <w:bCs w:val="0"/>
              <w:sz w:val="28"/>
              <w:szCs w:val="44"/>
            </w:rPr>
            <w:t>（一）指导思想</w:t>
          </w:r>
          <w:r>
            <w:rPr>
              <w:sz w:val="28"/>
              <w:szCs w:val="36"/>
            </w:rPr>
            <w:tab/>
          </w:r>
          <w:r>
            <w:rPr>
              <w:sz w:val="28"/>
              <w:szCs w:val="36"/>
            </w:rPr>
            <w:fldChar w:fldCharType="begin"/>
          </w:r>
          <w:r>
            <w:rPr>
              <w:sz w:val="28"/>
              <w:szCs w:val="36"/>
            </w:rPr>
            <w:instrText xml:space="preserve"> PAGEREF _Toc30927 \h </w:instrText>
          </w:r>
          <w:r>
            <w:rPr>
              <w:sz w:val="28"/>
              <w:szCs w:val="36"/>
            </w:rPr>
            <w:fldChar w:fldCharType="separate"/>
          </w:r>
          <w:r>
            <w:rPr>
              <w:sz w:val="28"/>
              <w:szCs w:val="36"/>
            </w:rPr>
            <w:t>6</w:t>
          </w:r>
          <w:r>
            <w:rPr>
              <w:sz w:val="28"/>
              <w:szCs w:val="36"/>
            </w:rPr>
            <w:fldChar w:fldCharType="end"/>
          </w:r>
          <w:r>
            <w:rPr>
              <w:sz w:val="28"/>
              <w:szCs w:val="36"/>
            </w:rPr>
            <w:fldChar w:fldCharType="end"/>
          </w:r>
        </w:p>
        <w:p w14:paraId="575FAB75">
          <w:pPr>
            <w:pStyle w:val="7"/>
            <w:tabs>
              <w:tab w:val="right" w:leader="dot" w:pos="8845"/>
            </w:tabs>
            <w:rPr>
              <w:sz w:val="28"/>
              <w:szCs w:val="36"/>
            </w:rPr>
          </w:pPr>
          <w:r>
            <w:rPr>
              <w:sz w:val="28"/>
              <w:szCs w:val="36"/>
            </w:rPr>
            <w:fldChar w:fldCharType="begin"/>
          </w:r>
          <w:r>
            <w:rPr>
              <w:sz w:val="28"/>
              <w:szCs w:val="36"/>
            </w:rPr>
            <w:instrText xml:space="preserve"> HYPERLINK \l _Toc2071 </w:instrText>
          </w:r>
          <w:r>
            <w:rPr>
              <w:sz w:val="28"/>
              <w:szCs w:val="36"/>
            </w:rPr>
            <w:fldChar w:fldCharType="separate"/>
          </w:r>
          <w:r>
            <w:rPr>
              <w:rFonts w:hint="eastAsia" w:ascii="Times New Roman" w:hAnsi="Times New Roman" w:eastAsia="楷体" w:cs="楷体"/>
              <w:bCs w:val="0"/>
              <w:sz w:val="28"/>
              <w:szCs w:val="44"/>
            </w:rPr>
            <w:t>（二）主要目标</w:t>
          </w:r>
          <w:r>
            <w:rPr>
              <w:sz w:val="28"/>
              <w:szCs w:val="36"/>
            </w:rPr>
            <w:tab/>
          </w:r>
          <w:r>
            <w:rPr>
              <w:sz w:val="28"/>
              <w:szCs w:val="36"/>
            </w:rPr>
            <w:fldChar w:fldCharType="begin"/>
          </w:r>
          <w:r>
            <w:rPr>
              <w:sz w:val="28"/>
              <w:szCs w:val="36"/>
            </w:rPr>
            <w:instrText xml:space="preserve"> PAGEREF _Toc2071 \h </w:instrText>
          </w:r>
          <w:r>
            <w:rPr>
              <w:sz w:val="28"/>
              <w:szCs w:val="36"/>
            </w:rPr>
            <w:fldChar w:fldCharType="separate"/>
          </w:r>
          <w:r>
            <w:rPr>
              <w:sz w:val="28"/>
              <w:szCs w:val="36"/>
            </w:rPr>
            <w:t>7</w:t>
          </w:r>
          <w:r>
            <w:rPr>
              <w:sz w:val="28"/>
              <w:szCs w:val="36"/>
            </w:rPr>
            <w:fldChar w:fldCharType="end"/>
          </w:r>
          <w:r>
            <w:rPr>
              <w:sz w:val="28"/>
              <w:szCs w:val="36"/>
            </w:rPr>
            <w:fldChar w:fldCharType="end"/>
          </w:r>
        </w:p>
        <w:p w14:paraId="09AC7504">
          <w:pPr>
            <w:pStyle w:val="7"/>
            <w:tabs>
              <w:tab w:val="right" w:leader="dot" w:pos="8845"/>
            </w:tabs>
            <w:rPr>
              <w:sz w:val="28"/>
              <w:szCs w:val="36"/>
            </w:rPr>
          </w:pPr>
          <w:r>
            <w:rPr>
              <w:sz w:val="28"/>
              <w:szCs w:val="36"/>
            </w:rPr>
            <w:fldChar w:fldCharType="begin"/>
          </w:r>
          <w:r>
            <w:rPr>
              <w:sz w:val="28"/>
              <w:szCs w:val="36"/>
            </w:rPr>
            <w:instrText xml:space="preserve"> HYPERLINK \l _Toc16757 </w:instrText>
          </w:r>
          <w:r>
            <w:rPr>
              <w:sz w:val="28"/>
              <w:szCs w:val="36"/>
            </w:rPr>
            <w:fldChar w:fldCharType="separate"/>
          </w:r>
          <w:r>
            <w:rPr>
              <w:rFonts w:hint="eastAsia" w:ascii="Times New Roman" w:hAnsi="Times New Roman" w:eastAsia="黑体" w:cs="黑体"/>
              <w:sz w:val="28"/>
              <w:szCs w:val="44"/>
              <w:lang w:eastAsia="zh-CN"/>
            </w:rPr>
            <w:t>三</w:t>
          </w:r>
          <w:r>
            <w:rPr>
              <w:rFonts w:hint="eastAsia" w:ascii="Times New Roman" w:hAnsi="Times New Roman" w:eastAsia="黑体" w:cs="黑体"/>
              <w:sz w:val="28"/>
              <w:szCs w:val="44"/>
            </w:rPr>
            <w:t>、主要任务</w:t>
          </w:r>
          <w:r>
            <w:rPr>
              <w:sz w:val="28"/>
              <w:szCs w:val="36"/>
            </w:rPr>
            <w:tab/>
          </w:r>
          <w:r>
            <w:rPr>
              <w:sz w:val="28"/>
              <w:szCs w:val="36"/>
            </w:rPr>
            <w:fldChar w:fldCharType="begin"/>
          </w:r>
          <w:r>
            <w:rPr>
              <w:sz w:val="28"/>
              <w:szCs w:val="36"/>
            </w:rPr>
            <w:instrText xml:space="preserve"> PAGEREF _Toc16757 \h </w:instrText>
          </w:r>
          <w:r>
            <w:rPr>
              <w:sz w:val="28"/>
              <w:szCs w:val="36"/>
            </w:rPr>
            <w:fldChar w:fldCharType="separate"/>
          </w:r>
          <w:r>
            <w:rPr>
              <w:sz w:val="28"/>
              <w:szCs w:val="36"/>
            </w:rPr>
            <w:t>9</w:t>
          </w:r>
          <w:r>
            <w:rPr>
              <w:sz w:val="28"/>
              <w:szCs w:val="36"/>
            </w:rPr>
            <w:fldChar w:fldCharType="end"/>
          </w:r>
          <w:r>
            <w:rPr>
              <w:sz w:val="28"/>
              <w:szCs w:val="36"/>
            </w:rPr>
            <w:fldChar w:fldCharType="end"/>
          </w:r>
        </w:p>
        <w:p w14:paraId="194E84BA">
          <w:pPr>
            <w:pStyle w:val="7"/>
            <w:tabs>
              <w:tab w:val="right" w:leader="dot" w:pos="8845"/>
            </w:tabs>
            <w:rPr>
              <w:sz w:val="28"/>
              <w:szCs w:val="36"/>
            </w:rPr>
          </w:pPr>
          <w:r>
            <w:rPr>
              <w:sz w:val="28"/>
              <w:szCs w:val="36"/>
            </w:rPr>
            <w:fldChar w:fldCharType="begin"/>
          </w:r>
          <w:r>
            <w:rPr>
              <w:sz w:val="28"/>
              <w:szCs w:val="36"/>
            </w:rPr>
            <w:instrText xml:space="preserve"> HYPERLINK \l _Toc233 </w:instrText>
          </w:r>
          <w:r>
            <w:rPr>
              <w:sz w:val="28"/>
              <w:szCs w:val="36"/>
            </w:rPr>
            <w:fldChar w:fldCharType="separate"/>
          </w:r>
          <w:r>
            <w:rPr>
              <w:rFonts w:hint="eastAsia" w:ascii="Times New Roman" w:hAnsi="Times New Roman" w:eastAsia="楷体" w:cs="楷体"/>
              <w:bCs w:val="0"/>
              <w:sz w:val="28"/>
              <w:szCs w:val="44"/>
            </w:rPr>
            <w:t>（</w:t>
          </w:r>
          <w:r>
            <w:rPr>
              <w:rFonts w:hint="eastAsia" w:ascii="Times New Roman" w:hAnsi="Times New Roman" w:eastAsia="楷体" w:cs="楷体"/>
              <w:bCs w:val="0"/>
              <w:sz w:val="28"/>
              <w:szCs w:val="44"/>
              <w:lang w:val="en-US"/>
            </w:rPr>
            <w:t>一</w:t>
          </w:r>
          <w:r>
            <w:rPr>
              <w:rFonts w:hint="eastAsia" w:ascii="Times New Roman" w:hAnsi="Times New Roman" w:eastAsia="楷体" w:cs="楷体"/>
              <w:bCs w:val="0"/>
              <w:sz w:val="28"/>
              <w:szCs w:val="44"/>
            </w:rPr>
            <w:t>）统筹规划布局，推动全民健身场地设施建设实现新突破</w:t>
          </w:r>
          <w:r>
            <w:rPr>
              <w:sz w:val="28"/>
              <w:szCs w:val="36"/>
            </w:rPr>
            <w:tab/>
          </w:r>
          <w:r>
            <w:rPr>
              <w:sz w:val="28"/>
              <w:szCs w:val="36"/>
            </w:rPr>
            <w:fldChar w:fldCharType="begin"/>
          </w:r>
          <w:r>
            <w:rPr>
              <w:sz w:val="28"/>
              <w:szCs w:val="36"/>
            </w:rPr>
            <w:instrText xml:space="preserve"> PAGEREF _Toc233 \h </w:instrText>
          </w:r>
          <w:r>
            <w:rPr>
              <w:sz w:val="28"/>
              <w:szCs w:val="36"/>
            </w:rPr>
            <w:fldChar w:fldCharType="separate"/>
          </w:r>
          <w:r>
            <w:rPr>
              <w:sz w:val="28"/>
              <w:szCs w:val="36"/>
            </w:rPr>
            <w:t>9</w:t>
          </w:r>
          <w:r>
            <w:rPr>
              <w:sz w:val="28"/>
              <w:szCs w:val="36"/>
            </w:rPr>
            <w:fldChar w:fldCharType="end"/>
          </w:r>
          <w:r>
            <w:rPr>
              <w:sz w:val="28"/>
              <w:szCs w:val="36"/>
            </w:rPr>
            <w:fldChar w:fldCharType="end"/>
          </w:r>
        </w:p>
        <w:p w14:paraId="55CC4DB8">
          <w:pPr>
            <w:pStyle w:val="7"/>
            <w:tabs>
              <w:tab w:val="right" w:leader="dot" w:pos="8845"/>
            </w:tabs>
            <w:rPr>
              <w:sz w:val="28"/>
              <w:szCs w:val="36"/>
            </w:rPr>
          </w:pPr>
          <w:r>
            <w:rPr>
              <w:sz w:val="28"/>
              <w:szCs w:val="36"/>
            </w:rPr>
            <w:fldChar w:fldCharType="begin"/>
          </w:r>
          <w:r>
            <w:rPr>
              <w:sz w:val="28"/>
              <w:szCs w:val="36"/>
            </w:rPr>
            <w:instrText xml:space="preserve"> HYPERLINK \l _Toc23639 </w:instrText>
          </w:r>
          <w:r>
            <w:rPr>
              <w:sz w:val="28"/>
              <w:szCs w:val="36"/>
            </w:rPr>
            <w:fldChar w:fldCharType="separate"/>
          </w:r>
          <w:r>
            <w:rPr>
              <w:rFonts w:hint="eastAsia" w:ascii="Times New Roman" w:hAnsi="Times New Roman" w:eastAsia="楷体" w:cs="楷体"/>
              <w:bCs w:val="0"/>
              <w:sz w:val="28"/>
              <w:szCs w:val="44"/>
              <w:lang w:val="en-US" w:eastAsia="zh-CN"/>
            </w:rPr>
            <w:t>（二）立足特色优势，精心打造特色鲜明的赛事新活动</w:t>
          </w:r>
          <w:r>
            <w:rPr>
              <w:sz w:val="28"/>
              <w:szCs w:val="36"/>
            </w:rPr>
            <w:tab/>
          </w:r>
          <w:r>
            <w:rPr>
              <w:sz w:val="28"/>
              <w:szCs w:val="36"/>
            </w:rPr>
            <w:fldChar w:fldCharType="begin"/>
          </w:r>
          <w:r>
            <w:rPr>
              <w:sz w:val="28"/>
              <w:szCs w:val="36"/>
            </w:rPr>
            <w:instrText xml:space="preserve"> PAGEREF _Toc23639 \h </w:instrText>
          </w:r>
          <w:r>
            <w:rPr>
              <w:sz w:val="28"/>
              <w:szCs w:val="36"/>
            </w:rPr>
            <w:fldChar w:fldCharType="separate"/>
          </w:r>
          <w:r>
            <w:rPr>
              <w:sz w:val="28"/>
              <w:szCs w:val="36"/>
            </w:rPr>
            <w:t>10</w:t>
          </w:r>
          <w:r>
            <w:rPr>
              <w:sz w:val="28"/>
              <w:szCs w:val="36"/>
            </w:rPr>
            <w:fldChar w:fldCharType="end"/>
          </w:r>
          <w:r>
            <w:rPr>
              <w:sz w:val="28"/>
              <w:szCs w:val="36"/>
            </w:rPr>
            <w:fldChar w:fldCharType="end"/>
          </w:r>
        </w:p>
        <w:p w14:paraId="7B691DCE">
          <w:pPr>
            <w:pStyle w:val="7"/>
            <w:tabs>
              <w:tab w:val="right" w:leader="dot" w:pos="8845"/>
            </w:tabs>
            <w:rPr>
              <w:sz w:val="28"/>
              <w:szCs w:val="36"/>
            </w:rPr>
          </w:pPr>
          <w:r>
            <w:rPr>
              <w:sz w:val="28"/>
              <w:szCs w:val="36"/>
            </w:rPr>
            <w:fldChar w:fldCharType="begin"/>
          </w:r>
          <w:r>
            <w:rPr>
              <w:sz w:val="28"/>
              <w:szCs w:val="36"/>
            </w:rPr>
            <w:instrText xml:space="preserve"> HYPERLINK \l _Toc10076 </w:instrText>
          </w:r>
          <w:r>
            <w:rPr>
              <w:sz w:val="28"/>
              <w:szCs w:val="36"/>
            </w:rPr>
            <w:fldChar w:fldCharType="separate"/>
          </w:r>
          <w:r>
            <w:rPr>
              <w:rFonts w:hint="eastAsia" w:ascii="Times New Roman" w:hAnsi="Times New Roman" w:eastAsia="楷体" w:cs="楷体"/>
              <w:bCs w:val="0"/>
              <w:sz w:val="28"/>
              <w:szCs w:val="44"/>
              <w:lang w:val="en-US" w:eastAsia="zh-CN"/>
            </w:rPr>
            <w:t>（三）强化党建引领与治理深化，构建体育社会组织发展新生态</w:t>
          </w:r>
          <w:r>
            <w:rPr>
              <w:sz w:val="28"/>
              <w:szCs w:val="36"/>
            </w:rPr>
            <w:tab/>
          </w:r>
          <w:r>
            <w:rPr>
              <w:sz w:val="28"/>
              <w:szCs w:val="36"/>
            </w:rPr>
            <w:fldChar w:fldCharType="begin"/>
          </w:r>
          <w:r>
            <w:rPr>
              <w:sz w:val="28"/>
              <w:szCs w:val="36"/>
            </w:rPr>
            <w:instrText xml:space="preserve"> PAGEREF _Toc10076 \h </w:instrText>
          </w:r>
          <w:r>
            <w:rPr>
              <w:sz w:val="28"/>
              <w:szCs w:val="36"/>
            </w:rPr>
            <w:fldChar w:fldCharType="separate"/>
          </w:r>
          <w:r>
            <w:rPr>
              <w:sz w:val="28"/>
              <w:szCs w:val="36"/>
            </w:rPr>
            <w:t>11</w:t>
          </w:r>
          <w:r>
            <w:rPr>
              <w:sz w:val="28"/>
              <w:szCs w:val="36"/>
            </w:rPr>
            <w:fldChar w:fldCharType="end"/>
          </w:r>
          <w:r>
            <w:rPr>
              <w:sz w:val="28"/>
              <w:szCs w:val="36"/>
            </w:rPr>
            <w:fldChar w:fldCharType="end"/>
          </w:r>
        </w:p>
        <w:p w14:paraId="1F434010">
          <w:pPr>
            <w:pStyle w:val="7"/>
            <w:tabs>
              <w:tab w:val="right" w:leader="dot" w:pos="8845"/>
            </w:tabs>
            <w:rPr>
              <w:sz w:val="28"/>
              <w:szCs w:val="36"/>
            </w:rPr>
          </w:pPr>
          <w:r>
            <w:rPr>
              <w:sz w:val="28"/>
              <w:szCs w:val="36"/>
            </w:rPr>
            <w:fldChar w:fldCharType="begin"/>
          </w:r>
          <w:r>
            <w:rPr>
              <w:sz w:val="28"/>
              <w:szCs w:val="36"/>
            </w:rPr>
            <w:instrText xml:space="preserve"> HYPERLINK \l _Toc28240 </w:instrText>
          </w:r>
          <w:r>
            <w:rPr>
              <w:sz w:val="28"/>
              <w:szCs w:val="36"/>
            </w:rPr>
            <w:fldChar w:fldCharType="separate"/>
          </w:r>
          <w:r>
            <w:rPr>
              <w:rFonts w:hint="eastAsia" w:ascii="Times New Roman" w:hAnsi="Times New Roman" w:eastAsia="楷体" w:cs="楷体"/>
              <w:bCs w:val="0"/>
              <w:sz w:val="28"/>
              <w:szCs w:val="44"/>
              <w:lang w:val="en-US" w:eastAsia="zh-CN"/>
            </w:rPr>
            <w:t>（四）科学谋划推进，全面提升全民科学健身服务新水平</w:t>
          </w:r>
          <w:r>
            <w:rPr>
              <w:sz w:val="28"/>
              <w:szCs w:val="36"/>
            </w:rPr>
            <w:tab/>
          </w:r>
          <w:r>
            <w:rPr>
              <w:sz w:val="28"/>
              <w:szCs w:val="36"/>
            </w:rPr>
            <w:fldChar w:fldCharType="begin"/>
          </w:r>
          <w:r>
            <w:rPr>
              <w:sz w:val="28"/>
              <w:szCs w:val="36"/>
            </w:rPr>
            <w:instrText xml:space="preserve"> PAGEREF _Toc28240 \h </w:instrText>
          </w:r>
          <w:r>
            <w:rPr>
              <w:sz w:val="28"/>
              <w:szCs w:val="36"/>
            </w:rPr>
            <w:fldChar w:fldCharType="separate"/>
          </w:r>
          <w:r>
            <w:rPr>
              <w:sz w:val="28"/>
              <w:szCs w:val="36"/>
            </w:rPr>
            <w:t>11</w:t>
          </w:r>
          <w:r>
            <w:rPr>
              <w:sz w:val="28"/>
              <w:szCs w:val="36"/>
            </w:rPr>
            <w:fldChar w:fldCharType="end"/>
          </w:r>
          <w:r>
            <w:rPr>
              <w:sz w:val="28"/>
              <w:szCs w:val="36"/>
            </w:rPr>
            <w:fldChar w:fldCharType="end"/>
          </w:r>
        </w:p>
        <w:p w14:paraId="2B94338A">
          <w:pPr>
            <w:pStyle w:val="7"/>
            <w:tabs>
              <w:tab w:val="right" w:leader="dot" w:pos="8845"/>
            </w:tabs>
            <w:rPr>
              <w:sz w:val="28"/>
              <w:szCs w:val="36"/>
            </w:rPr>
          </w:pPr>
          <w:r>
            <w:rPr>
              <w:sz w:val="28"/>
              <w:szCs w:val="36"/>
            </w:rPr>
            <w:fldChar w:fldCharType="begin"/>
          </w:r>
          <w:r>
            <w:rPr>
              <w:sz w:val="28"/>
              <w:szCs w:val="36"/>
            </w:rPr>
            <w:instrText xml:space="preserve"> HYPERLINK \l _Toc8604 </w:instrText>
          </w:r>
          <w:r>
            <w:rPr>
              <w:sz w:val="28"/>
              <w:szCs w:val="36"/>
            </w:rPr>
            <w:fldChar w:fldCharType="separate"/>
          </w:r>
          <w:r>
            <w:rPr>
              <w:rFonts w:hint="eastAsia" w:ascii="Times New Roman" w:hAnsi="Times New Roman" w:eastAsia="楷体" w:cs="楷体"/>
              <w:bCs w:val="0"/>
              <w:sz w:val="28"/>
              <w:szCs w:val="44"/>
              <w:lang w:val="en-US" w:eastAsia="zh-CN"/>
            </w:rPr>
            <w:t>（五）聚焦重点人群需求，促进基本公共体育服务均等化新发展</w:t>
          </w:r>
          <w:r>
            <w:rPr>
              <w:sz w:val="28"/>
              <w:szCs w:val="36"/>
            </w:rPr>
            <w:tab/>
          </w:r>
          <w:r>
            <w:rPr>
              <w:sz w:val="28"/>
              <w:szCs w:val="36"/>
            </w:rPr>
            <w:fldChar w:fldCharType="begin"/>
          </w:r>
          <w:r>
            <w:rPr>
              <w:sz w:val="28"/>
              <w:szCs w:val="36"/>
            </w:rPr>
            <w:instrText xml:space="preserve"> PAGEREF _Toc8604 \h </w:instrText>
          </w:r>
          <w:r>
            <w:rPr>
              <w:sz w:val="28"/>
              <w:szCs w:val="36"/>
            </w:rPr>
            <w:fldChar w:fldCharType="separate"/>
          </w:r>
          <w:r>
            <w:rPr>
              <w:sz w:val="28"/>
              <w:szCs w:val="36"/>
            </w:rPr>
            <w:t>12</w:t>
          </w:r>
          <w:r>
            <w:rPr>
              <w:sz w:val="28"/>
              <w:szCs w:val="36"/>
            </w:rPr>
            <w:fldChar w:fldCharType="end"/>
          </w:r>
          <w:r>
            <w:rPr>
              <w:sz w:val="28"/>
              <w:szCs w:val="36"/>
            </w:rPr>
            <w:fldChar w:fldCharType="end"/>
          </w:r>
        </w:p>
        <w:p w14:paraId="5FE27217">
          <w:pPr>
            <w:rPr>
              <w:rFonts w:hint="eastAsia" w:ascii="Times New Roman" w:hAnsi="Times New Roman" w:eastAsia="楷体" w:cs="楷体"/>
              <w:kern w:val="2"/>
              <w:sz w:val="28"/>
              <w:szCs w:val="28"/>
              <w:lang w:val="en-US" w:eastAsia="zh-CN" w:bidi="ar-SA"/>
            </w:rPr>
          </w:pPr>
          <w:r>
            <w:rPr>
              <w:rFonts w:hint="eastAsia" w:ascii="Times New Roman" w:hAnsi="Times New Roman" w:eastAsia="楷体" w:cs="楷体"/>
              <w:kern w:val="2"/>
              <w:sz w:val="28"/>
              <w:szCs w:val="28"/>
              <w:lang w:val="en-US" w:eastAsia="zh-CN" w:bidi="ar-SA"/>
            </w:rPr>
            <w:t>（六）夯实足球基础，构建多层级的足球发展体制机制</w:t>
          </w:r>
          <w:r>
            <w:rPr>
              <w:rFonts w:hint="eastAsia" w:eastAsia="楷体"/>
              <w:sz w:val="28"/>
              <w:szCs w:val="28"/>
              <w:lang w:val="en-US" w:eastAsia="zh-CN"/>
            </w:rPr>
            <w:t>....</w:t>
          </w:r>
          <w:r>
            <w:rPr>
              <w:rFonts w:hint="eastAsia"/>
              <w:sz w:val="28"/>
              <w:szCs w:val="28"/>
              <w:lang w:val="en-US" w:eastAsia="zh-CN"/>
            </w:rPr>
            <w:t>...........................</w:t>
          </w:r>
          <w:r>
            <w:rPr>
              <w:sz w:val="28"/>
              <w:szCs w:val="28"/>
            </w:rPr>
            <w:fldChar w:fldCharType="begin"/>
          </w:r>
          <w:r>
            <w:rPr>
              <w:sz w:val="28"/>
              <w:szCs w:val="28"/>
            </w:rPr>
            <w:instrText xml:space="preserve"> PAGEREF _Toc8604 \h </w:instrText>
          </w:r>
          <w:r>
            <w:rPr>
              <w:sz w:val="28"/>
              <w:szCs w:val="28"/>
            </w:rPr>
            <w:fldChar w:fldCharType="separate"/>
          </w:r>
          <w:r>
            <w:rPr>
              <w:sz w:val="28"/>
              <w:szCs w:val="28"/>
            </w:rPr>
            <w:t>12</w:t>
          </w:r>
          <w:r>
            <w:rPr>
              <w:sz w:val="28"/>
              <w:szCs w:val="28"/>
            </w:rPr>
            <w:fldChar w:fldCharType="end"/>
          </w:r>
        </w:p>
        <w:p w14:paraId="213D997A">
          <w:r>
            <w:rPr>
              <w:rFonts w:hint="eastAsia" w:ascii="Times New Roman" w:hAnsi="Times New Roman" w:eastAsia="楷体" w:cs="楷体"/>
              <w:kern w:val="2"/>
              <w:sz w:val="28"/>
              <w:szCs w:val="28"/>
              <w:lang w:val="en-US" w:eastAsia="zh-CN" w:bidi="ar-SA"/>
            </w:rPr>
            <w:t>（七）激活市场活力，培育体育产业融合发展新业态</w:t>
          </w:r>
          <w:r>
            <w:rPr>
              <w:rFonts w:hint="eastAsia" w:ascii="Times New Roman" w:hAnsi="Times New Roman" w:eastAsia="楷体" w:cs="楷体"/>
              <w:kern w:val="2"/>
              <w:sz w:val="32"/>
              <w:szCs w:val="28"/>
              <w:lang w:val="en-US" w:eastAsia="zh-CN" w:bidi="ar-SA"/>
            </w:rPr>
            <w:t>........................</w:t>
          </w:r>
          <w:r>
            <w:rPr>
              <w:rFonts w:hint="eastAsia" w:eastAsia="楷体"/>
              <w:sz w:val="28"/>
              <w:szCs w:val="36"/>
              <w:lang w:val="en-US" w:eastAsia="zh-CN"/>
            </w:rPr>
            <w:t>.......</w:t>
          </w:r>
          <w:r>
            <w:rPr>
              <w:sz w:val="28"/>
              <w:szCs w:val="36"/>
            </w:rPr>
            <w:fldChar w:fldCharType="begin"/>
          </w:r>
          <w:r>
            <w:rPr>
              <w:sz w:val="28"/>
              <w:szCs w:val="36"/>
            </w:rPr>
            <w:instrText xml:space="preserve"> PAGEREF _Toc8604 \h </w:instrText>
          </w:r>
          <w:r>
            <w:rPr>
              <w:sz w:val="28"/>
              <w:szCs w:val="36"/>
            </w:rPr>
            <w:fldChar w:fldCharType="separate"/>
          </w:r>
          <w:r>
            <w:rPr>
              <w:sz w:val="28"/>
              <w:szCs w:val="36"/>
            </w:rPr>
            <w:t>12</w:t>
          </w:r>
          <w:r>
            <w:rPr>
              <w:sz w:val="28"/>
              <w:szCs w:val="36"/>
            </w:rPr>
            <w:fldChar w:fldCharType="end"/>
          </w:r>
        </w:p>
        <w:p w14:paraId="5AA2708A">
          <w:pPr>
            <w:pStyle w:val="7"/>
            <w:tabs>
              <w:tab w:val="right" w:leader="dot" w:pos="8845"/>
            </w:tabs>
            <w:rPr>
              <w:sz w:val="28"/>
              <w:szCs w:val="36"/>
            </w:rPr>
          </w:pPr>
          <w:r>
            <w:rPr>
              <w:sz w:val="28"/>
              <w:szCs w:val="36"/>
            </w:rPr>
            <w:fldChar w:fldCharType="begin"/>
          </w:r>
          <w:r>
            <w:rPr>
              <w:sz w:val="28"/>
              <w:szCs w:val="36"/>
            </w:rPr>
            <w:instrText xml:space="preserve"> HYPERLINK \l _Toc11949 </w:instrText>
          </w:r>
          <w:r>
            <w:rPr>
              <w:sz w:val="28"/>
              <w:szCs w:val="36"/>
            </w:rPr>
            <w:fldChar w:fldCharType="separate"/>
          </w:r>
          <w:r>
            <w:rPr>
              <w:rFonts w:hint="eastAsia" w:ascii="Times New Roman" w:hAnsi="Times New Roman" w:eastAsia="黑体" w:cs="黑体"/>
              <w:sz w:val="28"/>
              <w:szCs w:val="44"/>
              <w:lang w:eastAsia="zh-CN"/>
            </w:rPr>
            <w:t>四</w:t>
          </w:r>
          <w:r>
            <w:rPr>
              <w:rFonts w:hint="eastAsia" w:ascii="Times New Roman" w:hAnsi="Times New Roman" w:eastAsia="黑体" w:cs="黑体"/>
              <w:sz w:val="28"/>
              <w:szCs w:val="44"/>
            </w:rPr>
            <w:t>、保障措施</w:t>
          </w:r>
          <w:r>
            <w:rPr>
              <w:sz w:val="28"/>
              <w:szCs w:val="36"/>
            </w:rPr>
            <w:tab/>
          </w:r>
          <w:r>
            <w:rPr>
              <w:sz w:val="28"/>
              <w:szCs w:val="36"/>
            </w:rPr>
            <w:fldChar w:fldCharType="begin"/>
          </w:r>
          <w:r>
            <w:rPr>
              <w:sz w:val="28"/>
              <w:szCs w:val="36"/>
            </w:rPr>
            <w:instrText xml:space="preserve"> PAGEREF _Toc11949 \h </w:instrText>
          </w:r>
          <w:r>
            <w:rPr>
              <w:sz w:val="28"/>
              <w:szCs w:val="36"/>
            </w:rPr>
            <w:fldChar w:fldCharType="separate"/>
          </w:r>
          <w:r>
            <w:rPr>
              <w:sz w:val="28"/>
              <w:szCs w:val="36"/>
            </w:rPr>
            <w:t>16</w:t>
          </w:r>
          <w:r>
            <w:rPr>
              <w:sz w:val="28"/>
              <w:szCs w:val="36"/>
            </w:rPr>
            <w:fldChar w:fldCharType="end"/>
          </w:r>
          <w:r>
            <w:rPr>
              <w:sz w:val="28"/>
              <w:szCs w:val="36"/>
            </w:rPr>
            <w:fldChar w:fldCharType="end"/>
          </w:r>
        </w:p>
        <w:p w14:paraId="47459B88">
          <w:pPr>
            <w:pStyle w:val="7"/>
            <w:tabs>
              <w:tab w:val="right" w:leader="dot" w:pos="8845"/>
            </w:tabs>
            <w:rPr>
              <w:sz w:val="28"/>
              <w:szCs w:val="36"/>
            </w:rPr>
          </w:pPr>
          <w:r>
            <w:rPr>
              <w:sz w:val="28"/>
              <w:szCs w:val="36"/>
            </w:rPr>
            <w:fldChar w:fldCharType="begin"/>
          </w:r>
          <w:r>
            <w:rPr>
              <w:sz w:val="28"/>
              <w:szCs w:val="36"/>
            </w:rPr>
            <w:instrText xml:space="preserve"> HYPERLINK \l _Toc5197 </w:instrText>
          </w:r>
          <w:r>
            <w:rPr>
              <w:sz w:val="28"/>
              <w:szCs w:val="36"/>
            </w:rPr>
            <w:fldChar w:fldCharType="separate"/>
          </w:r>
          <w:r>
            <w:rPr>
              <w:rFonts w:hint="eastAsia" w:ascii="Times New Roman" w:hAnsi="Times New Roman" w:eastAsia="黑体" w:cs="黑体"/>
              <w:sz w:val="28"/>
              <w:szCs w:val="44"/>
              <w:lang w:eastAsia="zh-CN"/>
            </w:rPr>
            <w:t>五</w:t>
          </w:r>
          <w:r>
            <w:rPr>
              <w:rFonts w:hint="eastAsia" w:ascii="Times New Roman" w:hAnsi="Times New Roman" w:eastAsia="黑体" w:cs="黑体"/>
              <w:sz w:val="28"/>
              <w:szCs w:val="44"/>
            </w:rPr>
            <w:t>、组织实施</w:t>
          </w:r>
          <w:r>
            <w:rPr>
              <w:sz w:val="28"/>
              <w:szCs w:val="36"/>
            </w:rPr>
            <w:tab/>
          </w:r>
          <w:r>
            <w:rPr>
              <w:sz w:val="28"/>
              <w:szCs w:val="36"/>
            </w:rPr>
            <w:fldChar w:fldCharType="begin"/>
          </w:r>
          <w:r>
            <w:rPr>
              <w:sz w:val="28"/>
              <w:szCs w:val="36"/>
            </w:rPr>
            <w:instrText xml:space="preserve"> PAGEREF _Toc5197 \h </w:instrText>
          </w:r>
          <w:r>
            <w:rPr>
              <w:sz w:val="28"/>
              <w:szCs w:val="36"/>
            </w:rPr>
            <w:fldChar w:fldCharType="separate"/>
          </w:r>
          <w:r>
            <w:rPr>
              <w:sz w:val="28"/>
              <w:szCs w:val="36"/>
            </w:rPr>
            <w:t>17</w:t>
          </w:r>
          <w:r>
            <w:rPr>
              <w:sz w:val="28"/>
              <w:szCs w:val="36"/>
            </w:rPr>
            <w:fldChar w:fldCharType="end"/>
          </w:r>
          <w:r>
            <w:rPr>
              <w:sz w:val="28"/>
              <w:szCs w:val="36"/>
            </w:rPr>
            <w:fldChar w:fldCharType="end"/>
          </w:r>
        </w:p>
        <w:p w14:paraId="13FD9167">
          <w:r>
            <w:rPr>
              <w:sz w:val="24"/>
              <w:szCs w:val="24"/>
            </w:rPr>
            <w:fldChar w:fldCharType="end"/>
          </w:r>
        </w:p>
      </w:sdtContent>
    </w:sdt>
    <w:p w14:paraId="00720237">
      <w:r>
        <w:br w:type="page"/>
      </w:r>
    </w:p>
    <w:p w14:paraId="360BA399">
      <w:pPr>
        <w:keepNext w:val="0"/>
        <w:keepLines w:val="0"/>
        <w:pageBreakBefore w:val="0"/>
        <w:kinsoku/>
        <w:wordWrap/>
        <w:overflowPunct/>
        <w:topLinePunct w:val="0"/>
        <w:bidi w:val="0"/>
        <w:adjustRightInd w:val="0"/>
        <w:snapToGrid w:val="0"/>
        <w:spacing w:line="560" w:lineRule="exact"/>
        <w:ind w:firstLine="624" w:firstLineChars="200"/>
        <w:textAlignment w:val="auto"/>
        <w:outlineLvl w:val="0"/>
        <w:rPr>
          <w:rFonts w:hint="eastAsia" w:ascii="Times New Roman" w:hAnsi="Times New Roman" w:eastAsia="黑体" w:cs="黑体"/>
          <w:sz w:val="32"/>
          <w:szCs w:val="32"/>
        </w:rPr>
      </w:pPr>
      <w:bookmarkStart w:id="1" w:name="_Toc22579"/>
      <w:r>
        <w:rPr>
          <w:rFonts w:hint="eastAsia" w:ascii="Times New Roman" w:hAnsi="Times New Roman" w:eastAsia="仿宋_GB2312" w:cs="仿宋"/>
          <w:sz w:val="32"/>
          <w:szCs w:val="32"/>
        </w:rPr>
        <w:t>为实施全民健身国家战略，构建</w:t>
      </w:r>
      <w:r>
        <w:rPr>
          <w:rFonts w:hint="eastAsia" w:ascii="Times New Roman" w:hAnsi="Times New Roman" w:eastAsia="仿宋_GB2312" w:cs="仿宋"/>
          <w:sz w:val="32"/>
          <w:szCs w:val="32"/>
          <w:lang w:val="en-US" w:eastAsia="zh-CN"/>
        </w:rPr>
        <w:t>更高水平的</w:t>
      </w:r>
      <w:r>
        <w:rPr>
          <w:rFonts w:hint="eastAsia" w:ascii="Times New Roman" w:hAnsi="Times New Roman" w:eastAsia="仿宋_GB2312" w:cs="仿宋"/>
          <w:sz w:val="32"/>
          <w:szCs w:val="32"/>
        </w:rPr>
        <w:t>体育</w:t>
      </w:r>
      <w:r>
        <w:rPr>
          <w:rFonts w:hint="eastAsia" w:ascii="Times New Roman" w:hAnsi="Times New Roman" w:eastAsia="仿宋_GB2312" w:cs="仿宋"/>
          <w:sz w:val="32"/>
          <w:szCs w:val="32"/>
          <w:lang w:val="en-US" w:eastAsia="zh-CN"/>
        </w:rPr>
        <w:t>发展</w:t>
      </w:r>
      <w:r>
        <w:rPr>
          <w:rFonts w:hint="eastAsia" w:ascii="Times New Roman" w:hAnsi="Times New Roman" w:eastAsia="仿宋_GB2312" w:cs="仿宋"/>
          <w:sz w:val="32"/>
          <w:szCs w:val="32"/>
        </w:rPr>
        <w:t>体系，增强人民体质，提高全民健康水平</w:t>
      </w:r>
      <w:r>
        <w:rPr>
          <w:rFonts w:hint="eastAsia" w:ascii="Times New Roman" w:hAnsi="Times New Roman" w:eastAsia="仿宋_GB2312" w:cs="仿宋"/>
          <w:color w:val="auto"/>
          <w:sz w:val="32"/>
          <w:szCs w:val="32"/>
        </w:rPr>
        <w:t>，</w:t>
      </w:r>
      <w:r>
        <w:rPr>
          <w:rFonts w:hint="eastAsia" w:ascii="Times New Roman" w:hAnsi="Times New Roman" w:eastAsia="仿宋_GB2312" w:cs="仿宋"/>
          <w:color w:val="auto"/>
          <w:sz w:val="32"/>
          <w:szCs w:val="32"/>
          <w:lang w:eastAsia="zh-CN"/>
        </w:rPr>
        <w:t>助推梅州全国足球发展重点城市，</w:t>
      </w:r>
      <w:r>
        <w:rPr>
          <w:rFonts w:hint="eastAsia" w:ascii="Times New Roman" w:hAnsi="Times New Roman" w:eastAsia="仿宋_GB2312" w:cs="仿宋"/>
          <w:sz w:val="32"/>
          <w:szCs w:val="32"/>
        </w:rPr>
        <w:t>结合我区实际，</w:t>
      </w:r>
      <w:r>
        <w:rPr>
          <w:rFonts w:hint="eastAsia" w:ascii="Times New Roman" w:hAnsi="Times New Roman" w:eastAsia="仿宋_GB2312" w:cs="仿宋"/>
          <w:sz w:val="32"/>
          <w:szCs w:val="32"/>
          <w:lang w:val="en-US" w:eastAsia="zh-CN"/>
        </w:rPr>
        <w:t>编制本规划</w:t>
      </w:r>
      <w:r>
        <w:rPr>
          <w:rFonts w:hint="eastAsia" w:ascii="Times New Roman" w:hAnsi="Times New Roman" w:eastAsia="仿宋_GB2312" w:cs="仿宋"/>
          <w:sz w:val="32"/>
          <w:szCs w:val="32"/>
        </w:rPr>
        <w:t>。</w:t>
      </w:r>
      <w:bookmarkEnd w:id="1"/>
    </w:p>
    <w:p w14:paraId="0D3AF26F">
      <w:pPr>
        <w:keepNext w:val="0"/>
        <w:keepLines w:val="0"/>
        <w:pageBreakBefore w:val="0"/>
        <w:kinsoku/>
        <w:wordWrap/>
        <w:overflowPunct/>
        <w:topLinePunct w:val="0"/>
        <w:bidi w:val="0"/>
        <w:adjustRightInd w:val="0"/>
        <w:snapToGrid w:val="0"/>
        <w:spacing w:line="560" w:lineRule="exact"/>
        <w:ind w:firstLine="624" w:firstLineChars="200"/>
        <w:textAlignment w:val="auto"/>
        <w:outlineLvl w:val="0"/>
        <w:rPr>
          <w:rFonts w:hint="default" w:ascii="Times New Roman" w:hAnsi="Times New Roman" w:eastAsia="黑体" w:cs="黑体"/>
          <w:sz w:val="32"/>
          <w:szCs w:val="32"/>
          <w:lang w:val="en-US" w:eastAsia="zh-CN"/>
        </w:rPr>
      </w:pPr>
      <w:bookmarkStart w:id="2" w:name="_Toc30955"/>
      <w:r>
        <w:rPr>
          <w:rFonts w:hint="eastAsia" w:ascii="Times New Roman" w:hAnsi="Times New Roman" w:eastAsia="黑体" w:cs="黑体"/>
          <w:sz w:val="32"/>
          <w:szCs w:val="32"/>
          <w:lang w:val="en-US" w:eastAsia="zh-CN"/>
        </w:rPr>
        <w:t>一、总结回顾</w:t>
      </w:r>
      <w:bookmarkEnd w:id="2"/>
    </w:p>
    <w:p w14:paraId="060FB590">
      <w:pPr>
        <w:keepNext w:val="0"/>
        <w:keepLines w:val="0"/>
        <w:pageBreakBefore w:val="0"/>
        <w:widowControl w:val="0"/>
        <w:kinsoku/>
        <w:wordWrap/>
        <w:overflowPunct/>
        <w:topLinePunct w:val="0"/>
        <w:autoSpaceDE/>
        <w:autoSpaceDN/>
        <w:bidi w:val="0"/>
        <w:adjustRightInd/>
        <w:snapToGrid/>
        <w:spacing w:line="560" w:lineRule="exact"/>
        <w:ind w:firstLine="624" w:firstLineChars="200"/>
        <w:jc w:val="both"/>
        <w:textAlignment w:val="auto"/>
        <w:rPr>
          <w:rFonts w:hint="eastAsia" w:ascii="楷体" w:hAnsi="楷体" w:eastAsia="仿宋_GB2312" w:cs="楷体"/>
          <w:b/>
          <w:bCs/>
          <w:sz w:val="32"/>
          <w:szCs w:val="32"/>
          <w:lang w:eastAsia="zh-CN"/>
        </w:rPr>
      </w:pPr>
      <w:r>
        <w:rPr>
          <w:rFonts w:hint="eastAsia" w:ascii="楷体" w:hAnsi="楷体" w:eastAsia="楷体" w:cs="楷体"/>
          <w:b/>
          <w:bCs/>
          <w:sz w:val="32"/>
          <w:szCs w:val="32"/>
          <w:lang w:eastAsia="zh-CN"/>
        </w:rPr>
        <w:t>（一）</w:t>
      </w:r>
      <w:r>
        <w:rPr>
          <w:rFonts w:hint="eastAsia" w:ascii="楷体" w:hAnsi="楷体" w:eastAsia="楷体" w:cs="楷体"/>
          <w:b/>
          <w:bCs/>
          <w:sz w:val="32"/>
          <w:szCs w:val="32"/>
        </w:rPr>
        <w:t>全民健身建设持续增长</w:t>
      </w:r>
      <w:r>
        <w:rPr>
          <w:rFonts w:hint="eastAsia" w:ascii="楷体" w:hAnsi="楷体" w:eastAsia="楷体" w:cs="楷体"/>
          <w:b/>
          <w:bCs/>
          <w:sz w:val="32"/>
          <w:szCs w:val="32"/>
          <w:lang w:eastAsia="zh-CN"/>
        </w:rPr>
        <w:t>。</w:t>
      </w:r>
    </w:p>
    <w:p w14:paraId="1BB76FFD">
      <w:pPr>
        <w:keepNext w:val="0"/>
        <w:keepLines w:val="0"/>
        <w:pageBreakBefore w:val="0"/>
        <w:widowControl w:val="0"/>
        <w:kinsoku/>
        <w:wordWrap/>
        <w:overflowPunct/>
        <w:topLinePunct w:val="0"/>
        <w:autoSpaceDE/>
        <w:autoSpaceDN/>
        <w:bidi w:val="0"/>
        <w:adjustRightInd/>
        <w:snapToGrid/>
        <w:spacing w:line="560" w:lineRule="exact"/>
        <w:ind w:firstLine="624" w:firstLineChars="200"/>
        <w:jc w:val="both"/>
        <w:textAlignment w:val="auto"/>
        <w:rPr>
          <w:rFonts w:hint="eastAsia" w:ascii="仿宋_GB2312" w:hAnsi="仿宋_GB2312" w:eastAsia="仿宋_GB2312" w:cs="仿宋_GB2312"/>
          <w:sz w:val="32"/>
          <w:szCs w:val="32"/>
          <w:lang w:val="en-US" w:eastAsia="zh-CN"/>
        </w:rPr>
      </w:pPr>
      <w:r>
        <w:rPr>
          <w:rFonts w:hint="eastAsia" w:ascii="仿宋" w:hAnsi="仿宋" w:eastAsia="仿宋_GB2312" w:cs="仿宋"/>
          <w:b/>
          <w:bCs/>
          <w:sz w:val="32"/>
          <w:szCs w:val="32"/>
          <w:lang w:eastAsia="zh-CN"/>
        </w:rPr>
        <w:t>一是</w:t>
      </w:r>
      <w:r>
        <w:rPr>
          <w:rFonts w:hint="eastAsia" w:ascii="仿宋" w:hAnsi="仿宋" w:eastAsia="仿宋_GB2312" w:cs="仿宋"/>
          <w:b/>
          <w:bCs/>
          <w:sz w:val="32"/>
          <w:szCs w:val="32"/>
        </w:rPr>
        <w:t>精准投入资金，设施迭代升级</w:t>
      </w:r>
      <w:r>
        <w:rPr>
          <w:rFonts w:hint="eastAsia" w:ascii="仿宋" w:hAnsi="仿宋" w:eastAsia="仿宋_GB2312" w:cs="仿宋"/>
          <w:b/>
          <w:bCs/>
          <w:sz w:val="32"/>
          <w:szCs w:val="32"/>
          <w:lang w:eastAsia="zh-CN"/>
        </w:rPr>
        <w:t>。</w:t>
      </w:r>
      <w:r>
        <w:rPr>
          <w:rFonts w:hint="eastAsia" w:ascii="仿宋" w:hAnsi="仿宋" w:eastAsia="仿宋_GB2312" w:cs="仿宋"/>
          <w:b w:val="0"/>
          <w:bCs w:val="0"/>
          <w:sz w:val="32"/>
          <w:szCs w:val="32"/>
        </w:rPr>
        <w:t>精心</w:t>
      </w:r>
      <w:r>
        <w:rPr>
          <w:rFonts w:hint="eastAsia" w:ascii="仿宋" w:hAnsi="仿宋" w:eastAsia="仿宋_GB2312" w:cs="仿宋"/>
          <w:sz w:val="32"/>
          <w:szCs w:val="32"/>
        </w:rPr>
        <w:t>实施文体中心、体育场设施设备的提升改造工程。</w:t>
      </w:r>
      <w:r>
        <w:rPr>
          <w:rFonts w:hint="eastAsia" w:ascii="仿宋" w:hAnsi="仿宋" w:eastAsia="仿宋_GB2312" w:cs="仿宋"/>
          <w:sz w:val="32"/>
          <w:szCs w:val="32"/>
          <w:lang w:eastAsia="zh-CN"/>
        </w:rPr>
        <w:t>每年</w:t>
      </w:r>
      <w:r>
        <w:rPr>
          <w:rFonts w:hint="eastAsia" w:ascii="仿宋" w:hAnsi="仿宋" w:eastAsia="仿宋_GB2312" w:cs="仿宋"/>
          <w:sz w:val="32"/>
          <w:szCs w:val="32"/>
        </w:rPr>
        <w:t>充分利用中央体彩公益金</w:t>
      </w:r>
      <w:r>
        <w:rPr>
          <w:rFonts w:hint="eastAsia" w:ascii="仿宋" w:hAnsi="仿宋" w:eastAsia="仿宋_GB2312" w:cs="仿宋"/>
          <w:sz w:val="32"/>
          <w:szCs w:val="32"/>
          <w:lang w:eastAsia="zh-CN"/>
        </w:rPr>
        <w:t>免费低收费开放补助资金，共计</w:t>
      </w:r>
      <w:r>
        <w:rPr>
          <w:rFonts w:hint="eastAsia" w:ascii="仿宋_GB2312" w:hAnsi="仿宋_GB2312" w:eastAsia="仿宋_GB2312" w:cs="仿宋_GB2312"/>
          <w:sz w:val="32"/>
          <w:szCs w:val="32"/>
          <w:lang w:val="en-US" w:eastAsia="zh-CN"/>
        </w:rPr>
        <w:t>投入300多万元用于曾宪梓体育场和梅县文体中心的日常维护和管理，</w:t>
      </w:r>
      <w:r>
        <w:rPr>
          <w:rFonts w:hint="eastAsia" w:ascii="仿宋" w:hAnsi="仿宋" w:eastAsia="仿宋_GB2312" w:cs="仿宋"/>
          <w:sz w:val="32"/>
          <w:szCs w:val="32"/>
          <w:lang w:eastAsia="zh-CN"/>
        </w:rPr>
        <w:t>先后</w:t>
      </w:r>
      <w:r>
        <w:rPr>
          <w:rFonts w:hint="eastAsia" w:ascii="仿宋" w:hAnsi="仿宋" w:eastAsia="仿宋_GB2312" w:cs="仿宋"/>
          <w:sz w:val="32"/>
          <w:szCs w:val="32"/>
        </w:rPr>
        <w:t>投入</w:t>
      </w:r>
      <w:r>
        <w:rPr>
          <w:rFonts w:hint="eastAsia" w:ascii="仿宋" w:hAnsi="仿宋" w:eastAsia="仿宋_GB2312" w:cs="仿宋"/>
          <w:sz w:val="32"/>
          <w:szCs w:val="32"/>
          <w:lang w:val="en-US" w:eastAsia="zh-CN"/>
        </w:rPr>
        <w:t>350</w:t>
      </w:r>
      <w:r>
        <w:rPr>
          <w:rFonts w:hint="eastAsia" w:ascii="仿宋" w:hAnsi="仿宋" w:eastAsia="仿宋_GB2312" w:cs="仿宋"/>
          <w:sz w:val="32"/>
          <w:szCs w:val="32"/>
        </w:rPr>
        <w:t>万元</w:t>
      </w:r>
      <w:r>
        <w:rPr>
          <w:rFonts w:hint="eastAsia" w:ascii="仿宋" w:hAnsi="仿宋" w:eastAsia="仿宋_GB2312" w:cs="仿宋"/>
          <w:sz w:val="32"/>
          <w:szCs w:val="32"/>
          <w:lang w:eastAsia="zh-CN"/>
        </w:rPr>
        <w:t>本级</w:t>
      </w:r>
      <w:r>
        <w:rPr>
          <w:rFonts w:hint="eastAsia" w:ascii="仿宋" w:hAnsi="仿宋" w:eastAsia="仿宋_GB2312" w:cs="仿宋"/>
          <w:sz w:val="32"/>
          <w:szCs w:val="32"/>
        </w:rPr>
        <w:t>体彩公益金</w:t>
      </w:r>
      <w:r>
        <w:rPr>
          <w:rFonts w:hint="eastAsia" w:ascii="仿宋" w:hAnsi="仿宋" w:eastAsia="仿宋_GB2312" w:cs="仿宋"/>
          <w:sz w:val="32"/>
          <w:szCs w:val="32"/>
          <w:lang w:eastAsia="zh-CN"/>
        </w:rPr>
        <w:t>用于</w:t>
      </w:r>
      <w:r>
        <w:rPr>
          <w:rFonts w:hint="eastAsia" w:ascii="仿宋" w:hAnsi="仿宋" w:eastAsia="仿宋_GB2312" w:cs="仿宋"/>
          <w:sz w:val="32"/>
          <w:szCs w:val="32"/>
        </w:rPr>
        <w:t>采购</w:t>
      </w:r>
      <w:r>
        <w:rPr>
          <w:rFonts w:hint="eastAsia" w:ascii="仿宋" w:hAnsi="仿宋" w:eastAsia="仿宋_GB2312" w:cs="仿宋"/>
          <w:sz w:val="32"/>
          <w:szCs w:val="32"/>
          <w:lang w:val="en-US" w:eastAsia="zh-CN"/>
        </w:rPr>
        <w:t>1700</w:t>
      </w:r>
      <w:r>
        <w:rPr>
          <w:rFonts w:hint="eastAsia" w:ascii="仿宋" w:hAnsi="仿宋" w:eastAsia="仿宋_GB2312" w:cs="仿宋"/>
          <w:sz w:val="32"/>
          <w:szCs w:val="32"/>
        </w:rPr>
        <w:t>件/套健身器材</w:t>
      </w:r>
      <w:r>
        <w:rPr>
          <w:rFonts w:hint="eastAsia" w:ascii="仿宋" w:hAnsi="仿宋" w:eastAsia="仿宋_GB2312" w:cs="仿宋"/>
          <w:sz w:val="32"/>
          <w:szCs w:val="32"/>
          <w:lang w:eastAsia="zh-CN"/>
        </w:rPr>
        <w:t>、</w:t>
      </w:r>
      <w:r>
        <w:rPr>
          <w:rFonts w:hint="eastAsia" w:ascii="仿宋" w:hAnsi="仿宋" w:eastAsia="仿宋_GB2312" w:cs="仿宋"/>
          <w:sz w:val="32"/>
          <w:szCs w:val="32"/>
        </w:rPr>
        <w:t>修整增建体育场地</w:t>
      </w:r>
      <w:r>
        <w:rPr>
          <w:rFonts w:hint="eastAsia" w:ascii="仿宋" w:hAnsi="仿宋" w:eastAsia="仿宋_GB2312" w:cs="仿宋"/>
          <w:sz w:val="32"/>
          <w:szCs w:val="32"/>
          <w:lang w:val="en-US" w:eastAsia="zh-CN"/>
        </w:rPr>
        <w:t>120</w:t>
      </w:r>
      <w:r>
        <w:rPr>
          <w:rFonts w:hint="eastAsia" w:ascii="仿宋" w:hAnsi="仿宋" w:eastAsia="仿宋_GB2312" w:cs="仿宋"/>
          <w:sz w:val="32"/>
          <w:szCs w:val="32"/>
        </w:rPr>
        <w:t>块</w:t>
      </w:r>
      <w:r>
        <w:rPr>
          <w:rFonts w:hint="eastAsia" w:ascii="仿宋" w:hAnsi="仿宋" w:eastAsia="仿宋_GB2312" w:cs="仿宋"/>
          <w:sz w:val="32"/>
          <w:szCs w:val="32"/>
          <w:lang w:eastAsia="zh-CN"/>
        </w:rPr>
        <w:t>以上、</w:t>
      </w:r>
      <w:r>
        <w:rPr>
          <w:rFonts w:hint="eastAsia" w:ascii="仿宋_GB2312" w:hAnsi="仿宋_GB2312" w:eastAsia="仿宋_GB2312" w:cs="仿宋_GB2312"/>
          <w:sz w:val="32"/>
          <w:szCs w:val="32"/>
          <w:lang w:val="en-US" w:eastAsia="zh-CN"/>
        </w:rPr>
        <w:t>支持乡镇行政村150个以上的体育设施建设以及全民健身广场、黄金湾沙区体育公园器材维护更换，解决了群众健身难的问题。</w:t>
      </w:r>
    </w:p>
    <w:p w14:paraId="276C9DEF">
      <w:pPr>
        <w:keepNext w:val="0"/>
        <w:keepLines w:val="0"/>
        <w:pageBreakBefore w:val="0"/>
        <w:widowControl w:val="0"/>
        <w:kinsoku/>
        <w:wordWrap/>
        <w:overflowPunct/>
        <w:topLinePunct w:val="0"/>
        <w:autoSpaceDE/>
        <w:autoSpaceDN/>
        <w:bidi w:val="0"/>
        <w:adjustRightInd/>
        <w:snapToGrid/>
        <w:spacing w:line="560" w:lineRule="exact"/>
        <w:ind w:firstLine="624" w:firstLineChars="200"/>
        <w:jc w:val="both"/>
        <w:textAlignment w:val="auto"/>
        <w:rPr>
          <w:rFonts w:hint="eastAsia" w:ascii="仿宋" w:hAnsi="仿宋" w:eastAsia="仿宋_GB2312" w:cs="仿宋"/>
          <w:sz w:val="32"/>
          <w:szCs w:val="32"/>
        </w:rPr>
      </w:pPr>
      <w:r>
        <w:rPr>
          <w:rFonts w:hint="eastAsia" w:ascii="仿宋_GB2312" w:hAnsi="仿宋_GB2312" w:eastAsia="仿宋_GB2312" w:cs="仿宋_GB2312"/>
          <w:b/>
          <w:bCs/>
          <w:sz w:val="32"/>
          <w:szCs w:val="32"/>
          <w:lang w:eastAsia="zh-CN"/>
        </w:rPr>
        <w:t>二是聚力民生实事，</w:t>
      </w:r>
      <w:r>
        <w:rPr>
          <w:rFonts w:hint="eastAsia" w:ascii="仿宋_GB2312" w:hAnsi="仿宋_GB2312" w:eastAsia="仿宋_GB2312" w:cs="仿宋_GB2312"/>
          <w:b/>
          <w:bCs/>
          <w:kern w:val="0"/>
          <w:sz w:val="32"/>
          <w:szCs w:val="32"/>
          <w:lang w:val="en-US" w:eastAsia="zh-CN" w:bidi="ar"/>
        </w:rPr>
        <w:t>加速场地建设。</w:t>
      </w:r>
      <w:r>
        <w:rPr>
          <w:rFonts w:hint="eastAsia" w:ascii="仿宋" w:hAnsi="仿宋" w:eastAsia="仿宋_GB2312" w:cs="仿宋"/>
          <w:sz w:val="32"/>
          <w:szCs w:val="32"/>
        </w:rPr>
        <w:t>圆满完成“十四五”全民健身场地补短板项目任务。梅花山体育公园成功通过省体育局审核</w:t>
      </w:r>
      <w:r>
        <w:rPr>
          <w:rFonts w:hint="eastAsia" w:ascii="仿宋" w:hAnsi="仿宋" w:eastAsia="仿宋_GB2312" w:cs="仿宋"/>
          <w:sz w:val="32"/>
          <w:szCs w:val="32"/>
          <w:lang w:eastAsia="zh-CN"/>
        </w:rPr>
        <w:t>；争取长隆基金会</w:t>
      </w:r>
      <w:r>
        <w:rPr>
          <w:rFonts w:hint="eastAsia" w:ascii="仿宋" w:hAnsi="仿宋" w:eastAsia="仿宋_GB2312" w:cs="仿宋"/>
          <w:sz w:val="32"/>
          <w:szCs w:val="32"/>
          <w:lang w:val="en-US" w:eastAsia="zh-CN"/>
        </w:rPr>
        <w:t>1000</w:t>
      </w:r>
      <w:r>
        <w:rPr>
          <w:rFonts w:hint="eastAsia" w:ascii="仿宋" w:hAnsi="仿宋" w:eastAsia="仿宋_GB2312" w:cs="仿宋"/>
          <w:sz w:val="32"/>
          <w:szCs w:val="32"/>
        </w:rPr>
        <w:t>万元资金，</w:t>
      </w:r>
      <w:r>
        <w:rPr>
          <w:rFonts w:hint="eastAsia" w:ascii="仿宋" w:hAnsi="仿宋" w:eastAsia="仿宋_GB2312" w:cs="仿宋"/>
          <w:sz w:val="32"/>
          <w:szCs w:val="32"/>
          <w:lang w:eastAsia="zh-CN"/>
        </w:rPr>
        <w:t>建成占地约</w:t>
      </w:r>
      <w:r>
        <w:rPr>
          <w:rFonts w:hint="eastAsia" w:ascii="仿宋" w:hAnsi="仿宋" w:eastAsia="仿宋_GB2312" w:cs="仿宋"/>
          <w:sz w:val="32"/>
          <w:szCs w:val="32"/>
          <w:lang w:val="en-US" w:eastAsia="zh-CN"/>
        </w:rPr>
        <w:t>20000平方米的</w:t>
      </w:r>
      <w:r>
        <w:rPr>
          <w:rFonts w:hint="eastAsia" w:ascii="仿宋" w:hAnsi="仿宋" w:eastAsia="仿宋_GB2312" w:cs="仿宋"/>
          <w:sz w:val="32"/>
          <w:szCs w:val="32"/>
        </w:rPr>
        <w:t>丙村</w:t>
      </w:r>
      <w:r>
        <w:rPr>
          <w:rFonts w:hint="eastAsia" w:ascii="仿宋" w:hAnsi="仿宋" w:eastAsia="仿宋_GB2312" w:cs="仿宋"/>
          <w:sz w:val="32"/>
          <w:szCs w:val="32"/>
          <w:lang w:eastAsia="zh-CN"/>
        </w:rPr>
        <w:t>、</w:t>
      </w:r>
      <w:r>
        <w:rPr>
          <w:rFonts w:hint="eastAsia" w:ascii="仿宋" w:hAnsi="仿宋" w:eastAsia="仿宋_GB2312" w:cs="仿宋"/>
          <w:sz w:val="32"/>
          <w:szCs w:val="32"/>
          <w:lang w:val="en-US" w:eastAsia="zh-CN"/>
        </w:rPr>
        <w:t>松源</w:t>
      </w:r>
      <w:r>
        <w:rPr>
          <w:rFonts w:hint="eastAsia" w:ascii="仿宋" w:hAnsi="仿宋" w:eastAsia="仿宋_GB2312" w:cs="仿宋"/>
          <w:sz w:val="32"/>
          <w:szCs w:val="32"/>
        </w:rPr>
        <w:t>长隆足球公园</w:t>
      </w:r>
      <w:r>
        <w:rPr>
          <w:rFonts w:hint="eastAsia" w:ascii="仿宋" w:hAnsi="仿宋" w:eastAsia="仿宋_GB2312" w:cs="仿宋"/>
          <w:sz w:val="32"/>
          <w:szCs w:val="32"/>
          <w:lang w:eastAsia="zh-CN"/>
        </w:rPr>
        <w:t>；吸引社会资金</w:t>
      </w:r>
      <w:r>
        <w:rPr>
          <w:rFonts w:hint="eastAsia" w:ascii="仿宋" w:hAnsi="仿宋" w:eastAsia="仿宋_GB2312" w:cs="仿宋"/>
          <w:sz w:val="32"/>
          <w:szCs w:val="32"/>
          <w:lang w:val="en-US" w:eastAsia="zh-CN"/>
        </w:rPr>
        <w:t>300多万元</w:t>
      </w:r>
      <w:r>
        <w:rPr>
          <w:rFonts w:hint="eastAsia" w:ascii="仿宋" w:hAnsi="仿宋" w:eastAsia="仿宋_GB2312" w:cs="仿宋"/>
          <w:sz w:val="32"/>
          <w:szCs w:val="32"/>
          <w:lang w:eastAsia="zh-CN"/>
        </w:rPr>
        <w:t>投资建成三块七人制</w:t>
      </w:r>
      <w:r>
        <w:rPr>
          <w:rFonts w:hint="eastAsia" w:ascii="仿宋" w:hAnsi="仿宋" w:eastAsia="仿宋_GB2312" w:cs="仿宋"/>
          <w:sz w:val="32"/>
          <w:szCs w:val="32"/>
          <w:lang w:val="en-US" w:eastAsia="zh-CN"/>
        </w:rPr>
        <w:t>10000平方米的红兴社会足球场</w:t>
      </w:r>
      <w:r>
        <w:rPr>
          <w:rFonts w:hint="eastAsia" w:ascii="仿宋" w:hAnsi="仿宋" w:eastAsia="仿宋_GB2312" w:cs="仿宋"/>
          <w:sz w:val="32"/>
          <w:szCs w:val="32"/>
        </w:rPr>
        <w:t>。截至</w:t>
      </w:r>
      <w:r>
        <w:rPr>
          <w:rFonts w:hint="eastAsia" w:ascii="仿宋" w:hAnsi="仿宋" w:eastAsia="仿宋_GB2312" w:cs="仿宋"/>
          <w:sz w:val="32"/>
          <w:szCs w:val="32"/>
          <w:lang w:val="en-US" w:eastAsia="zh-CN"/>
        </w:rPr>
        <w:t>目前</w:t>
      </w:r>
      <w:r>
        <w:rPr>
          <w:rFonts w:hint="eastAsia" w:ascii="仿宋" w:hAnsi="仿宋" w:eastAsia="仿宋_GB2312" w:cs="仿宋"/>
          <w:sz w:val="32"/>
          <w:szCs w:val="32"/>
        </w:rPr>
        <w:t>，全区体育场地总面积达1</w:t>
      </w:r>
      <w:r>
        <w:rPr>
          <w:rFonts w:hint="eastAsia" w:ascii="仿宋" w:hAnsi="仿宋" w:eastAsia="仿宋_GB2312" w:cs="仿宋"/>
          <w:sz w:val="32"/>
          <w:szCs w:val="32"/>
          <w:lang w:val="en-US" w:eastAsia="zh-CN"/>
        </w:rPr>
        <w:t>70</w:t>
      </w:r>
      <w:r>
        <w:rPr>
          <w:rFonts w:hint="eastAsia" w:ascii="仿宋" w:hAnsi="仿宋" w:eastAsia="仿宋_GB2312" w:cs="仿宋"/>
          <w:sz w:val="32"/>
          <w:szCs w:val="32"/>
        </w:rPr>
        <w:t>万平方米，人均体育场地面积</w:t>
      </w:r>
      <w:r>
        <w:rPr>
          <w:rFonts w:hint="eastAsia" w:ascii="仿宋" w:hAnsi="仿宋" w:eastAsia="仿宋_GB2312" w:cs="仿宋"/>
          <w:sz w:val="32"/>
          <w:szCs w:val="32"/>
          <w:lang w:val="en-US" w:eastAsia="zh-CN"/>
        </w:rPr>
        <w:t>2025年底已</w:t>
      </w:r>
      <w:r>
        <w:rPr>
          <w:rFonts w:hint="eastAsia" w:ascii="仿宋" w:hAnsi="仿宋" w:eastAsia="仿宋_GB2312" w:cs="仿宋"/>
          <w:sz w:val="32"/>
          <w:szCs w:val="32"/>
        </w:rPr>
        <w:t>达3.0</w:t>
      </w:r>
      <w:r>
        <w:rPr>
          <w:rFonts w:hint="eastAsia" w:ascii="仿宋" w:hAnsi="仿宋" w:eastAsia="仿宋_GB2312" w:cs="仿宋"/>
          <w:sz w:val="32"/>
          <w:szCs w:val="32"/>
          <w:lang w:val="en-US" w:eastAsia="zh-CN"/>
        </w:rPr>
        <w:t>7</w:t>
      </w:r>
      <w:r>
        <w:rPr>
          <w:rFonts w:hint="eastAsia" w:ascii="仿宋" w:hAnsi="仿宋" w:eastAsia="仿宋_GB2312" w:cs="仿宋"/>
          <w:sz w:val="32"/>
          <w:szCs w:val="32"/>
        </w:rPr>
        <w:t>平方米，</w:t>
      </w:r>
      <w:r>
        <w:rPr>
          <w:rFonts w:hint="eastAsia" w:ascii="仿宋" w:hAnsi="仿宋" w:eastAsia="仿宋_GB2312" w:cs="仿宋"/>
          <w:sz w:val="32"/>
          <w:szCs w:val="32"/>
          <w:lang w:val="en-US" w:eastAsia="zh-CN"/>
        </w:rPr>
        <w:t>经常参加体育锻炼人数41%，</w:t>
      </w:r>
      <w:r>
        <w:rPr>
          <w:rFonts w:hint="eastAsia" w:ascii="仿宋" w:hAnsi="仿宋" w:eastAsia="仿宋_GB2312" w:cs="仿宋"/>
          <w:sz w:val="32"/>
          <w:szCs w:val="32"/>
        </w:rPr>
        <w:t>社会足球场数量稳步增长，切实满足群众日益增长的健身需求。</w:t>
      </w:r>
    </w:p>
    <w:p w14:paraId="720CB69F">
      <w:pPr>
        <w:keepNext w:val="0"/>
        <w:keepLines w:val="0"/>
        <w:pageBreakBefore w:val="0"/>
        <w:widowControl w:val="0"/>
        <w:kinsoku/>
        <w:wordWrap/>
        <w:overflowPunct/>
        <w:topLinePunct w:val="0"/>
        <w:autoSpaceDE/>
        <w:autoSpaceDN/>
        <w:bidi w:val="0"/>
        <w:adjustRightInd/>
        <w:snapToGrid/>
        <w:spacing w:line="560" w:lineRule="exact"/>
        <w:ind w:firstLine="624" w:firstLineChars="200"/>
        <w:jc w:val="both"/>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（二）群众体育活动蓬勃发展。</w:t>
      </w:r>
    </w:p>
    <w:p w14:paraId="25F9D72D">
      <w:pPr>
        <w:keepNext w:val="0"/>
        <w:keepLines w:val="0"/>
        <w:pageBreakBefore w:val="0"/>
        <w:widowControl w:val="0"/>
        <w:kinsoku/>
        <w:wordWrap/>
        <w:overflowPunct/>
        <w:topLinePunct w:val="0"/>
        <w:autoSpaceDE/>
        <w:autoSpaceDN/>
        <w:bidi w:val="0"/>
        <w:adjustRightInd/>
        <w:snapToGrid/>
        <w:spacing w:line="560" w:lineRule="exact"/>
        <w:ind w:firstLine="624" w:firstLineChars="200"/>
        <w:jc w:val="both"/>
        <w:textAlignment w:val="auto"/>
        <w:rPr>
          <w:rFonts w:hint="eastAsia" w:ascii="仿宋" w:hAnsi="仿宋" w:eastAsia="仿宋_GB2312" w:cs="仿宋"/>
          <w:sz w:val="32"/>
          <w:szCs w:val="32"/>
          <w:lang w:eastAsia="zh-CN"/>
        </w:rPr>
      </w:pPr>
      <w:r>
        <w:rPr>
          <w:rFonts w:hint="eastAsia" w:ascii="仿宋" w:hAnsi="仿宋" w:eastAsia="仿宋_GB2312" w:cs="仿宋"/>
          <w:b/>
          <w:bCs/>
          <w:sz w:val="32"/>
          <w:szCs w:val="32"/>
          <w:lang w:eastAsia="zh-CN"/>
        </w:rPr>
        <w:t>一是</w:t>
      </w:r>
      <w:r>
        <w:rPr>
          <w:rFonts w:hint="eastAsia" w:ascii="仿宋" w:hAnsi="仿宋" w:eastAsia="仿宋_GB2312" w:cs="仿宋"/>
          <w:b/>
          <w:bCs/>
          <w:sz w:val="32"/>
          <w:szCs w:val="32"/>
        </w:rPr>
        <w:t>品牌赛事成功举办，影响力持续攀升</w:t>
      </w:r>
      <w:r>
        <w:rPr>
          <w:rFonts w:hint="eastAsia" w:ascii="仿宋" w:hAnsi="仿宋" w:eastAsia="仿宋_GB2312" w:cs="仿宋"/>
          <w:b/>
          <w:bCs/>
          <w:sz w:val="32"/>
          <w:szCs w:val="32"/>
          <w:lang w:eastAsia="zh-CN"/>
        </w:rPr>
        <w:t>。</w:t>
      </w:r>
      <w:r>
        <w:rPr>
          <w:rFonts w:hint="eastAsia" w:ascii="仿宋" w:hAnsi="仿宋" w:eastAsia="仿宋_GB2312" w:cs="仿宋"/>
          <w:sz w:val="32"/>
          <w:szCs w:val="32"/>
        </w:rPr>
        <w:t>成功</w:t>
      </w:r>
      <w:r>
        <w:rPr>
          <w:rFonts w:hint="eastAsia" w:ascii="仿宋" w:hAnsi="仿宋" w:eastAsia="仿宋_GB2312" w:cs="仿宋"/>
          <w:sz w:val="32"/>
          <w:szCs w:val="32"/>
          <w:lang w:eastAsia="zh-CN"/>
        </w:rPr>
        <w:t>举办</w:t>
      </w:r>
      <w:r>
        <w:rPr>
          <w:rFonts w:hint="eastAsia" w:ascii="仿宋" w:hAnsi="仿宋" w:eastAsia="仿宋_GB2312" w:cs="仿宋"/>
          <w:sz w:val="32"/>
          <w:szCs w:val="32"/>
        </w:rPr>
        <w:t>一系列具有广泛影响力的品牌赛事，</w:t>
      </w:r>
      <w:r>
        <w:rPr>
          <w:rFonts w:hint="eastAsia" w:ascii="仿宋" w:hAnsi="仿宋" w:eastAsia="仿宋_GB2312" w:cs="仿宋"/>
          <w:sz w:val="32"/>
          <w:szCs w:val="32"/>
          <w:lang w:eastAsia="zh-CN"/>
        </w:rPr>
        <w:t>代表性赛事有：</w:t>
      </w:r>
      <w:r>
        <w:rPr>
          <w:rFonts w:hint="eastAsia" w:ascii="仿宋" w:hAnsi="仿宋" w:eastAsia="仿宋_GB2312" w:cs="仿宋"/>
          <w:sz w:val="32"/>
          <w:szCs w:val="32"/>
        </w:rPr>
        <w:t>珠江啤酒202</w:t>
      </w:r>
      <w:r>
        <w:rPr>
          <w:rFonts w:hint="eastAsia" w:ascii="仿宋" w:hAnsi="仿宋" w:eastAsia="仿宋_GB2312" w:cs="仿宋"/>
          <w:sz w:val="32"/>
          <w:szCs w:val="32"/>
          <w:lang w:val="en-US" w:eastAsia="zh-CN"/>
        </w:rPr>
        <w:t>3—2025</w:t>
      </w:r>
      <w:r>
        <w:rPr>
          <w:rFonts w:hint="eastAsia" w:ascii="仿宋" w:hAnsi="仿宋" w:eastAsia="仿宋_GB2312" w:cs="仿宋"/>
          <w:sz w:val="32"/>
          <w:szCs w:val="32"/>
        </w:rPr>
        <w:t>年广东省男子篮球联赛（梅州赛区），“中国梦・劳动美—广东职工文体汇”2024年广东省职工男子篮球联赛</w:t>
      </w:r>
      <w:r>
        <w:rPr>
          <w:rFonts w:hint="eastAsia" w:ascii="仿宋" w:hAnsi="仿宋" w:eastAsia="仿宋_GB2312" w:cs="仿宋"/>
          <w:sz w:val="32"/>
          <w:szCs w:val="32"/>
          <w:lang w:eastAsia="zh-CN"/>
        </w:rPr>
        <w:t>；</w:t>
      </w:r>
      <w:r>
        <w:rPr>
          <w:rFonts w:hint="eastAsia" w:ascii="仿宋" w:hAnsi="仿宋" w:eastAsia="仿宋_GB2312" w:cs="仿宋"/>
          <w:sz w:val="32"/>
          <w:szCs w:val="32"/>
          <w:lang w:val="en-US" w:eastAsia="zh-CN"/>
        </w:rPr>
        <w:t>2022年中国足协青少年锦标赛；2022年七场中超联赛和2023、2024年嘉美茵梅州市贺岁杯；2023年“宪梓杯”全国青少年足球邀请赛；“十五运”群众体育甲组、乙组和老将组室内五人制足球比赛；2022—2023年梅州市青少年足球联赛总决赛和</w:t>
      </w:r>
      <w:r>
        <w:rPr>
          <w:rFonts w:hint="eastAsia" w:ascii="仿宋" w:hAnsi="仿宋" w:eastAsia="仿宋_GB2312" w:cs="仿宋"/>
          <w:sz w:val="32"/>
          <w:szCs w:val="32"/>
          <w:lang w:eastAsia="zh-CN"/>
        </w:rPr>
        <w:t>承办</w:t>
      </w:r>
      <w:r>
        <w:rPr>
          <w:rFonts w:hint="eastAsia" w:ascii="仿宋" w:hAnsi="仿宋" w:eastAsia="仿宋_GB2312" w:cs="仿宋"/>
          <w:sz w:val="32"/>
          <w:szCs w:val="32"/>
          <w:lang w:val="en-US" w:eastAsia="zh-CN"/>
        </w:rPr>
        <w:t>2021至</w:t>
      </w:r>
      <w:r>
        <w:rPr>
          <w:rFonts w:hint="eastAsia" w:ascii="仿宋" w:hAnsi="仿宋" w:eastAsia="仿宋_GB2312" w:cs="仿宋"/>
          <w:sz w:val="32"/>
          <w:szCs w:val="32"/>
        </w:rPr>
        <w:t>202</w:t>
      </w:r>
      <w:r>
        <w:rPr>
          <w:rFonts w:hint="eastAsia" w:ascii="仿宋" w:hAnsi="仿宋" w:eastAsia="仿宋_GB2312" w:cs="仿宋"/>
          <w:sz w:val="32"/>
          <w:szCs w:val="32"/>
          <w:lang w:val="en-US" w:eastAsia="zh-CN"/>
        </w:rPr>
        <w:t>5</w:t>
      </w:r>
      <w:r>
        <w:rPr>
          <w:rFonts w:hint="eastAsia" w:ascii="仿宋" w:hAnsi="仿宋" w:eastAsia="仿宋_GB2312" w:cs="仿宋"/>
          <w:sz w:val="32"/>
          <w:szCs w:val="32"/>
        </w:rPr>
        <w:t>梅州马拉松</w:t>
      </w:r>
      <w:r>
        <w:rPr>
          <w:rFonts w:hint="eastAsia" w:ascii="仿宋" w:hAnsi="仿宋" w:eastAsia="仿宋_GB2312" w:cs="仿宋"/>
          <w:sz w:val="32"/>
          <w:szCs w:val="32"/>
          <w:lang w:eastAsia="zh-CN"/>
        </w:rPr>
        <w:t>线上和线下比</w:t>
      </w:r>
      <w:r>
        <w:rPr>
          <w:rFonts w:hint="eastAsia" w:ascii="仿宋" w:hAnsi="仿宋" w:eastAsia="仿宋_GB2312" w:cs="仿宋"/>
          <w:sz w:val="32"/>
          <w:szCs w:val="32"/>
        </w:rPr>
        <w:t>赛，在赛</w:t>
      </w:r>
      <w:r>
        <w:rPr>
          <w:rFonts w:hint="eastAsia" w:ascii="仿宋" w:hAnsi="仿宋" w:eastAsia="仿宋_GB2312" w:cs="仿宋"/>
          <w:sz w:val="32"/>
          <w:szCs w:val="32"/>
          <w:lang w:eastAsia="zh-CN"/>
        </w:rPr>
        <w:t>场</w:t>
      </w:r>
      <w:r>
        <w:rPr>
          <w:rFonts w:hint="eastAsia" w:ascii="仿宋" w:hAnsi="仿宋" w:eastAsia="仿宋_GB2312" w:cs="仿宋"/>
          <w:sz w:val="32"/>
          <w:szCs w:val="32"/>
        </w:rPr>
        <w:t>上</w:t>
      </w:r>
      <w:r>
        <w:rPr>
          <w:rFonts w:hint="eastAsia" w:ascii="仿宋" w:hAnsi="仿宋" w:eastAsia="仿宋_GB2312" w:cs="仿宋"/>
          <w:sz w:val="32"/>
          <w:szCs w:val="32"/>
          <w:lang w:eastAsia="zh-CN"/>
        </w:rPr>
        <w:t>诠释了梅县办赛水平，</w:t>
      </w:r>
      <w:r>
        <w:rPr>
          <w:rFonts w:hint="eastAsia" w:ascii="仿宋" w:hAnsi="仿宋" w:eastAsia="仿宋_GB2312" w:cs="仿宋"/>
          <w:sz w:val="32"/>
          <w:szCs w:val="32"/>
        </w:rPr>
        <w:t>提升了我区的</w:t>
      </w:r>
      <w:r>
        <w:rPr>
          <w:rFonts w:hint="eastAsia" w:ascii="仿宋" w:hAnsi="仿宋" w:eastAsia="仿宋_GB2312" w:cs="仿宋"/>
          <w:sz w:val="32"/>
          <w:szCs w:val="32"/>
          <w:lang w:eastAsia="zh-CN"/>
        </w:rPr>
        <w:t>影响力。</w:t>
      </w:r>
    </w:p>
    <w:p w14:paraId="47AA78FA">
      <w:pPr>
        <w:keepNext w:val="0"/>
        <w:keepLines w:val="0"/>
        <w:pageBreakBefore w:val="0"/>
        <w:widowControl w:val="0"/>
        <w:kinsoku/>
        <w:wordWrap/>
        <w:overflowPunct/>
        <w:topLinePunct w:val="0"/>
        <w:autoSpaceDE/>
        <w:autoSpaceDN/>
        <w:bidi w:val="0"/>
        <w:adjustRightInd/>
        <w:snapToGrid/>
        <w:spacing w:line="560" w:lineRule="exact"/>
        <w:ind w:firstLine="624" w:firstLineChars="200"/>
        <w:jc w:val="both"/>
        <w:textAlignment w:val="auto"/>
        <w:rPr>
          <w:rFonts w:hint="eastAsia" w:ascii="仿宋" w:hAnsi="仿宋" w:eastAsia="仿宋_GB2312" w:cs="仿宋"/>
          <w:sz w:val="32"/>
          <w:szCs w:val="32"/>
          <w:lang w:val="en-US" w:eastAsia="zh-CN"/>
        </w:rPr>
      </w:pPr>
      <w:r>
        <w:rPr>
          <w:rFonts w:hint="eastAsia" w:ascii="仿宋" w:hAnsi="仿宋" w:eastAsia="仿宋_GB2312" w:cs="仿宋"/>
          <w:b/>
          <w:bCs/>
          <w:sz w:val="32"/>
          <w:szCs w:val="32"/>
          <w:lang w:val="en-US" w:eastAsia="zh-CN"/>
        </w:rPr>
        <w:t>二是群众赛事精彩纷呈，全民参与热情高涨。</w:t>
      </w:r>
      <w:r>
        <w:rPr>
          <w:rFonts w:hint="eastAsia" w:ascii="仿宋" w:hAnsi="仿宋" w:eastAsia="仿宋_GB2312" w:cs="仿宋"/>
          <w:sz w:val="32"/>
          <w:szCs w:val="32"/>
          <w:lang w:val="en-US" w:eastAsia="zh-CN"/>
        </w:rPr>
        <w:t>先后举办2021年梅县区第二届“足协杯”足球比赛；2021年铁汉华翰林乒协杯乒乓球比赛；2021—2024年中小学生足球联赛；2022—2024年“全民健身日”系列活动；2023、2024、2025连续三年乡镇篮球联赛；2023年梅州市职工男子篮球联赛和“五四”青年篮球联赛；中国移动2023年全省乒乓球团体赛和2023年粤东地区体育+旅游羽毛球交流赛；2023至2025年庆五一机关干部职工乒乓球、羽毛球、足球、象棋和台球等活动；2024年梅县区“客商银行杯”乡镇职工男子足球联赛、“丙村商会杯”男子足球联赛；2024年广东梅州“农商银行・李惠堂杯”五人足球争霸赛（丙村站）；2024年“百千万”系列赛；2024年梅州市第七届男子篮球联赛；2024“喜多多杯”中国象棋个人公开赛；“相约梅县过大年”2024年梅县区贺岁杯足球赛；广东长隆2025丙村长隆五人制足球争霸赛等。在赛场上</w:t>
      </w:r>
      <w:r>
        <w:rPr>
          <w:rFonts w:hint="eastAsia" w:ascii="仿宋" w:hAnsi="仿宋" w:eastAsia="仿宋_GB2312" w:cs="仿宋"/>
          <w:sz w:val="32"/>
          <w:szCs w:val="32"/>
        </w:rPr>
        <w:t>释放</w:t>
      </w:r>
      <w:r>
        <w:rPr>
          <w:rFonts w:hint="eastAsia" w:ascii="仿宋" w:hAnsi="仿宋" w:eastAsia="仿宋_GB2312" w:cs="仿宋"/>
          <w:sz w:val="32"/>
          <w:szCs w:val="32"/>
          <w:lang w:eastAsia="zh-CN"/>
        </w:rPr>
        <w:t>了</w:t>
      </w:r>
      <w:r>
        <w:rPr>
          <w:rFonts w:hint="eastAsia" w:ascii="仿宋" w:hAnsi="仿宋" w:eastAsia="仿宋_GB2312" w:cs="仿宋"/>
          <w:sz w:val="32"/>
          <w:szCs w:val="32"/>
        </w:rPr>
        <w:t>梅</w:t>
      </w:r>
      <w:r>
        <w:rPr>
          <w:rFonts w:hint="eastAsia" w:ascii="仿宋" w:hAnsi="仿宋" w:eastAsia="仿宋_GB2312" w:cs="仿宋"/>
          <w:sz w:val="32"/>
          <w:szCs w:val="32"/>
          <w:lang w:eastAsia="zh-CN"/>
        </w:rPr>
        <w:t>县办赛理念，提升了我区知名度。</w:t>
      </w:r>
    </w:p>
    <w:p w14:paraId="1961D105">
      <w:pPr>
        <w:keepNext w:val="0"/>
        <w:keepLines w:val="0"/>
        <w:pageBreakBefore w:val="0"/>
        <w:widowControl w:val="0"/>
        <w:kinsoku/>
        <w:wordWrap/>
        <w:overflowPunct/>
        <w:topLinePunct w:val="0"/>
        <w:autoSpaceDE/>
        <w:autoSpaceDN/>
        <w:bidi w:val="0"/>
        <w:adjustRightInd/>
        <w:snapToGrid/>
        <w:spacing w:line="560" w:lineRule="exact"/>
        <w:ind w:firstLine="624" w:firstLineChars="200"/>
        <w:jc w:val="both"/>
        <w:textAlignment w:val="auto"/>
        <w:rPr>
          <w:rFonts w:hint="eastAsia" w:ascii="仿宋" w:hAnsi="仿宋" w:eastAsia="仿宋_GB2312" w:cs="仿宋"/>
          <w:sz w:val="32"/>
          <w:szCs w:val="32"/>
        </w:rPr>
      </w:pPr>
      <w:r>
        <w:rPr>
          <w:rFonts w:hint="eastAsia" w:ascii="楷体" w:hAnsi="楷体" w:eastAsia="仿宋_GB2312" w:cs="楷体"/>
          <w:b/>
          <w:bCs/>
          <w:sz w:val="32"/>
          <w:szCs w:val="32"/>
          <w:lang w:eastAsia="zh-CN"/>
        </w:rPr>
        <w:t>三是</w:t>
      </w:r>
      <w:r>
        <w:rPr>
          <w:rFonts w:hint="eastAsia" w:ascii="楷体" w:hAnsi="楷体" w:eastAsia="仿宋_GB2312" w:cs="楷体"/>
          <w:b/>
          <w:bCs/>
          <w:sz w:val="32"/>
          <w:szCs w:val="32"/>
        </w:rPr>
        <w:t>健身指导有序推进，健康生活加速普及</w:t>
      </w:r>
      <w:r>
        <w:rPr>
          <w:rFonts w:hint="eastAsia" w:ascii="楷体" w:hAnsi="楷体" w:eastAsia="仿宋_GB2312" w:cs="楷体"/>
          <w:b/>
          <w:bCs/>
          <w:sz w:val="32"/>
          <w:szCs w:val="32"/>
          <w:lang w:eastAsia="zh-CN"/>
        </w:rPr>
        <w:t>。</w:t>
      </w:r>
      <w:r>
        <w:rPr>
          <w:rFonts w:hint="eastAsia" w:ascii="仿宋" w:hAnsi="仿宋" w:eastAsia="仿宋_GB2312" w:cs="仿宋"/>
          <w:sz w:val="32"/>
          <w:szCs w:val="32"/>
        </w:rPr>
        <w:t>稳步推进科学健身指导工作，</w:t>
      </w:r>
      <w:r>
        <w:rPr>
          <w:rFonts w:hint="eastAsia" w:ascii="仿宋" w:hAnsi="仿宋" w:eastAsia="仿宋_GB2312" w:cs="仿宋"/>
          <w:sz w:val="32"/>
          <w:szCs w:val="32"/>
          <w:lang w:val="en-US" w:eastAsia="zh-CN"/>
        </w:rPr>
        <w:t>2021年以来</w:t>
      </w:r>
      <w:r>
        <w:rPr>
          <w:rFonts w:hint="eastAsia" w:ascii="仿宋" w:hAnsi="仿宋" w:eastAsia="仿宋_GB2312" w:cs="仿宋"/>
          <w:color w:val="auto"/>
          <w:sz w:val="32"/>
          <w:szCs w:val="32"/>
          <w:lang w:eastAsia="zh-CN"/>
        </w:rPr>
        <w:t>共</w:t>
      </w:r>
      <w:r>
        <w:rPr>
          <w:rFonts w:hint="eastAsia" w:ascii="仿宋" w:hAnsi="仿宋" w:eastAsia="仿宋_GB2312" w:cs="仿宋"/>
          <w:color w:val="auto"/>
          <w:sz w:val="32"/>
          <w:szCs w:val="32"/>
        </w:rPr>
        <w:t>培训</w:t>
      </w:r>
      <w:r>
        <w:rPr>
          <w:rFonts w:hint="eastAsia" w:ascii="仿宋" w:hAnsi="仿宋" w:eastAsia="仿宋_GB2312" w:cs="仿宋"/>
          <w:color w:val="auto"/>
          <w:sz w:val="32"/>
          <w:szCs w:val="32"/>
          <w:lang w:eastAsia="zh-CN"/>
        </w:rPr>
        <w:t>社会体育指导员</w:t>
      </w:r>
      <w:r>
        <w:rPr>
          <w:rFonts w:hint="eastAsia" w:ascii="仿宋" w:hAnsi="仿宋" w:eastAsia="仿宋_GB2312" w:cs="仿宋"/>
          <w:color w:val="auto"/>
          <w:sz w:val="32"/>
          <w:szCs w:val="32"/>
          <w:lang w:val="en-US" w:eastAsia="zh-CN"/>
        </w:rPr>
        <w:t>500</w:t>
      </w:r>
      <w:r>
        <w:rPr>
          <w:rFonts w:hint="eastAsia" w:ascii="仿宋" w:hAnsi="仿宋" w:eastAsia="仿宋_GB2312" w:cs="仿宋"/>
          <w:color w:val="auto"/>
          <w:sz w:val="32"/>
          <w:szCs w:val="32"/>
        </w:rPr>
        <w:t>人次，涵盖羽毛球、</w:t>
      </w:r>
      <w:r>
        <w:rPr>
          <w:rFonts w:hint="eastAsia" w:ascii="仿宋" w:hAnsi="仿宋" w:eastAsia="仿宋_GB2312" w:cs="仿宋"/>
          <w:color w:val="auto"/>
          <w:sz w:val="32"/>
          <w:szCs w:val="32"/>
          <w:lang w:eastAsia="zh-CN"/>
        </w:rPr>
        <w:t>篮球、</w:t>
      </w:r>
      <w:r>
        <w:rPr>
          <w:rFonts w:hint="eastAsia" w:ascii="仿宋" w:hAnsi="仿宋" w:eastAsia="仿宋_GB2312" w:cs="仿宋"/>
          <w:color w:val="auto"/>
          <w:sz w:val="32"/>
          <w:szCs w:val="32"/>
        </w:rPr>
        <w:t>乒乓球</w:t>
      </w:r>
      <w:r>
        <w:rPr>
          <w:rFonts w:hint="eastAsia" w:ascii="仿宋" w:hAnsi="仿宋" w:eastAsia="仿宋_GB2312" w:cs="仿宋"/>
          <w:color w:val="auto"/>
          <w:sz w:val="32"/>
          <w:szCs w:val="32"/>
          <w:lang w:eastAsia="zh-CN"/>
        </w:rPr>
        <w:t>、健身气功</w:t>
      </w:r>
      <w:r>
        <w:rPr>
          <w:rFonts w:hint="eastAsia" w:ascii="仿宋" w:hAnsi="仿宋" w:eastAsia="仿宋_GB2312" w:cs="仿宋"/>
          <w:sz w:val="32"/>
          <w:szCs w:val="32"/>
        </w:rPr>
        <w:t>等项目</w:t>
      </w:r>
      <w:r>
        <w:rPr>
          <w:rFonts w:hint="eastAsia" w:ascii="仿宋" w:hAnsi="仿宋" w:eastAsia="仿宋_GB2312" w:cs="仿宋"/>
          <w:sz w:val="32"/>
          <w:szCs w:val="32"/>
          <w:lang w:eastAsia="zh-CN"/>
        </w:rPr>
        <w:t>；</w:t>
      </w:r>
      <w:r>
        <w:rPr>
          <w:rFonts w:hint="eastAsia" w:ascii="仿宋" w:hAnsi="仿宋" w:eastAsia="仿宋_GB2312" w:cs="仿宋"/>
          <w:sz w:val="32"/>
          <w:szCs w:val="32"/>
        </w:rPr>
        <w:t>完成</w:t>
      </w:r>
      <w:r>
        <w:rPr>
          <w:rFonts w:hint="eastAsia" w:ascii="仿宋" w:hAnsi="仿宋" w:eastAsia="仿宋_GB2312" w:cs="仿宋"/>
          <w:sz w:val="32"/>
          <w:szCs w:val="32"/>
          <w:lang w:val="en-US" w:eastAsia="zh-CN"/>
        </w:rPr>
        <w:t>5000</w:t>
      </w:r>
      <w:r>
        <w:rPr>
          <w:rFonts w:hint="eastAsia" w:ascii="仿宋" w:hAnsi="仿宋" w:eastAsia="仿宋_GB2312" w:cs="仿宋"/>
          <w:sz w:val="32"/>
          <w:szCs w:val="32"/>
        </w:rPr>
        <w:t>例</w:t>
      </w:r>
      <w:r>
        <w:rPr>
          <w:rFonts w:hint="eastAsia" w:ascii="仿宋" w:hAnsi="仿宋" w:eastAsia="仿宋_GB2312" w:cs="仿宋"/>
          <w:sz w:val="32"/>
          <w:szCs w:val="32"/>
          <w:lang w:eastAsia="zh-CN"/>
        </w:rPr>
        <w:t>以上</w:t>
      </w:r>
      <w:r>
        <w:rPr>
          <w:rFonts w:hint="eastAsia" w:ascii="仿宋" w:hAnsi="仿宋" w:eastAsia="仿宋_GB2312" w:cs="仿宋"/>
          <w:sz w:val="32"/>
          <w:szCs w:val="32"/>
        </w:rPr>
        <w:t>国民体质监测任务</w:t>
      </w:r>
      <w:r>
        <w:rPr>
          <w:rFonts w:hint="eastAsia" w:ascii="仿宋" w:hAnsi="仿宋" w:eastAsia="仿宋_GB2312" w:cs="仿宋"/>
          <w:sz w:val="32"/>
          <w:szCs w:val="32"/>
          <w:lang w:eastAsia="zh-CN"/>
        </w:rPr>
        <w:t>，</w:t>
      </w:r>
      <w:r>
        <w:rPr>
          <w:rFonts w:hint="eastAsia" w:ascii="仿宋" w:hAnsi="仿宋" w:eastAsia="仿宋_GB2312" w:cs="仿宋"/>
          <w:sz w:val="32"/>
          <w:szCs w:val="32"/>
          <w:lang w:val="en-US" w:eastAsia="zh-CN"/>
        </w:rPr>
        <w:t>2025年6月承办了“我为群众办实事”2025年广东省国民体质监测万里行活动（梅州梅县站）活动，先后在梅县人民广场、曾宪梓体育场、富力城社区和梅南镇人民广场举办国民体质监测、科学健身指导讲座和《国家体育锻炼标准》达标测验等活动，充分发挥体质监测与科学健身指导效能，切实提升城乡居民身体素质，促进全民健康与全民健身深度融合，助力全民健身事业高质量发展，</w:t>
      </w:r>
      <w:r>
        <w:rPr>
          <w:rFonts w:hint="eastAsia" w:ascii="仿宋" w:hAnsi="仿宋" w:eastAsia="仿宋_GB2312" w:cs="仿宋"/>
          <w:sz w:val="32"/>
          <w:szCs w:val="32"/>
        </w:rPr>
        <w:t>为群众健康提供有力保障。</w:t>
      </w:r>
    </w:p>
    <w:p w14:paraId="2C27EA6E">
      <w:pPr>
        <w:keepNext w:val="0"/>
        <w:keepLines w:val="0"/>
        <w:pageBreakBefore w:val="0"/>
        <w:widowControl w:val="0"/>
        <w:kinsoku/>
        <w:wordWrap/>
        <w:overflowPunct/>
        <w:topLinePunct w:val="0"/>
        <w:autoSpaceDE/>
        <w:autoSpaceDN/>
        <w:bidi w:val="0"/>
        <w:adjustRightInd/>
        <w:snapToGrid/>
        <w:spacing w:line="560" w:lineRule="exact"/>
        <w:ind w:firstLine="624" w:firstLineChars="200"/>
        <w:jc w:val="both"/>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（三）宣传推广工作成效显著。</w:t>
      </w:r>
    </w:p>
    <w:p w14:paraId="4BCB204A">
      <w:pPr>
        <w:keepNext w:val="0"/>
        <w:keepLines w:val="0"/>
        <w:pageBreakBefore w:val="0"/>
        <w:widowControl w:val="0"/>
        <w:kinsoku/>
        <w:wordWrap/>
        <w:overflowPunct/>
        <w:topLinePunct w:val="0"/>
        <w:autoSpaceDE/>
        <w:autoSpaceDN/>
        <w:bidi w:val="0"/>
        <w:adjustRightInd/>
        <w:snapToGrid/>
        <w:spacing w:line="560" w:lineRule="exact"/>
        <w:ind w:firstLine="624" w:firstLineChars="200"/>
        <w:jc w:val="both"/>
        <w:textAlignment w:val="auto"/>
        <w:rPr>
          <w:rFonts w:hint="eastAsia" w:ascii="仿宋" w:hAnsi="仿宋" w:eastAsia="仿宋_GB2312" w:cs="仿宋"/>
          <w:sz w:val="32"/>
          <w:szCs w:val="32"/>
          <w:lang w:val="en-US" w:eastAsia="zh-CN"/>
        </w:rPr>
      </w:pPr>
      <w:r>
        <w:rPr>
          <w:rFonts w:hint="eastAsia" w:ascii="仿宋" w:hAnsi="仿宋" w:eastAsia="仿宋_GB2312" w:cs="仿宋"/>
          <w:sz w:val="32"/>
          <w:szCs w:val="32"/>
          <w:lang w:val="en-US" w:eastAsia="zh-CN"/>
        </w:rPr>
        <w:t>接续开展全民健身宣传推广活动，线上主要通过《球乡》、《梅县发布》、梅州日报、梅州足球微信公众号、南方+等新媒体平台发布赛事信息和健身知识，图文并茂介绍体育赛事和全民健身活动情况；线下主要利用宣传横幅、标语、宣传手册和健康宣传公开栏、村务公开等载体宣传全民健身知识。在“线上+线下”立体化宣传网络下，全民健身热情进一步高涨。</w:t>
      </w:r>
    </w:p>
    <w:p w14:paraId="2471C252">
      <w:pPr>
        <w:keepNext w:val="0"/>
        <w:keepLines w:val="0"/>
        <w:pageBreakBefore w:val="0"/>
        <w:widowControl w:val="0"/>
        <w:kinsoku/>
        <w:wordWrap/>
        <w:overflowPunct/>
        <w:topLinePunct w:val="0"/>
        <w:autoSpaceDE/>
        <w:autoSpaceDN/>
        <w:bidi w:val="0"/>
        <w:adjustRightInd/>
        <w:snapToGrid/>
        <w:spacing w:line="560" w:lineRule="exact"/>
        <w:ind w:firstLine="624" w:firstLineChars="200"/>
        <w:jc w:val="both"/>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（四）存在问题与不足：</w:t>
      </w:r>
    </w:p>
    <w:p w14:paraId="0DE127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24"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一是</w:t>
      </w:r>
      <w:r>
        <w:rPr>
          <w:rFonts w:hint="eastAsia" w:ascii="仿宋_GB2312" w:hAnsi="仿宋_GB2312" w:eastAsia="仿宋_GB2312" w:cs="仿宋_GB2312"/>
          <w:b/>
          <w:bCs/>
          <w:sz w:val="32"/>
          <w:szCs w:val="32"/>
        </w:rPr>
        <w:t>设施供给与</w:t>
      </w:r>
      <w:r>
        <w:rPr>
          <w:rFonts w:hint="eastAsia" w:ascii="仿宋_GB2312" w:hAnsi="仿宋_GB2312" w:eastAsia="仿宋_GB2312" w:cs="仿宋_GB2312"/>
          <w:b/>
          <w:bCs/>
          <w:sz w:val="32"/>
          <w:szCs w:val="32"/>
          <w:lang w:eastAsia="zh-CN"/>
        </w:rPr>
        <w:t>群众需求有差距。</w:t>
      </w:r>
      <w:r>
        <w:rPr>
          <w:rFonts w:hint="eastAsia" w:ascii="仿宋_GB2312" w:hAnsi="仿宋_GB2312" w:eastAsia="仿宋_GB2312" w:cs="仿宋_GB2312"/>
          <w:sz w:val="32"/>
          <w:szCs w:val="32"/>
        </w:rPr>
        <w:t>公共体育设施供给不足，布局不够合理，部分偏远自然村的健身设施维护不及时，存在器材损坏、场地老化现象难以满足群众日益增长的健身需求</w:t>
      </w:r>
      <w:r>
        <w:rPr>
          <w:rFonts w:hint="eastAsia" w:ascii="仿宋_GB2312" w:hAnsi="仿宋_GB2312" w:eastAsia="仿宋_GB2312" w:cs="仿宋_GB2312"/>
          <w:sz w:val="32"/>
          <w:szCs w:val="32"/>
          <w:lang w:eastAsia="zh-CN"/>
        </w:rPr>
        <w:t>。</w:t>
      </w:r>
    </w:p>
    <w:p w14:paraId="43BB946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24"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二是举办赛事体系存在发展不均衡。</w:t>
      </w:r>
      <w:r>
        <w:rPr>
          <w:rFonts w:hint="eastAsia" w:ascii="仿宋_GB2312" w:hAnsi="仿宋_GB2312" w:eastAsia="仿宋_GB2312" w:cs="仿宋_GB2312"/>
          <w:b w:val="0"/>
          <w:bCs w:val="0"/>
          <w:sz w:val="32"/>
          <w:szCs w:val="32"/>
        </w:rPr>
        <w:t>足球</w:t>
      </w:r>
      <w:r>
        <w:rPr>
          <w:rFonts w:hint="eastAsia" w:ascii="仿宋_GB2312" w:hAnsi="仿宋_GB2312" w:eastAsia="仿宋_GB2312" w:cs="仿宋_GB2312"/>
          <w:sz w:val="32"/>
          <w:szCs w:val="32"/>
        </w:rPr>
        <w:t>赛事举办频次高、影响力大，但其他项目如</w:t>
      </w:r>
      <w:r>
        <w:rPr>
          <w:rFonts w:hint="eastAsia" w:ascii="仿宋_GB2312" w:hAnsi="仿宋_GB2312" w:eastAsia="仿宋_GB2312" w:cs="仿宋_GB2312"/>
          <w:sz w:val="32"/>
          <w:szCs w:val="32"/>
          <w:lang w:eastAsia="zh-CN"/>
        </w:rPr>
        <w:t>乒乓</w:t>
      </w:r>
      <w:r>
        <w:rPr>
          <w:rFonts w:hint="eastAsia" w:ascii="仿宋_GB2312" w:hAnsi="仿宋_GB2312" w:eastAsia="仿宋_GB2312" w:cs="仿宋_GB2312"/>
          <w:sz w:val="32"/>
          <w:szCs w:val="32"/>
        </w:rPr>
        <w:t>球、羽毛球等开展相对不足</w:t>
      </w:r>
      <w:r>
        <w:rPr>
          <w:rFonts w:hint="eastAsia" w:ascii="仿宋_GB2312" w:hAnsi="仿宋_GB2312" w:eastAsia="仿宋_GB2312" w:cs="仿宋_GB2312"/>
          <w:sz w:val="32"/>
          <w:szCs w:val="32"/>
          <w:lang w:eastAsia="zh-CN"/>
        </w:rPr>
        <w:t>，影响力较低</w:t>
      </w:r>
      <w:r>
        <w:rPr>
          <w:rFonts w:hint="eastAsia" w:ascii="仿宋_GB2312" w:hAnsi="仿宋_GB2312" w:eastAsia="仿宋_GB2312" w:cs="仿宋_GB2312"/>
          <w:sz w:val="32"/>
          <w:szCs w:val="32"/>
        </w:rPr>
        <w:t>；参赛群体以中青年男性为主，</w:t>
      </w:r>
      <w:r>
        <w:rPr>
          <w:rFonts w:hint="eastAsia" w:ascii="仿宋_GB2312" w:hAnsi="仿宋_GB2312" w:eastAsia="仿宋_GB2312" w:cs="仿宋_GB2312"/>
          <w:sz w:val="32"/>
          <w:szCs w:val="32"/>
          <w:lang w:eastAsia="zh-CN"/>
        </w:rPr>
        <w:t>其他</w:t>
      </w:r>
      <w:r>
        <w:rPr>
          <w:rFonts w:hint="eastAsia" w:ascii="仿宋_GB2312" w:hAnsi="仿宋_GB2312" w:eastAsia="仿宋_GB2312" w:cs="仿宋_GB2312"/>
          <w:sz w:val="32"/>
          <w:szCs w:val="32"/>
        </w:rPr>
        <w:t>群体的专属赛事较少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赛事运营专业化程度有待提高，多数活动依靠政府主导和志愿者支持，缺乏市场机制引入，商业赞助以本地企业为主，规模和可持续性有限</w:t>
      </w:r>
      <w:r>
        <w:rPr>
          <w:rFonts w:hint="eastAsia" w:ascii="仿宋_GB2312" w:hAnsi="仿宋_GB2312" w:eastAsia="仿宋_GB2312" w:cs="仿宋_GB2312"/>
          <w:sz w:val="32"/>
          <w:szCs w:val="32"/>
          <w:lang w:eastAsia="zh-CN"/>
        </w:rPr>
        <w:t>；</w:t>
      </w:r>
    </w:p>
    <w:p w14:paraId="4F3B2833">
      <w:pPr>
        <w:keepNext w:val="0"/>
        <w:keepLines w:val="0"/>
        <w:pageBreakBefore w:val="0"/>
        <w:widowControl w:val="0"/>
        <w:kinsoku/>
        <w:wordWrap/>
        <w:overflowPunct/>
        <w:topLinePunct w:val="0"/>
        <w:autoSpaceDE/>
        <w:autoSpaceDN/>
        <w:bidi w:val="0"/>
        <w:adjustRightInd/>
        <w:snapToGrid/>
        <w:spacing w:line="560" w:lineRule="exact"/>
        <w:ind w:firstLine="624" w:firstLineChars="200"/>
        <w:jc w:val="both"/>
        <w:textAlignment w:val="auto"/>
        <w:rPr>
          <w:rFonts w:hint="eastAsia" w:ascii="仿宋" w:hAnsi="仿宋" w:eastAsia="仿宋_GB2312" w:cs="仿宋"/>
          <w:sz w:val="32"/>
          <w:szCs w:val="32"/>
          <w:lang w:val="en-US" w:eastAsia="zh-CN"/>
        </w:rPr>
      </w:pPr>
      <w:r>
        <w:rPr>
          <w:rFonts w:hint="eastAsia" w:ascii="仿宋_GB2312" w:hAnsi="仿宋_GB2312" w:eastAsia="仿宋_GB2312" w:cs="仿宋_GB2312"/>
          <w:b/>
          <w:bCs/>
          <w:sz w:val="32"/>
          <w:szCs w:val="32"/>
          <w:lang w:eastAsia="zh-CN"/>
        </w:rPr>
        <w:t>三是</w:t>
      </w:r>
      <w:r>
        <w:rPr>
          <w:rFonts w:hint="eastAsia" w:ascii="仿宋_GB2312" w:hAnsi="仿宋_GB2312" w:eastAsia="仿宋_GB2312" w:cs="仿宋_GB2312"/>
          <w:b/>
          <w:bCs/>
          <w:sz w:val="32"/>
          <w:szCs w:val="32"/>
        </w:rPr>
        <w:t>“体育+”融合效应发挥</w:t>
      </w:r>
      <w:r>
        <w:rPr>
          <w:rFonts w:hint="eastAsia" w:ascii="仿宋_GB2312" w:hAnsi="仿宋_GB2312" w:eastAsia="仿宋_GB2312" w:cs="仿宋_GB2312"/>
          <w:b/>
          <w:bCs/>
          <w:sz w:val="32"/>
          <w:szCs w:val="32"/>
          <w:lang w:eastAsia="zh-CN"/>
        </w:rPr>
        <w:t>不</w:t>
      </w:r>
      <w:r>
        <w:rPr>
          <w:rFonts w:hint="eastAsia" w:ascii="仿宋_GB2312" w:hAnsi="仿宋_GB2312" w:eastAsia="仿宋_GB2312" w:cs="仿宋_GB2312"/>
          <w:b/>
          <w:bCs/>
          <w:sz w:val="32"/>
          <w:szCs w:val="32"/>
        </w:rPr>
        <w:t>充分</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lang w:eastAsia="zh-CN"/>
        </w:rPr>
        <w:t>体育</w:t>
      </w:r>
      <w:r>
        <w:rPr>
          <w:rFonts w:hint="eastAsia" w:ascii="仿宋_GB2312" w:hAnsi="仿宋_GB2312" w:eastAsia="仿宋_GB2312" w:cs="仿宋_GB2312"/>
          <w:sz w:val="32"/>
          <w:szCs w:val="32"/>
        </w:rPr>
        <w:t>与文旅产业融合不够深入，未能充分挖掘“体育+”的潜在价值</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体育消费意识</w:t>
      </w:r>
      <w:r>
        <w:rPr>
          <w:rFonts w:hint="eastAsia" w:ascii="仿宋_GB2312" w:hAnsi="仿宋_GB2312" w:eastAsia="仿宋_GB2312" w:cs="仿宋_GB2312"/>
          <w:sz w:val="32"/>
          <w:szCs w:val="32"/>
          <w:lang w:eastAsia="zh-CN"/>
        </w:rPr>
        <w:t>还比较</w:t>
      </w:r>
      <w:r>
        <w:rPr>
          <w:rFonts w:hint="eastAsia" w:ascii="仿宋_GB2312" w:hAnsi="仿宋_GB2312" w:eastAsia="仿宋_GB2312" w:cs="仿宋_GB2312"/>
          <w:sz w:val="32"/>
          <w:szCs w:val="32"/>
        </w:rPr>
        <w:t>淡薄。随着我国市场经济的建立，群众体育市场化已成为必然趋势，因此，培养人们正确的体育消费意识，树立“花钱买健康”的观念已是保障全民健身计划实施的一个关键环节。</w:t>
      </w:r>
    </w:p>
    <w:p w14:paraId="0E96B201">
      <w:pPr>
        <w:keepNext w:val="0"/>
        <w:keepLines w:val="0"/>
        <w:pageBreakBefore w:val="0"/>
        <w:kinsoku/>
        <w:wordWrap/>
        <w:overflowPunct/>
        <w:topLinePunct w:val="0"/>
        <w:bidi w:val="0"/>
        <w:adjustRightInd w:val="0"/>
        <w:snapToGrid w:val="0"/>
        <w:spacing w:line="560" w:lineRule="exact"/>
        <w:ind w:firstLine="624" w:firstLineChars="200"/>
        <w:textAlignment w:val="auto"/>
        <w:outlineLvl w:val="0"/>
        <w:rPr>
          <w:rFonts w:hint="default" w:ascii="Times New Roman" w:hAnsi="Times New Roman" w:eastAsia="黑体" w:cs="黑体"/>
          <w:sz w:val="32"/>
          <w:szCs w:val="32"/>
          <w:lang w:val="en-US" w:eastAsia="zh-CN"/>
        </w:rPr>
      </w:pPr>
      <w:bookmarkStart w:id="3" w:name="_Toc8175"/>
      <w:r>
        <w:rPr>
          <w:rFonts w:hint="eastAsia" w:ascii="Times New Roman" w:hAnsi="Times New Roman" w:eastAsia="黑体" w:cs="黑体"/>
          <w:sz w:val="32"/>
          <w:szCs w:val="32"/>
          <w:lang w:eastAsia="zh-CN"/>
        </w:rPr>
        <w:t>二</w:t>
      </w:r>
      <w:r>
        <w:rPr>
          <w:rFonts w:hint="eastAsia" w:ascii="Times New Roman" w:hAnsi="Times New Roman" w:eastAsia="黑体" w:cs="黑体"/>
          <w:sz w:val="32"/>
          <w:szCs w:val="32"/>
        </w:rPr>
        <w:t>、</w:t>
      </w:r>
      <w:r>
        <w:rPr>
          <w:rFonts w:hint="eastAsia" w:ascii="Times New Roman" w:hAnsi="Times New Roman" w:eastAsia="黑体" w:cs="黑体"/>
          <w:sz w:val="32"/>
          <w:szCs w:val="32"/>
          <w:lang w:val="en-US" w:eastAsia="zh-CN"/>
        </w:rPr>
        <w:t>发展规划</w:t>
      </w:r>
      <w:bookmarkEnd w:id="3"/>
    </w:p>
    <w:p w14:paraId="1870536F">
      <w:pPr>
        <w:keepNext w:val="0"/>
        <w:keepLines w:val="0"/>
        <w:pageBreakBefore w:val="0"/>
        <w:kinsoku/>
        <w:wordWrap/>
        <w:overflowPunct/>
        <w:topLinePunct w:val="0"/>
        <w:bidi w:val="0"/>
        <w:adjustRightInd w:val="0"/>
        <w:snapToGrid w:val="0"/>
        <w:spacing w:line="560" w:lineRule="exact"/>
        <w:ind w:firstLine="624" w:firstLineChars="200"/>
        <w:textAlignment w:val="auto"/>
        <w:outlineLvl w:val="0"/>
        <w:rPr>
          <w:rFonts w:hint="eastAsia" w:ascii="Times New Roman" w:hAnsi="Times New Roman" w:eastAsia="楷体" w:cs="楷体"/>
          <w:b w:val="0"/>
          <w:bCs w:val="0"/>
          <w:sz w:val="32"/>
          <w:szCs w:val="32"/>
        </w:rPr>
      </w:pPr>
      <w:bookmarkStart w:id="4" w:name="_Toc30927"/>
      <w:r>
        <w:rPr>
          <w:rFonts w:hint="eastAsia" w:ascii="Times New Roman" w:hAnsi="Times New Roman" w:eastAsia="楷体" w:cs="楷体"/>
          <w:b w:val="0"/>
          <w:bCs w:val="0"/>
          <w:sz w:val="32"/>
          <w:szCs w:val="32"/>
        </w:rPr>
        <w:t>（一）指导思想</w:t>
      </w:r>
      <w:bookmarkEnd w:id="4"/>
    </w:p>
    <w:p w14:paraId="507E2390">
      <w:pPr>
        <w:keepNext w:val="0"/>
        <w:keepLines w:val="0"/>
        <w:pageBreakBefore w:val="0"/>
        <w:kinsoku/>
        <w:wordWrap/>
        <w:overflowPunct/>
        <w:topLinePunct w:val="0"/>
        <w:bidi w:val="0"/>
        <w:adjustRightInd w:val="0"/>
        <w:snapToGrid w:val="0"/>
        <w:spacing w:line="560" w:lineRule="exact"/>
        <w:ind w:firstLine="624" w:firstLineChars="200"/>
        <w:textAlignment w:val="auto"/>
        <w:rPr>
          <w:rFonts w:hint="eastAsia" w:ascii="Times New Roman" w:hAnsi="Times New Roman" w:eastAsia="仿宋_GB2312" w:cs="仿宋"/>
          <w:sz w:val="32"/>
          <w:szCs w:val="32"/>
          <w:lang w:eastAsia="zh-CN"/>
        </w:rPr>
      </w:pPr>
      <w:r>
        <w:rPr>
          <w:rFonts w:hint="eastAsia" w:ascii="Times New Roman" w:hAnsi="Times New Roman" w:eastAsia="仿宋_GB2312" w:cs="仿宋"/>
          <w:sz w:val="32"/>
          <w:szCs w:val="32"/>
        </w:rPr>
        <w:t>以习近平新时代中国特色社会主义思想为指导，深入贯彻党的</w:t>
      </w:r>
      <w:r>
        <w:rPr>
          <w:rFonts w:hint="eastAsia" w:ascii="Times New Roman" w:hAnsi="Times New Roman" w:eastAsia="仿宋_GB2312" w:cs="仿宋"/>
          <w:sz w:val="32"/>
          <w:szCs w:val="32"/>
          <w:lang w:eastAsia="zh-CN"/>
        </w:rPr>
        <w:t>二十</w:t>
      </w:r>
      <w:r>
        <w:rPr>
          <w:rFonts w:hint="eastAsia" w:ascii="Times New Roman" w:hAnsi="Times New Roman" w:eastAsia="仿宋_GB2312" w:cs="仿宋"/>
          <w:sz w:val="32"/>
          <w:szCs w:val="32"/>
        </w:rPr>
        <w:t>大精神，坚持以人民为中心的发展思想，贯彻新发展理念，突出</w:t>
      </w:r>
      <w:r>
        <w:rPr>
          <w:rFonts w:hint="eastAsia" w:ascii="Times New Roman" w:hAnsi="Times New Roman" w:eastAsia="仿宋_GB2312" w:cs="仿宋"/>
          <w:sz w:val="32"/>
          <w:szCs w:val="32"/>
          <w:lang w:eastAsia="zh-CN"/>
        </w:rPr>
        <w:t>新的</w:t>
      </w:r>
      <w:r>
        <w:rPr>
          <w:rFonts w:hint="eastAsia" w:ascii="Times New Roman" w:hAnsi="Times New Roman" w:eastAsia="仿宋_GB2312" w:cs="仿宋"/>
          <w:sz w:val="32"/>
          <w:szCs w:val="32"/>
        </w:rPr>
        <w:t>问题导向，围绕落实省委“1310”具体部署，深入实施体育助力“百千万工程”，不断完善全民健身公共服务体系，在服务全省高质量发展大局、推进体育强省建设进程中作出积极贡献</w:t>
      </w:r>
      <w:r>
        <w:rPr>
          <w:rFonts w:hint="eastAsia" w:ascii="Times New Roman" w:hAnsi="Times New Roman" w:eastAsia="仿宋_GB2312" w:cs="仿宋"/>
          <w:sz w:val="32"/>
          <w:szCs w:val="32"/>
          <w:lang w:eastAsia="zh-CN"/>
        </w:rPr>
        <w:t>。在</w:t>
      </w:r>
      <w:r>
        <w:rPr>
          <w:rFonts w:hint="eastAsia" w:ascii="Times New Roman" w:hAnsi="Times New Roman" w:eastAsia="仿宋_GB2312" w:cs="仿宋"/>
          <w:sz w:val="32"/>
          <w:szCs w:val="32"/>
        </w:rPr>
        <w:t>聚焦场地设施布局、主要赛事活动打造、科学健身服务、社会组织作用、青少年体育发展、体育产业融合发展等重点领域和关键环节</w:t>
      </w:r>
      <w:r>
        <w:rPr>
          <w:rFonts w:hint="eastAsia" w:ascii="Times New Roman" w:hAnsi="Times New Roman" w:eastAsia="仿宋_GB2312" w:cs="仿宋"/>
          <w:sz w:val="32"/>
          <w:szCs w:val="32"/>
          <w:lang w:eastAsia="zh-CN"/>
        </w:rPr>
        <w:t>，</w:t>
      </w:r>
      <w:r>
        <w:rPr>
          <w:rFonts w:hint="eastAsia" w:ascii="Times New Roman" w:hAnsi="Times New Roman" w:eastAsia="仿宋_GB2312" w:cs="仿宋"/>
          <w:sz w:val="32"/>
          <w:szCs w:val="32"/>
          <w:lang w:val="en-US" w:eastAsia="zh-CN"/>
        </w:rPr>
        <w:t>努力提升体育</w:t>
      </w:r>
      <w:r>
        <w:rPr>
          <w:rFonts w:hint="eastAsia" w:ascii="Times New Roman" w:hAnsi="Times New Roman" w:eastAsia="仿宋_GB2312" w:cs="仿宋"/>
          <w:sz w:val="32"/>
          <w:szCs w:val="32"/>
        </w:rPr>
        <w:t>事业</w:t>
      </w:r>
      <w:r>
        <w:rPr>
          <w:rFonts w:hint="eastAsia" w:ascii="Times New Roman" w:hAnsi="Times New Roman" w:eastAsia="仿宋_GB2312" w:cs="仿宋"/>
          <w:sz w:val="32"/>
          <w:szCs w:val="32"/>
          <w:lang w:val="en-US" w:eastAsia="zh-CN"/>
        </w:rPr>
        <w:t>发展水平</w:t>
      </w:r>
      <w:r>
        <w:rPr>
          <w:rFonts w:hint="eastAsia" w:ascii="Times New Roman" w:hAnsi="Times New Roman" w:eastAsia="仿宋_GB2312" w:cs="仿宋"/>
          <w:sz w:val="32"/>
          <w:szCs w:val="32"/>
        </w:rPr>
        <w:t>，增强人民体质，提高健康水平</w:t>
      </w:r>
      <w:r>
        <w:rPr>
          <w:rFonts w:hint="eastAsia" w:ascii="Times New Roman" w:hAnsi="Times New Roman" w:eastAsia="仿宋_GB2312" w:cs="仿宋"/>
          <w:sz w:val="32"/>
          <w:szCs w:val="32"/>
          <w:lang w:eastAsia="zh-CN"/>
        </w:rPr>
        <w:t>。</w:t>
      </w:r>
    </w:p>
    <w:p w14:paraId="7C54F4D5">
      <w:pPr>
        <w:keepNext w:val="0"/>
        <w:keepLines w:val="0"/>
        <w:pageBreakBefore w:val="0"/>
        <w:kinsoku/>
        <w:wordWrap/>
        <w:overflowPunct/>
        <w:topLinePunct w:val="0"/>
        <w:bidi w:val="0"/>
        <w:adjustRightInd w:val="0"/>
        <w:snapToGrid w:val="0"/>
        <w:spacing w:line="560" w:lineRule="exact"/>
        <w:ind w:firstLine="624" w:firstLineChars="200"/>
        <w:textAlignment w:val="auto"/>
        <w:rPr>
          <w:rFonts w:hint="eastAsia" w:ascii="Times New Roman" w:hAnsi="Times New Roman" w:eastAsia="仿宋_GB2312" w:cs="仿宋"/>
          <w:sz w:val="32"/>
          <w:szCs w:val="32"/>
          <w:lang w:eastAsia="zh-CN"/>
        </w:rPr>
      </w:pPr>
      <w:r>
        <w:rPr>
          <w:rFonts w:hint="eastAsia" w:ascii="Times New Roman" w:hAnsi="Times New Roman" w:eastAsia="仿宋_GB2312" w:cs="仿宋"/>
          <w:sz w:val="32"/>
          <w:szCs w:val="32"/>
          <w:lang w:val="en-US" w:eastAsia="zh-CN"/>
        </w:rPr>
        <w:t>以建设</w:t>
      </w:r>
      <w:r>
        <w:rPr>
          <w:rFonts w:hint="eastAsia" w:ascii="Times New Roman" w:hAnsi="Times New Roman" w:eastAsia="仿宋_GB2312" w:cs="仿宋"/>
          <w:sz w:val="32"/>
          <w:szCs w:val="32"/>
          <w:lang w:eastAsia="zh-CN"/>
        </w:rPr>
        <w:t>全国</w:t>
      </w:r>
      <w:r>
        <w:rPr>
          <w:rFonts w:hint="eastAsia" w:ascii="Times New Roman" w:hAnsi="Times New Roman" w:eastAsia="仿宋_GB2312" w:cs="仿宋"/>
          <w:sz w:val="32"/>
          <w:szCs w:val="32"/>
        </w:rPr>
        <w:t>足球</w:t>
      </w:r>
      <w:r>
        <w:rPr>
          <w:rFonts w:hint="eastAsia" w:ascii="Times New Roman" w:hAnsi="Times New Roman" w:eastAsia="仿宋_GB2312" w:cs="仿宋"/>
          <w:sz w:val="32"/>
          <w:szCs w:val="32"/>
          <w:lang w:eastAsia="zh-CN"/>
        </w:rPr>
        <w:t>重点发展城市</w:t>
      </w:r>
      <w:r>
        <w:rPr>
          <w:rFonts w:hint="eastAsia" w:ascii="Times New Roman" w:hAnsi="Times New Roman" w:eastAsia="仿宋_GB2312" w:cs="仿宋"/>
          <w:sz w:val="32"/>
          <w:szCs w:val="32"/>
          <w:lang w:val="en-US" w:eastAsia="zh-CN"/>
        </w:rPr>
        <w:t>为契机</w:t>
      </w:r>
      <w:r>
        <w:rPr>
          <w:rFonts w:hint="eastAsia" w:ascii="Times New Roman" w:hAnsi="Times New Roman" w:eastAsia="仿宋_GB2312" w:cs="仿宋"/>
          <w:sz w:val="32"/>
          <w:szCs w:val="32"/>
        </w:rPr>
        <w:t>，因势利导、因地制宜，建设完善的</w:t>
      </w:r>
      <w:r>
        <w:rPr>
          <w:rFonts w:hint="eastAsia" w:ascii="Times New Roman" w:hAnsi="Times New Roman" w:eastAsia="仿宋_GB2312" w:cs="仿宋"/>
          <w:sz w:val="32"/>
          <w:szCs w:val="32"/>
          <w:lang w:val="en-US" w:eastAsia="zh-CN"/>
        </w:rPr>
        <w:t>体育</w:t>
      </w:r>
      <w:r>
        <w:rPr>
          <w:rFonts w:hint="eastAsia" w:ascii="Times New Roman" w:hAnsi="Times New Roman" w:eastAsia="仿宋_GB2312" w:cs="仿宋"/>
          <w:sz w:val="32"/>
          <w:szCs w:val="32"/>
        </w:rPr>
        <w:t>场地设施与公共</w:t>
      </w:r>
      <w:r>
        <w:rPr>
          <w:rFonts w:hint="eastAsia" w:ascii="Times New Roman" w:hAnsi="Times New Roman" w:eastAsia="仿宋_GB2312" w:cs="仿宋"/>
          <w:sz w:val="32"/>
          <w:szCs w:val="32"/>
          <w:lang w:val="en-US" w:eastAsia="zh-CN"/>
        </w:rPr>
        <w:t>体育</w:t>
      </w:r>
      <w:r>
        <w:rPr>
          <w:rFonts w:hint="eastAsia" w:ascii="Times New Roman" w:hAnsi="Times New Roman" w:eastAsia="仿宋_GB2312" w:cs="仿宋"/>
          <w:sz w:val="32"/>
          <w:szCs w:val="32"/>
        </w:rPr>
        <w:t>服务</w:t>
      </w:r>
      <w:r>
        <w:rPr>
          <w:rFonts w:hint="eastAsia" w:ascii="Times New Roman" w:hAnsi="Times New Roman" w:eastAsia="仿宋_GB2312" w:cs="仿宋"/>
          <w:sz w:val="32"/>
          <w:szCs w:val="32"/>
          <w:lang w:eastAsia="zh-CN"/>
        </w:rPr>
        <w:t>体系，扩大优质全民健身公共服务供给。持续健全</w:t>
      </w:r>
      <w:r>
        <w:rPr>
          <w:rFonts w:hint="eastAsia" w:ascii="Times New Roman" w:hAnsi="Times New Roman" w:eastAsia="仿宋_GB2312" w:cs="仿宋"/>
          <w:sz w:val="32"/>
          <w:szCs w:val="32"/>
          <w:lang w:val="en-US" w:eastAsia="zh-CN"/>
        </w:rPr>
        <w:t>体育</w:t>
      </w:r>
      <w:r>
        <w:rPr>
          <w:rFonts w:hint="eastAsia" w:ascii="Times New Roman" w:hAnsi="Times New Roman" w:eastAsia="仿宋_GB2312" w:cs="仿宋"/>
          <w:sz w:val="32"/>
          <w:szCs w:val="32"/>
          <w:lang w:eastAsia="zh-CN"/>
        </w:rPr>
        <w:t>组织体系与赛事体系，探索构建体教融合体制机制，助力青少年体质增强与健康水平提升。加快体育产业发展步伐，满足城乡居民健身休闲需求，培育壮大体育消费市场。</w:t>
      </w:r>
    </w:p>
    <w:p w14:paraId="3131E42D">
      <w:pPr>
        <w:keepNext w:val="0"/>
        <w:keepLines w:val="0"/>
        <w:pageBreakBefore w:val="0"/>
        <w:kinsoku/>
        <w:wordWrap/>
        <w:overflowPunct/>
        <w:topLinePunct w:val="0"/>
        <w:bidi w:val="0"/>
        <w:adjustRightInd w:val="0"/>
        <w:snapToGrid w:val="0"/>
        <w:spacing w:line="560" w:lineRule="exact"/>
        <w:ind w:firstLine="624" w:firstLineChars="200"/>
        <w:textAlignment w:val="auto"/>
        <w:outlineLvl w:val="0"/>
        <w:rPr>
          <w:rFonts w:hint="eastAsia" w:ascii="Times New Roman" w:hAnsi="Times New Roman" w:eastAsia="楷体" w:cs="楷体"/>
          <w:b w:val="0"/>
          <w:bCs w:val="0"/>
          <w:sz w:val="32"/>
          <w:szCs w:val="32"/>
        </w:rPr>
      </w:pPr>
      <w:bookmarkStart w:id="5" w:name="_Toc2071"/>
      <w:r>
        <w:rPr>
          <w:rFonts w:hint="eastAsia" w:ascii="Times New Roman" w:hAnsi="Times New Roman" w:eastAsia="楷体" w:cs="楷体"/>
          <w:b w:val="0"/>
          <w:bCs w:val="0"/>
          <w:sz w:val="32"/>
          <w:szCs w:val="32"/>
        </w:rPr>
        <w:t>（二）主要目标</w:t>
      </w:r>
      <w:bookmarkEnd w:id="5"/>
    </w:p>
    <w:p w14:paraId="17EB307E">
      <w:pPr>
        <w:keepNext w:val="0"/>
        <w:keepLines w:val="0"/>
        <w:pageBreakBefore w:val="0"/>
        <w:numPr>
          <w:ilvl w:val="0"/>
          <w:numId w:val="0"/>
        </w:numPr>
        <w:kinsoku/>
        <w:wordWrap/>
        <w:overflowPunct/>
        <w:topLinePunct w:val="0"/>
        <w:bidi w:val="0"/>
        <w:adjustRightInd w:val="0"/>
        <w:snapToGrid w:val="0"/>
        <w:spacing w:line="560" w:lineRule="exact"/>
        <w:ind w:firstLine="624" w:firstLineChars="200"/>
        <w:textAlignment w:val="auto"/>
        <w:rPr>
          <w:rFonts w:hint="eastAsia" w:ascii="Times New Roman" w:hAnsi="Times New Roman" w:eastAsia="仿宋_GB2312" w:cs="仿宋"/>
          <w:sz w:val="32"/>
          <w:szCs w:val="32"/>
        </w:rPr>
      </w:pPr>
      <w:r>
        <w:rPr>
          <w:rFonts w:hint="eastAsia" w:ascii="Times New Roman" w:hAnsi="Times New Roman" w:eastAsia="仿宋_GB2312" w:cs="仿宋"/>
          <w:b/>
          <w:bCs/>
          <w:sz w:val="32"/>
          <w:szCs w:val="32"/>
          <w:lang w:val="en-US" w:eastAsia="zh-CN"/>
        </w:rPr>
        <w:t>一是</w:t>
      </w:r>
      <w:r>
        <w:rPr>
          <w:rFonts w:hint="eastAsia" w:ascii="Times New Roman" w:hAnsi="Times New Roman" w:eastAsia="仿宋_GB2312" w:cs="仿宋"/>
          <w:b/>
          <w:bCs/>
          <w:sz w:val="32"/>
          <w:szCs w:val="32"/>
        </w:rPr>
        <w:t>全民健身场地设施建设</w:t>
      </w:r>
      <w:r>
        <w:rPr>
          <w:rFonts w:hint="eastAsia" w:ascii="Times New Roman" w:hAnsi="Times New Roman" w:eastAsia="仿宋_GB2312" w:cs="仿宋"/>
          <w:b/>
          <w:bCs/>
          <w:sz w:val="32"/>
          <w:szCs w:val="32"/>
          <w:lang w:val="en-US" w:eastAsia="zh-CN"/>
        </w:rPr>
        <w:t>扩容提质</w:t>
      </w:r>
      <w:r>
        <w:rPr>
          <w:rFonts w:hint="eastAsia" w:ascii="Times New Roman" w:hAnsi="Times New Roman" w:eastAsia="仿宋_GB2312" w:cs="仿宋"/>
          <w:b/>
          <w:bCs/>
          <w:sz w:val="32"/>
          <w:szCs w:val="32"/>
        </w:rPr>
        <w:t>。</w:t>
      </w:r>
      <w:r>
        <w:rPr>
          <w:rFonts w:hint="eastAsia" w:ascii="Times New Roman" w:hAnsi="Times New Roman" w:eastAsia="仿宋_GB2312" w:cs="仿宋"/>
          <w:sz w:val="32"/>
          <w:szCs w:val="32"/>
        </w:rPr>
        <w:t>加快推进体育设施建设，</w:t>
      </w:r>
      <w:r>
        <w:rPr>
          <w:rFonts w:hint="eastAsia" w:ascii="Times New Roman" w:hAnsi="Times New Roman" w:eastAsia="仿宋_GB2312"/>
          <w:sz w:val="32"/>
          <w:szCs w:val="28"/>
        </w:rPr>
        <w:t>在保障安全的前提下，将各类闲置仓库、厂房改造为社区体育设施。新建居住区按照室内人均建筑面积不低于0.1平方米或室外人均用地不低于0.3平方米配套群众健身相关设施，乡镇（高管会、办事处）、社区（行政村）建有体育场地，有条件的公园、绿地、广场建有体育健身设施。</w:t>
      </w:r>
      <w:r>
        <w:rPr>
          <w:rFonts w:hint="eastAsia" w:ascii="Times New Roman" w:hAnsi="Times New Roman" w:eastAsia="仿宋_GB2312" w:cs="仿宋"/>
          <w:sz w:val="32"/>
          <w:szCs w:val="32"/>
        </w:rPr>
        <w:t>争取全民健身中心和公共游泳池(馆)</w:t>
      </w:r>
      <w:r>
        <w:rPr>
          <w:rFonts w:hint="eastAsia" w:ascii="Times New Roman" w:hAnsi="Times New Roman" w:eastAsia="仿宋_GB2312" w:cs="仿宋"/>
          <w:sz w:val="32"/>
          <w:szCs w:val="32"/>
          <w:lang w:eastAsia="zh-CN"/>
        </w:rPr>
        <w:t>建成并投入使用</w:t>
      </w:r>
      <w:r>
        <w:rPr>
          <w:rFonts w:hint="eastAsia" w:ascii="Times New Roman" w:hAnsi="Times New Roman" w:eastAsia="仿宋_GB2312" w:cs="仿宋"/>
          <w:sz w:val="32"/>
          <w:szCs w:val="32"/>
        </w:rPr>
        <w:t>,新建</w:t>
      </w:r>
      <w:r>
        <w:rPr>
          <w:rFonts w:hint="eastAsia" w:ascii="Times New Roman" w:hAnsi="Times New Roman" w:eastAsia="仿宋_GB2312" w:cs="仿宋"/>
          <w:sz w:val="32"/>
          <w:szCs w:val="32"/>
          <w:lang w:val="en-US" w:eastAsia="zh-CN"/>
        </w:rPr>
        <w:t>10</w:t>
      </w:r>
      <w:r>
        <w:rPr>
          <w:rFonts w:hint="eastAsia" w:ascii="Times New Roman" w:hAnsi="Times New Roman" w:eastAsia="仿宋_GB2312" w:cs="仿宋"/>
          <w:sz w:val="32"/>
          <w:szCs w:val="32"/>
        </w:rPr>
        <w:t>个</w:t>
      </w:r>
      <w:r>
        <w:rPr>
          <w:rFonts w:hint="eastAsia" w:ascii="Times New Roman" w:hAnsi="Times New Roman" w:eastAsia="仿宋_GB2312" w:cs="仿宋"/>
          <w:sz w:val="32"/>
          <w:szCs w:val="32"/>
          <w:lang w:eastAsia="zh-CN"/>
        </w:rPr>
        <w:t>以上</w:t>
      </w:r>
      <w:r>
        <w:rPr>
          <w:rFonts w:hint="eastAsia" w:ascii="Times New Roman" w:hAnsi="Times New Roman" w:eastAsia="仿宋_GB2312" w:cs="仿宋"/>
          <w:sz w:val="32"/>
          <w:szCs w:val="32"/>
        </w:rPr>
        <w:t>社区体育公园，</w:t>
      </w:r>
      <w:r>
        <w:rPr>
          <w:rFonts w:ascii="Times New Roman" w:hAnsi="Times New Roman" w:eastAsia="仿宋_GB2312"/>
          <w:sz w:val="32"/>
          <w:szCs w:val="32"/>
        </w:rPr>
        <w:t>完成</w:t>
      </w:r>
      <w:r>
        <w:rPr>
          <w:rFonts w:hint="eastAsia" w:ascii="Times New Roman" w:hAnsi="Times New Roman" w:eastAsia="仿宋_GB2312"/>
          <w:sz w:val="32"/>
          <w:szCs w:val="32"/>
          <w:lang w:val="en-US" w:eastAsia="zh-CN"/>
        </w:rPr>
        <w:t>30</w:t>
      </w:r>
      <w:r>
        <w:rPr>
          <w:rFonts w:ascii="Times New Roman" w:hAnsi="Times New Roman" w:eastAsia="仿宋_GB2312"/>
          <w:sz w:val="32"/>
          <w:szCs w:val="32"/>
        </w:rPr>
        <w:t>公里以上健身步道建设</w:t>
      </w:r>
      <w:r>
        <w:rPr>
          <w:rFonts w:hint="eastAsia" w:ascii="Times New Roman" w:hAnsi="Times New Roman" w:eastAsia="仿宋_GB2312"/>
          <w:sz w:val="32"/>
          <w:szCs w:val="32"/>
        </w:rPr>
        <w:t>，</w:t>
      </w:r>
      <w:r>
        <w:rPr>
          <w:rFonts w:hint="eastAsia" w:ascii="Times New Roman" w:hAnsi="Times New Roman" w:eastAsia="仿宋_GB2312"/>
          <w:sz w:val="32"/>
          <w:szCs w:val="28"/>
        </w:rPr>
        <w:t>全区足球场地数量达到</w:t>
      </w:r>
      <w:r>
        <w:rPr>
          <w:rFonts w:hint="eastAsia" w:ascii="Times New Roman" w:hAnsi="Times New Roman" w:eastAsia="仿宋_GB2312"/>
          <w:sz w:val="32"/>
          <w:szCs w:val="28"/>
          <w:lang w:eastAsia="zh-CN"/>
        </w:rPr>
        <w:t>1</w:t>
      </w:r>
      <w:r>
        <w:rPr>
          <w:rFonts w:hint="eastAsia" w:ascii="Times New Roman" w:hAnsi="Times New Roman" w:eastAsia="仿宋_GB2312"/>
          <w:sz w:val="32"/>
          <w:szCs w:val="28"/>
          <w:lang w:val="en-US" w:eastAsia="zh-CN"/>
        </w:rPr>
        <w:t>6</w:t>
      </w:r>
      <w:r>
        <w:rPr>
          <w:rFonts w:hint="eastAsia" w:ascii="Times New Roman" w:hAnsi="Times New Roman" w:eastAsia="仿宋_GB2312"/>
          <w:sz w:val="32"/>
          <w:szCs w:val="28"/>
          <w:lang w:eastAsia="zh-CN"/>
        </w:rPr>
        <w:t>0</w:t>
      </w:r>
      <w:r>
        <w:rPr>
          <w:rFonts w:hint="eastAsia" w:ascii="Times New Roman" w:hAnsi="Times New Roman" w:eastAsia="仿宋_GB2312"/>
          <w:sz w:val="32"/>
          <w:szCs w:val="28"/>
        </w:rPr>
        <w:t>块</w:t>
      </w:r>
      <w:r>
        <w:rPr>
          <w:rFonts w:hint="eastAsia" w:ascii="Times New Roman" w:hAnsi="Times New Roman" w:eastAsia="仿宋_GB2312"/>
          <w:sz w:val="32"/>
          <w:szCs w:val="28"/>
          <w:lang w:eastAsia="zh-CN"/>
        </w:rPr>
        <w:t>以上</w:t>
      </w:r>
      <w:r>
        <w:rPr>
          <w:rFonts w:hint="eastAsia" w:ascii="Times New Roman" w:hAnsi="Times New Roman" w:eastAsia="仿宋_GB2312"/>
          <w:sz w:val="32"/>
          <w:szCs w:val="28"/>
        </w:rPr>
        <w:t>，每万人拥有足球场地达到</w:t>
      </w:r>
      <w:r>
        <w:rPr>
          <w:rFonts w:hint="eastAsia" w:ascii="Times New Roman" w:hAnsi="Times New Roman" w:eastAsia="仿宋_GB2312"/>
          <w:sz w:val="32"/>
          <w:szCs w:val="28"/>
          <w:lang w:val="en-US" w:eastAsia="zh-CN"/>
        </w:rPr>
        <w:t>2.8</w:t>
      </w:r>
      <w:r>
        <w:rPr>
          <w:rFonts w:hint="eastAsia" w:ascii="Times New Roman" w:hAnsi="Times New Roman" w:eastAsia="仿宋_GB2312"/>
          <w:sz w:val="32"/>
          <w:szCs w:val="28"/>
        </w:rPr>
        <w:t>块。</w:t>
      </w:r>
      <w:r>
        <w:rPr>
          <w:rFonts w:hint="eastAsia" w:ascii="Times New Roman" w:hAnsi="Times New Roman" w:eastAsia="仿宋_GB2312" w:cs="仿宋"/>
          <w:sz w:val="32"/>
          <w:szCs w:val="32"/>
        </w:rPr>
        <w:t>人均健身场地面积达到</w:t>
      </w:r>
      <w:r>
        <w:rPr>
          <w:rFonts w:hint="eastAsia" w:ascii="Times New Roman" w:hAnsi="Times New Roman" w:eastAsia="仿宋_GB2312" w:cs="仿宋"/>
          <w:sz w:val="32"/>
          <w:szCs w:val="32"/>
          <w:lang w:val="en-US" w:eastAsia="zh-CN"/>
        </w:rPr>
        <w:t>4</w:t>
      </w:r>
      <w:r>
        <w:rPr>
          <w:rFonts w:hint="eastAsia" w:ascii="Times New Roman" w:hAnsi="Times New Roman" w:eastAsia="仿宋_GB2312" w:cs="仿宋"/>
          <w:sz w:val="32"/>
          <w:szCs w:val="32"/>
        </w:rPr>
        <w:t>平方米以上，经常参加体育锻炼人数比例达</w:t>
      </w:r>
      <w:r>
        <w:rPr>
          <w:rFonts w:hint="eastAsia" w:ascii="Times New Roman" w:hAnsi="Times New Roman" w:eastAsia="仿宋_GB2312" w:cs="仿宋"/>
          <w:sz w:val="32"/>
          <w:szCs w:val="32"/>
          <w:lang w:val="en-US" w:eastAsia="zh-CN"/>
        </w:rPr>
        <w:t>45</w:t>
      </w:r>
      <w:r>
        <w:rPr>
          <w:rFonts w:hint="eastAsia" w:ascii="Times New Roman" w:hAnsi="Times New Roman" w:eastAsia="仿宋_GB2312" w:cs="仿宋"/>
          <w:sz w:val="32"/>
          <w:szCs w:val="32"/>
        </w:rPr>
        <w:t>%以上，每千人拥有社会体育指导员不少于3.</w:t>
      </w:r>
      <w:r>
        <w:rPr>
          <w:rFonts w:hint="eastAsia" w:ascii="Times New Roman" w:hAnsi="Times New Roman" w:eastAsia="仿宋_GB2312" w:cs="仿宋"/>
          <w:sz w:val="32"/>
          <w:szCs w:val="32"/>
          <w:lang w:val="en-US" w:eastAsia="zh-CN"/>
        </w:rPr>
        <w:t>8</w:t>
      </w:r>
      <w:r>
        <w:rPr>
          <w:rFonts w:hint="eastAsia" w:ascii="Times New Roman" w:hAnsi="Times New Roman" w:eastAsia="仿宋_GB2312" w:cs="仿宋"/>
          <w:sz w:val="32"/>
          <w:szCs w:val="32"/>
        </w:rPr>
        <w:t>名，建成“15分钟体育健身圈”。</w:t>
      </w:r>
    </w:p>
    <w:p w14:paraId="5215F2FC">
      <w:pPr>
        <w:keepNext w:val="0"/>
        <w:keepLines w:val="0"/>
        <w:pageBreakBefore w:val="0"/>
        <w:numPr>
          <w:ilvl w:val="0"/>
          <w:numId w:val="0"/>
        </w:numPr>
        <w:kinsoku/>
        <w:wordWrap/>
        <w:overflowPunct/>
        <w:topLinePunct w:val="0"/>
        <w:bidi w:val="0"/>
        <w:adjustRightInd w:val="0"/>
        <w:snapToGrid w:val="0"/>
        <w:spacing w:line="560" w:lineRule="exact"/>
        <w:ind w:firstLine="624" w:firstLineChars="200"/>
        <w:textAlignment w:val="auto"/>
        <w:rPr>
          <w:rFonts w:ascii="Times New Roman" w:hAnsi="Times New Roman" w:eastAsia="仿宋_GB2312" w:cs="仿宋"/>
          <w:sz w:val="32"/>
          <w:szCs w:val="32"/>
        </w:rPr>
      </w:pPr>
      <w:r>
        <w:rPr>
          <w:rFonts w:hint="eastAsia" w:ascii="Times New Roman" w:hAnsi="Times New Roman" w:eastAsia="仿宋_GB2312" w:cs="仿宋"/>
          <w:b/>
          <w:bCs/>
          <w:sz w:val="32"/>
          <w:szCs w:val="32"/>
          <w:lang w:eastAsia="zh-CN"/>
        </w:rPr>
        <w:t>二是</w:t>
      </w:r>
      <w:r>
        <w:rPr>
          <w:rFonts w:hint="eastAsia" w:ascii="Times New Roman" w:hAnsi="Times New Roman" w:eastAsia="仿宋_GB2312" w:cs="仿宋"/>
          <w:b/>
          <w:bCs/>
          <w:sz w:val="32"/>
          <w:szCs w:val="32"/>
        </w:rPr>
        <w:t>打造</w:t>
      </w:r>
      <w:r>
        <w:rPr>
          <w:rFonts w:hint="eastAsia" w:ascii="Times New Roman" w:hAnsi="Times New Roman" w:eastAsia="仿宋_GB2312" w:cs="仿宋"/>
          <w:b/>
          <w:bCs/>
          <w:sz w:val="32"/>
          <w:szCs w:val="32"/>
          <w:lang w:val="en-US" w:eastAsia="zh-CN"/>
        </w:rPr>
        <w:t>具有本地</w:t>
      </w:r>
      <w:r>
        <w:rPr>
          <w:rFonts w:hint="eastAsia" w:ascii="Times New Roman" w:hAnsi="Times New Roman" w:eastAsia="仿宋_GB2312" w:cs="仿宋"/>
          <w:b/>
          <w:bCs/>
          <w:sz w:val="32"/>
          <w:szCs w:val="32"/>
        </w:rPr>
        <w:t>特色</w:t>
      </w:r>
      <w:r>
        <w:rPr>
          <w:rFonts w:hint="eastAsia" w:ascii="Times New Roman" w:hAnsi="Times New Roman" w:eastAsia="仿宋_GB2312" w:cs="仿宋"/>
          <w:b/>
          <w:bCs/>
          <w:sz w:val="32"/>
          <w:szCs w:val="32"/>
          <w:lang w:eastAsia="zh-CN"/>
        </w:rPr>
        <w:t>的</w:t>
      </w:r>
      <w:r>
        <w:rPr>
          <w:rFonts w:hint="eastAsia" w:ascii="Times New Roman" w:hAnsi="Times New Roman" w:eastAsia="仿宋_GB2312" w:cs="仿宋"/>
          <w:b/>
          <w:bCs/>
          <w:sz w:val="32"/>
          <w:szCs w:val="32"/>
        </w:rPr>
        <w:t>品牌赛事活动。</w:t>
      </w:r>
      <w:r>
        <w:rPr>
          <w:rFonts w:hint="eastAsia" w:ascii="Times New Roman" w:hAnsi="Times New Roman" w:eastAsia="仿宋_GB2312"/>
          <w:sz w:val="32"/>
          <w:szCs w:val="28"/>
        </w:rPr>
        <w:t>以足球运动为抓手，开展乡镇（街）村足球联赛、草根足球联赛、职业足球联赛等足球赛事活动，推动社会足球的发展。积极引导各单项体育协会、行业体育协会、健身俱乐部、老年人体育协会等体育社会组织根据组织自身特点，结合全民健身日和春节、端午、重阳等传统节日，广泛开展市民喜爱参与度高的全民健身系列活动</w:t>
      </w:r>
      <w:r>
        <w:rPr>
          <w:rFonts w:hint="eastAsia" w:ascii="Times New Roman" w:hAnsi="Times New Roman" w:eastAsia="仿宋_GB2312"/>
          <w:sz w:val="32"/>
          <w:szCs w:val="28"/>
          <w:lang w:eastAsia="zh-CN"/>
        </w:rPr>
        <w:t>和引导开展新兴体育活动如匹克球、飞盘等</w:t>
      </w:r>
      <w:r>
        <w:rPr>
          <w:rFonts w:hint="eastAsia" w:ascii="Times New Roman" w:hAnsi="Times New Roman" w:eastAsia="仿宋_GB2312"/>
          <w:sz w:val="32"/>
          <w:szCs w:val="28"/>
        </w:rPr>
        <w:t>。主要以</w:t>
      </w:r>
      <w:r>
        <w:rPr>
          <w:rFonts w:hint="eastAsia" w:ascii="Times New Roman" w:hAnsi="Times New Roman" w:eastAsia="仿宋_GB2312" w:cs="仿宋"/>
          <w:sz w:val="32"/>
          <w:szCs w:val="32"/>
        </w:rPr>
        <w:t>构建马拉松为“一县一品”主要赛事品牌，同时打造县、镇、村三级联动的足球赛事体系。</w:t>
      </w:r>
    </w:p>
    <w:p w14:paraId="179C82F3">
      <w:pPr>
        <w:keepNext w:val="0"/>
        <w:keepLines w:val="0"/>
        <w:pageBreakBefore w:val="0"/>
        <w:kinsoku/>
        <w:wordWrap/>
        <w:overflowPunct/>
        <w:topLinePunct w:val="0"/>
        <w:bidi w:val="0"/>
        <w:adjustRightInd w:val="0"/>
        <w:snapToGrid w:val="0"/>
        <w:spacing w:line="560" w:lineRule="exact"/>
        <w:ind w:firstLine="624" w:firstLineChars="200"/>
        <w:textAlignment w:val="auto"/>
        <w:rPr>
          <w:rFonts w:ascii="Times New Roman" w:hAnsi="Times New Roman" w:eastAsia="仿宋_GB2312" w:cs="仿宋"/>
          <w:sz w:val="32"/>
          <w:szCs w:val="32"/>
        </w:rPr>
      </w:pPr>
      <w:r>
        <w:rPr>
          <w:rFonts w:hint="eastAsia" w:ascii="Times New Roman" w:hAnsi="Times New Roman" w:eastAsia="仿宋_GB2312" w:cs="仿宋"/>
          <w:b/>
          <w:bCs/>
          <w:sz w:val="32"/>
          <w:szCs w:val="32"/>
          <w:lang w:eastAsia="zh-CN"/>
        </w:rPr>
        <w:t>三是</w:t>
      </w:r>
      <w:r>
        <w:rPr>
          <w:rFonts w:hint="eastAsia" w:ascii="Times New Roman" w:hAnsi="Times New Roman" w:eastAsia="仿宋_GB2312" w:cs="仿宋"/>
          <w:b/>
          <w:bCs/>
          <w:sz w:val="32"/>
          <w:szCs w:val="32"/>
          <w:lang w:val="en-US" w:eastAsia="zh-CN"/>
        </w:rPr>
        <w:t>推进</w:t>
      </w:r>
      <w:r>
        <w:rPr>
          <w:rFonts w:hint="eastAsia" w:ascii="Times New Roman" w:hAnsi="Times New Roman" w:eastAsia="仿宋_GB2312" w:cs="仿宋"/>
          <w:b/>
          <w:bCs/>
          <w:sz w:val="32"/>
          <w:szCs w:val="32"/>
        </w:rPr>
        <w:t>体育社会组织规范化体系化建设。</w:t>
      </w:r>
      <w:r>
        <w:rPr>
          <w:rFonts w:hint="eastAsia" w:ascii="Times New Roman" w:hAnsi="Times New Roman" w:eastAsia="仿宋_GB2312" w:cs="仿宋"/>
          <w:sz w:val="32"/>
          <w:szCs w:val="32"/>
        </w:rPr>
        <w:t>规范体育社会组织内部治理结构、信用管理体系和诚信自律建设，进一步深化“放管服”改革，以足球协会、篮球协会、乒乓球协会、</w:t>
      </w:r>
      <w:r>
        <w:rPr>
          <w:rFonts w:hint="eastAsia" w:ascii="Times New Roman" w:hAnsi="Times New Roman" w:eastAsia="仿宋_GB2312" w:cs="仿宋"/>
          <w:sz w:val="32"/>
          <w:szCs w:val="32"/>
          <w:lang w:eastAsia="zh-CN"/>
        </w:rPr>
        <w:t>羽毛球协会、</w:t>
      </w:r>
      <w:r>
        <w:rPr>
          <w:rFonts w:hint="eastAsia" w:ascii="Times New Roman" w:hAnsi="Times New Roman" w:eastAsia="仿宋_GB2312" w:cs="仿宋"/>
          <w:sz w:val="32"/>
          <w:szCs w:val="32"/>
        </w:rPr>
        <w:t>老年体育协会等实体化改革带动协会“三管三放”工作。</w:t>
      </w:r>
    </w:p>
    <w:p w14:paraId="3EB6EE15">
      <w:pPr>
        <w:keepNext w:val="0"/>
        <w:keepLines w:val="0"/>
        <w:pageBreakBefore w:val="0"/>
        <w:kinsoku/>
        <w:wordWrap/>
        <w:overflowPunct/>
        <w:topLinePunct w:val="0"/>
        <w:bidi w:val="0"/>
        <w:adjustRightInd w:val="0"/>
        <w:snapToGrid w:val="0"/>
        <w:spacing w:line="560" w:lineRule="exact"/>
        <w:ind w:firstLine="624" w:firstLineChars="200"/>
        <w:textAlignment w:val="auto"/>
        <w:rPr>
          <w:rFonts w:hint="eastAsia" w:ascii="Times New Roman" w:hAnsi="Times New Roman" w:eastAsia="仿宋_GB2312" w:cs="仿宋"/>
          <w:sz w:val="32"/>
          <w:szCs w:val="32"/>
          <w:lang w:val="en-US" w:eastAsia="zh-CN"/>
        </w:rPr>
      </w:pPr>
      <w:r>
        <w:rPr>
          <w:rFonts w:hint="eastAsia" w:ascii="Times New Roman" w:hAnsi="Times New Roman" w:eastAsia="仿宋_GB2312" w:cs="仿宋"/>
          <w:b/>
          <w:bCs/>
          <w:sz w:val="32"/>
          <w:szCs w:val="32"/>
          <w:lang w:eastAsia="zh-CN"/>
        </w:rPr>
        <w:t>四是</w:t>
      </w:r>
      <w:r>
        <w:rPr>
          <w:rFonts w:hint="eastAsia" w:ascii="Times New Roman" w:hAnsi="Times New Roman" w:eastAsia="仿宋_GB2312" w:cs="仿宋"/>
          <w:b/>
          <w:bCs/>
          <w:sz w:val="32"/>
          <w:szCs w:val="32"/>
        </w:rPr>
        <w:t>青少年体育实现新发展新提升。</w:t>
      </w:r>
      <w:r>
        <w:rPr>
          <w:rFonts w:hint="eastAsia" w:ascii="Times New Roman" w:hAnsi="Times New Roman" w:eastAsia="仿宋_GB2312" w:cs="仿宋"/>
          <w:sz w:val="32"/>
          <w:szCs w:val="32"/>
        </w:rPr>
        <w:t>大力推进青少年体育“体教融合”发展，打造“一校一品”体育特色，逐步形成“学校-家庭-社区”三方共同联动指导学生科学体育锻炼的机制。严格落实每天1小时体育锻炼制度，促进青少年熟练掌握1至2项运动技能。</w:t>
      </w:r>
      <w:r>
        <w:rPr>
          <w:rFonts w:hint="eastAsia" w:ascii="Times New Roman" w:hAnsi="Times New Roman" w:eastAsia="仿宋_GB2312" w:cs="仿宋"/>
          <w:sz w:val="32"/>
          <w:szCs w:val="32"/>
          <w:lang w:val="en-US" w:eastAsia="zh-CN"/>
        </w:rPr>
        <w:t>争取建成梅县区青少年足球训练中心，全方面提升青少年足球运动的“硬件设施”，培育良好足球土壤，夯实足球发展基础。</w:t>
      </w:r>
    </w:p>
    <w:p w14:paraId="128E69E6">
      <w:pPr>
        <w:keepNext w:val="0"/>
        <w:keepLines w:val="0"/>
        <w:pageBreakBefore w:val="0"/>
        <w:kinsoku/>
        <w:wordWrap/>
        <w:overflowPunct/>
        <w:topLinePunct w:val="0"/>
        <w:bidi w:val="0"/>
        <w:adjustRightInd w:val="0"/>
        <w:snapToGrid w:val="0"/>
        <w:spacing w:line="560" w:lineRule="exact"/>
        <w:ind w:firstLine="624" w:firstLineChars="200"/>
        <w:textAlignment w:val="auto"/>
        <w:rPr>
          <w:rFonts w:ascii="Times New Roman" w:hAnsi="Times New Roman" w:eastAsia="仿宋_GB2312" w:cs="仿宋"/>
          <w:sz w:val="32"/>
          <w:szCs w:val="32"/>
        </w:rPr>
      </w:pPr>
      <w:r>
        <w:rPr>
          <w:rFonts w:hint="eastAsia" w:ascii="Times New Roman" w:hAnsi="Times New Roman" w:eastAsia="仿宋_GB2312" w:cs="仿宋"/>
          <w:b/>
          <w:bCs/>
          <w:sz w:val="32"/>
          <w:szCs w:val="32"/>
          <w:lang w:val="en-US" w:eastAsia="zh-CN"/>
        </w:rPr>
        <w:t>五是优化</w:t>
      </w:r>
      <w:r>
        <w:rPr>
          <w:rFonts w:hint="eastAsia" w:ascii="Times New Roman" w:hAnsi="Times New Roman" w:eastAsia="仿宋_GB2312" w:cs="仿宋"/>
          <w:b/>
          <w:bCs/>
          <w:sz w:val="32"/>
          <w:szCs w:val="32"/>
        </w:rPr>
        <w:t>全民科学健身服务水平。</w:t>
      </w:r>
      <w:r>
        <w:rPr>
          <w:rFonts w:hint="eastAsia" w:ascii="Times New Roman" w:hAnsi="Times New Roman" w:eastAsia="仿宋_GB2312" w:cs="仿宋"/>
          <w:sz w:val="32"/>
          <w:szCs w:val="32"/>
        </w:rPr>
        <w:t>加强社会体育指导员培训和志愿服务工作，扩大社会体育指导员队伍规模，优化社会体育指导员队伍结构。举办社会体育指导员展示和交流活动，提升社会体育指导员服务水平。加强全民健身志愿者队伍建设，形成全民健身志愿服务长效机制。完善国民体质监测体系，开展国民体质监测活动，扩大体质测定覆盖人群。加强健身气功组织建设，推动健身气功项目发展。</w:t>
      </w:r>
    </w:p>
    <w:p w14:paraId="55D0A4EA">
      <w:pPr>
        <w:keepNext w:val="0"/>
        <w:keepLines w:val="0"/>
        <w:pageBreakBefore w:val="0"/>
        <w:kinsoku/>
        <w:wordWrap/>
        <w:overflowPunct/>
        <w:topLinePunct w:val="0"/>
        <w:bidi w:val="0"/>
        <w:adjustRightInd w:val="0"/>
        <w:snapToGrid w:val="0"/>
        <w:spacing w:line="560" w:lineRule="exact"/>
        <w:ind w:firstLine="624" w:firstLineChars="200"/>
        <w:textAlignment w:val="auto"/>
        <w:rPr>
          <w:rFonts w:ascii="Times New Roman" w:hAnsi="Times New Roman" w:eastAsia="仿宋_GB2312" w:cs="仿宋"/>
          <w:sz w:val="32"/>
          <w:szCs w:val="32"/>
        </w:rPr>
      </w:pPr>
      <w:r>
        <w:rPr>
          <w:rFonts w:hint="eastAsia" w:ascii="Times New Roman" w:hAnsi="Times New Roman" w:eastAsia="仿宋_GB2312" w:cs="仿宋"/>
          <w:b/>
          <w:bCs/>
          <w:sz w:val="32"/>
          <w:szCs w:val="32"/>
          <w:lang w:val="en-US" w:eastAsia="zh-CN"/>
        </w:rPr>
        <w:t>六是</w:t>
      </w:r>
      <w:r>
        <w:rPr>
          <w:rFonts w:hint="eastAsia" w:ascii="Times New Roman" w:hAnsi="Times New Roman" w:eastAsia="仿宋_GB2312" w:cs="仿宋"/>
          <w:b/>
          <w:bCs/>
          <w:sz w:val="32"/>
          <w:szCs w:val="32"/>
        </w:rPr>
        <w:t>促进体育产业特色融合发展。</w:t>
      </w:r>
      <w:r>
        <w:rPr>
          <w:rFonts w:hint="eastAsia" w:ascii="Times New Roman" w:hAnsi="Times New Roman" w:eastAsia="仿宋_GB2312" w:cs="仿宋"/>
          <w:sz w:val="32"/>
          <w:szCs w:val="32"/>
        </w:rPr>
        <w:t>加快推动</w:t>
      </w:r>
      <w:r>
        <w:rPr>
          <w:rFonts w:hint="eastAsia" w:ascii="Times New Roman" w:hAnsi="Times New Roman" w:eastAsia="仿宋_GB2312" w:cs="仿宋"/>
          <w:sz w:val="32"/>
          <w:szCs w:val="32"/>
          <w:lang w:eastAsia="zh-CN"/>
        </w:rPr>
        <w:t>“</w:t>
      </w:r>
      <w:r>
        <w:rPr>
          <w:rFonts w:hint="eastAsia" w:ascii="Times New Roman" w:hAnsi="Times New Roman" w:eastAsia="仿宋_GB2312" w:cs="仿宋"/>
          <w:sz w:val="32"/>
          <w:szCs w:val="32"/>
          <w:lang w:val="en-US" w:eastAsia="zh-CN"/>
        </w:rPr>
        <w:t>体育+</w:t>
      </w:r>
      <w:r>
        <w:rPr>
          <w:rFonts w:hint="eastAsia" w:ascii="Times New Roman" w:hAnsi="Times New Roman" w:eastAsia="仿宋_GB2312" w:cs="仿宋"/>
          <w:sz w:val="32"/>
          <w:szCs w:val="32"/>
          <w:lang w:eastAsia="zh-CN"/>
        </w:rPr>
        <w:t>”“</w:t>
      </w:r>
      <w:r>
        <w:rPr>
          <w:rFonts w:hint="eastAsia" w:ascii="Times New Roman" w:hAnsi="Times New Roman" w:eastAsia="仿宋_GB2312" w:cs="仿宋"/>
          <w:sz w:val="32"/>
          <w:szCs w:val="32"/>
          <w:lang w:val="en-US" w:eastAsia="zh-CN"/>
        </w:rPr>
        <w:t>+体育</w:t>
      </w:r>
      <w:r>
        <w:rPr>
          <w:rFonts w:hint="eastAsia" w:ascii="Times New Roman" w:hAnsi="Times New Roman" w:eastAsia="仿宋_GB2312" w:cs="仿宋"/>
          <w:sz w:val="32"/>
          <w:szCs w:val="32"/>
          <w:lang w:eastAsia="zh-CN"/>
        </w:rPr>
        <w:t>”</w:t>
      </w:r>
      <w:r>
        <w:rPr>
          <w:rFonts w:hint="eastAsia" w:ascii="Times New Roman" w:hAnsi="Times New Roman" w:eastAsia="仿宋_GB2312" w:cs="仿宋"/>
          <w:sz w:val="32"/>
          <w:szCs w:val="32"/>
        </w:rPr>
        <w:t>等产业全方位对接，打造体育旅游、运动康复、体育会展等新业态；依托足球优势，打造“一县一品”足球产业项目，</w:t>
      </w:r>
      <w:r>
        <w:rPr>
          <w:rFonts w:hint="eastAsia" w:ascii="Times New Roman" w:hAnsi="Times New Roman" w:eastAsia="仿宋_GB2312"/>
          <w:sz w:val="32"/>
          <w:szCs w:val="28"/>
        </w:rPr>
        <w:t>形成规范有序的体育健身休闲市场，体育健身、场馆服务、健身培训、健身用品等产业群初步形成，健身产业进一步优化，引导激励机制不断健全，城乡居民体育消费规模和水平显著提高，体育健身服务从业人员有较大增加，培育和形成一批实力雄厚、技术力量强的体育健身服务企业和品牌。</w:t>
      </w:r>
    </w:p>
    <w:p w14:paraId="5D7C3355">
      <w:pPr>
        <w:keepNext w:val="0"/>
        <w:keepLines w:val="0"/>
        <w:pageBreakBefore w:val="0"/>
        <w:kinsoku/>
        <w:wordWrap/>
        <w:overflowPunct/>
        <w:topLinePunct w:val="0"/>
        <w:bidi w:val="0"/>
        <w:adjustRightInd w:val="0"/>
        <w:snapToGrid w:val="0"/>
        <w:spacing w:line="560" w:lineRule="exact"/>
        <w:ind w:firstLine="624" w:firstLineChars="200"/>
        <w:textAlignment w:val="auto"/>
        <w:outlineLvl w:val="0"/>
        <w:rPr>
          <w:rFonts w:ascii="Times New Roman" w:hAnsi="Times New Roman" w:eastAsia="黑体" w:cs="黑体"/>
          <w:sz w:val="32"/>
          <w:szCs w:val="32"/>
        </w:rPr>
      </w:pPr>
      <w:bookmarkStart w:id="6" w:name="_Toc16757"/>
      <w:r>
        <w:rPr>
          <w:rFonts w:hint="eastAsia" w:ascii="Times New Roman" w:hAnsi="Times New Roman" w:eastAsia="黑体" w:cs="黑体"/>
          <w:sz w:val="32"/>
          <w:szCs w:val="32"/>
          <w:lang w:eastAsia="zh-CN"/>
        </w:rPr>
        <w:t>三</w:t>
      </w:r>
      <w:r>
        <w:rPr>
          <w:rFonts w:hint="eastAsia" w:ascii="Times New Roman" w:hAnsi="Times New Roman" w:eastAsia="黑体" w:cs="黑体"/>
          <w:sz w:val="32"/>
          <w:szCs w:val="32"/>
        </w:rPr>
        <w:t>、主要任务</w:t>
      </w:r>
      <w:bookmarkEnd w:id="6"/>
    </w:p>
    <w:p w14:paraId="2857B0E8">
      <w:pPr>
        <w:keepNext w:val="0"/>
        <w:keepLines w:val="0"/>
        <w:pageBreakBefore w:val="0"/>
        <w:kinsoku/>
        <w:wordWrap/>
        <w:overflowPunct/>
        <w:topLinePunct w:val="0"/>
        <w:bidi w:val="0"/>
        <w:adjustRightInd w:val="0"/>
        <w:snapToGrid w:val="0"/>
        <w:spacing w:line="560" w:lineRule="exact"/>
        <w:ind w:firstLine="624" w:firstLineChars="200"/>
        <w:textAlignment w:val="auto"/>
        <w:outlineLvl w:val="0"/>
        <w:rPr>
          <w:rFonts w:hint="eastAsia" w:ascii="Times New Roman" w:hAnsi="Times New Roman" w:eastAsia="楷体" w:cs="楷体"/>
          <w:b w:val="0"/>
          <w:bCs w:val="0"/>
          <w:sz w:val="32"/>
          <w:szCs w:val="32"/>
        </w:rPr>
      </w:pPr>
      <w:bookmarkStart w:id="7" w:name="_Toc233"/>
      <w:r>
        <w:rPr>
          <w:rFonts w:hint="eastAsia" w:ascii="Times New Roman" w:hAnsi="Times New Roman" w:eastAsia="楷体" w:cs="楷体"/>
          <w:b w:val="0"/>
          <w:bCs w:val="0"/>
          <w:sz w:val="32"/>
          <w:szCs w:val="32"/>
        </w:rPr>
        <w:t>（</w:t>
      </w:r>
      <w:r>
        <w:rPr>
          <w:rFonts w:hint="eastAsia" w:ascii="Times New Roman" w:hAnsi="Times New Roman" w:eastAsia="楷体" w:cs="楷体"/>
          <w:b w:val="0"/>
          <w:bCs w:val="0"/>
          <w:sz w:val="32"/>
          <w:szCs w:val="32"/>
          <w:lang w:val="en-US"/>
        </w:rPr>
        <w:t>一</w:t>
      </w:r>
      <w:r>
        <w:rPr>
          <w:rFonts w:hint="eastAsia" w:ascii="Times New Roman" w:hAnsi="Times New Roman" w:eastAsia="楷体" w:cs="楷体"/>
          <w:b w:val="0"/>
          <w:bCs w:val="0"/>
          <w:sz w:val="32"/>
          <w:szCs w:val="32"/>
        </w:rPr>
        <w:t>）统筹规划布局，推动全民健身场地设施建设实现新突破</w:t>
      </w:r>
      <w:bookmarkEnd w:id="7"/>
    </w:p>
    <w:p w14:paraId="6B1E0C46">
      <w:pPr>
        <w:pStyle w:val="4"/>
        <w:keepNext w:val="0"/>
        <w:keepLines w:val="0"/>
        <w:pageBreakBefore w:val="0"/>
        <w:kinsoku/>
        <w:wordWrap/>
        <w:overflowPunct/>
        <w:topLinePunct w:val="0"/>
        <w:autoSpaceDE w:val="0"/>
        <w:autoSpaceDN w:val="0"/>
        <w:bidi w:val="0"/>
        <w:snapToGrid w:val="0"/>
        <w:spacing w:line="560" w:lineRule="exact"/>
        <w:ind w:left="0" w:firstLine="624" w:firstLineChars="200"/>
        <w:textAlignment w:val="auto"/>
        <w:outlineLvl w:val="1"/>
        <w:rPr>
          <w:rFonts w:ascii="Times New Roman" w:hAnsi="Times New Roman" w:eastAsia="仿宋_GB2312"/>
          <w:sz w:val="32"/>
          <w:szCs w:val="32"/>
        </w:rPr>
      </w:pPr>
      <w:r>
        <w:rPr>
          <w:rFonts w:hint="eastAsia" w:ascii="Times New Roman" w:hAnsi="Times New Roman" w:eastAsia="仿宋_GB2312" w:cs="仿宋"/>
          <w:sz w:val="32"/>
          <w:szCs w:val="32"/>
        </w:rPr>
        <w:t>将公共体育健身设施建设纳入梅县区“十</w:t>
      </w:r>
      <w:r>
        <w:rPr>
          <w:rFonts w:hint="eastAsia" w:ascii="Times New Roman" w:hAnsi="Times New Roman" w:cs="仿宋"/>
          <w:sz w:val="32"/>
          <w:szCs w:val="32"/>
          <w:lang w:val="en-US" w:eastAsia="zh-CN"/>
        </w:rPr>
        <w:t>五</w:t>
      </w:r>
      <w:r>
        <w:rPr>
          <w:rFonts w:hint="eastAsia" w:ascii="Times New Roman" w:hAnsi="Times New Roman" w:eastAsia="仿宋_GB2312" w:cs="仿宋"/>
          <w:sz w:val="32"/>
          <w:szCs w:val="32"/>
        </w:rPr>
        <w:t>五”经济社会发展规划</w:t>
      </w:r>
      <w:r>
        <w:rPr>
          <w:rFonts w:hint="eastAsia" w:ascii="Times New Roman" w:hAnsi="Times New Roman" w:cs="仿宋"/>
          <w:sz w:val="32"/>
          <w:szCs w:val="32"/>
          <w:lang w:eastAsia="zh-CN"/>
        </w:rPr>
        <w:t>、城乡建设总体规划和</w:t>
      </w:r>
      <w:r>
        <w:rPr>
          <w:rFonts w:hint="eastAsia" w:ascii="Times New Roman" w:hAnsi="Times New Roman" w:eastAsia="仿宋_GB2312" w:cs="仿宋"/>
          <w:sz w:val="32"/>
          <w:szCs w:val="32"/>
        </w:rPr>
        <w:t>国土空间规划；</w:t>
      </w:r>
      <w:r>
        <w:rPr>
          <w:rFonts w:hint="eastAsia" w:ascii="Times New Roman" w:hAnsi="Times New Roman" w:eastAsia="仿宋_GB2312"/>
          <w:sz w:val="32"/>
          <w:szCs w:val="32"/>
        </w:rPr>
        <w:t>新建体育场地设施优先列入年度用地计划，优先办理供地手续。</w:t>
      </w:r>
    </w:p>
    <w:p w14:paraId="0D9D1213">
      <w:pPr>
        <w:pStyle w:val="4"/>
        <w:keepNext w:val="0"/>
        <w:keepLines w:val="0"/>
        <w:pageBreakBefore w:val="0"/>
        <w:kinsoku/>
        <w:wordWrap/>
        <w:overflowPunct/>
        <w:topLinePunct w:val="0"/>
        <w:autoSpaceDE w:val="0"/>
        <w:autoSpaceDN w:val="0"/>
        <w:bidi w:val="0"/>
        <w:snapToGrid w:val="0"/>
        <w:spacing w:line="560" w:lineRule="exact"/>
        <w:ind w:left="0" w:firstLine="624" w:firstLineChars="200"/>
        <w:textAlignment w:val="auto"/>
        <w:outlineLvl w:val="1"/>
        <w:rPr>
          <w:rFonts w:ascii="Times New Roman" w:hAnsi="Times New Roman"/>
          <w:szCs w:val="28"/>
        </w:rPr>
      </w:pPr>
      <w:r>
        <w:rPr>
          <w:rFonts w:hint="eastAsia" w:ascii="Times New Roman" w:hAnsi="Times New Roman"/>
          <w:szCs w:val="28"/>
        </w:rPr>
        <w:t>区内各个广场新建适合于广大人民群众健身的公共体育设施（体育公园），建设露天篮球场、</w:t>
      </w:r>
      <w:r>
        <w:rPr>
          <w:rFonts w:hint="eastAsia" w:ascii="Times New Roman" w:hAnsi="Times New Roman"/>
          <w:szCs w:val="28"/>
          <w:lang w:val="en-US" w:eastAsia="zh-CN"/>
        </w:rPr>
        <w:t>匹克球场、</w:t>
      </w:r>
      <w:r>
        <w:rPr>
          <w:rFonts w:hint="eastAsia" w:ascii="Times New Roman" w:hAnsi="Times New Roman"/>
          <w:szCs w:val="28"/>
        </w:rPr>
        <w:t>羽毛球场、乒乓球台、小型足球场等体育场地，增设健身器材等设施，使市民能随时随地进行体育健身。加大各乡镇体育设施建设的投入，每个乡镇（高管会、办事处）</w:t>
      </w:r>
      <w:r>
        <w:rPr>
          <w:rFonts w:hint="eastAsia" w:ascii="Times New Roman" w:hAnsi="Times New Roman"/>
          <w:szCs w:val="28"/>
          <w:lang w:val="en-US" w:eastAsia="zh-CN"/>
        </w:rPr>
        <w:t>争取</w:t>
      </w:r>
      <w:r>
        <w:rPr>
          <w:rFonts w:hint="eastAsia" w:ascii="Times New Roman" w:hAnsi="Times New Roman"/>
          <w:szCs w:val="28"/>
        </w:rPr>
        <w:t>都有一个以上的综合体育运动场所，包含露天篮球场、羽毛球场、乒乓球台、小型足球场，有条件的村或社区要建设一个篮球场，室外乒乓球，健身路径，登山步道等。在完善区公共体育健身设施的基础上，鼓励机关、企事业单位和工业园区结合实际建设体育设施；加大进城务工人员聚居地、城乡结合地、公共场所体育健身设施建设；充分利用公园、绿地、广场和山水等建设健身绿道，并增配绿道网点体育设施，拓展其功能。争取</w:t>
      </w:r>
      <w:r>
        <w:rPr>
          <w:rFonts w:hint="eastAsia" w:ascii="Times New Roman" w:hAnsi="Times New Roman"/>
          <w:szCs w:val="28"/>
          <w:lang w:val="en-US"/>
        </w:rPr>
        <w:t>建设</w:t>
      </w:r>
      <w:r>
        <w:rPr>
          <w:rFonts w:hint="eastAsia" w:ascii="Times New Roman" w:hAnsi="Times New Roman"/>
          <w:szCs w:val="28"/>
          <w:lang w:val="en-US" w:eastAsia="zh-CN"/>
        </w:rPr>
        <w:t>30</w:t>
      </w:r>
      <w:r>
        <w:rPr>
          <w:rFonts w:ascii="Times New Roman" w:hAnsi="Times New Roman"/>
          <w:szCs w:val="28"/>
        </w:rPr>
        <w:t>公里以上健身步道，</w:t>
      </w:r>
      <w:r>
        <w:rPr>
          <w:rFonts w:hint="eastAsia" w:ascii="Times New Roman" w:hAnsi="Times New Roman" w:cs="仿宋"/>
          <w:szCs w:val="28"/>
        </w:rPr>
        <w:t>积极推进农民体育健身工程向人口较多的自然村延伸，</w:t>
      </w:r>
      <w:r>
        <w:rPr>
          <w:rFonts w:ascii="Times New Roman" w:hAnsi="Times New Roman"/>
          <w:szCs w:val="28"/>
        </w:rPr>
        <w:t>促进全</w:t>
      </w:r>
      <w:r>
        <w:rPr>
          <w:rFonts w:hint="eastAsia" w:ascii="Times New Roman" w:hAnsi="Times New Roman"/>
          <w:szCs w:val="28"/>
        </w:rPr>
        <w:t>区</w:t>
      </w:r>
      <w:r>
        <w:rPr>
          <w:rFonts w:ascii="Times New Roman" w:hAnsi="Times New Roman"/>
          <w:szCs w:val="28"/>
        </w:rPr>
        <w:t>公共体育服务均等化发展。</w:t>
      </w:r>
      <w:r>
        <w:rPr>
          <w:rFonts w:hint="eastAsia" w:ascii="Times New Roman" w:hAnsi="Times New Roman"/>
          <w:szCs w:val="28"/>
        </w:rPr>
        <w:t>到20</w:t>
      </w:r>
      <w:r>
        <w:rPr>
          <w:rFonts w:hint="eastAsia" w:ascii="Times New Roman" w:hAnsi="Times New Roman"/>
          <w:szCs w:val="28"/>
          <w:lang w:val="en-US" w:eastAsia="zh-CN"/>
        </w:rPr>
        <w:t>30</w:t>
      </w:r>
      <w:r>
        <w:rPr>
          <w:rFonts w:hint="eastAsia" w:ascii="Times New Roman" w:hAnsi="Times New Roman"/>
          <w:szCs w:val="28"/>
        </w:rPr>
        <w:t>年，</w:t>
      </w:r>
      <w:r>
        <w:rPr>
          <w:rFonts w:hint="eastAsia" w:ascii="Times New Roman" w:hAnsi="Times New Roman" w:cs="仿宋"/>
          <w:szCs w:val="28"/>
        </w:rPr>
        <w:t>建成“15分钟体育健身圈”。</w:t>
      </w:r>
    </w:p>
    <w:p w14:paraId="3BDB2EF7">
      <w:pPr>
        <w:keepNext w:val="0"/>
        <w:keepLines w:val="0"/>
        <w:pageBreakBefore w:val="0"/>
        <w:kinsoku/>
        <w:wordWrap/>
        <w:overflowPunct/>
        <w:topLinePunct w:val="0"/>
        <w:bidi w:val="0"/>
        <w:adjustRightInd w:val="0"/>
        <w:snapToGrid w:val="0"/>
        <w:spacing w:line="560" w:lineRule="exact"/>
        <w:ind w:firstLine="624" w:firstLineChars="200"/>
        <w:textAlignment w:val="auto"/>
        <w:rPr>
          <w:rFonts w:ascii="Times New Roman" w:hAnsi="Times New Roman" w:eastAsia="仿宋_GB2312" w:cs="仿宋"/>
          <w:sz w:val="32"/>
          <w:szCs w:val="32"/>
        </w:rPr>
      </w:pPr>
      <w:r>
        <w:rPr>
          <w:rFonts w:ascii="Times New Roman" w:hAnsi="Times New Roman" w:eastAsia="仿宋_GB2312"/>
          <w:sz w:val="32"/>
          <w:szCs w:val="28"/>
        </w:rPr>
        <w:t>加强</w:t>
      </w:r>
      <w:r>
        <w:rPr>
          <w:rFonts w:hint="eastAsia" w:ascii="Times New Roman" w:hAnsi="Times New Roman" w:eastAsia="仿宋_GB2312"/>
          <w:sz w:val="32"/>
          <w:szCs w:val="28"/>
        </w:rPr>
        <w:t>体育场地设施</w:t>
      </w:r>
      <w:r>
        <w:rPr>
          <w:rFonts w:ascii="Times New Roman" w:hAnsi="Times New Roman" w:eastAsia="仿宋_GB2312"/>
          <w:sz w:val="32"/>
          <w:szCs w:val="28"/>
        </w:rPr>
        <w:t>开放工作的评估督导</w:t>
      </w:r>
      <w:r>
        <w:rPr>
          <w:rFonts w:hint="eastAsia" w:ascii="Times New Roman" w:hAnsi="Times New Roman" w:eastAsia="仿宋_GB2312"/>
          <w:sz w:val="32"/>
          <w:szCs w:val="28"/>
        </w:rPr>
        <w:t>和</w:t>
      </w:r>
      <w:r>
        <w:rPr>
          <w:rFonts w:ascii="Times New Roman" w:hAnsi="Times New Roman" w:eastAsia="仿宋_GB2312"/>
          <w:sz w:val="32"/>
          <w:szCs w:val="28"/>
        </w:rPr>
        <w:t>安全检查，确保满足开放要求、符合安全标准，保障使用安全。鼓励社会力量</w:t>
      </w:r>
      <w:r>
        <w:rPr>
          <w:rFonts w:hint="eastAsia" w:ascii="Times New Roman" w:hAnsi="Times New Roman" w:eastAsia="仿宋_GB2312" w:cs="仿宋"/>
          <w:sz w:val="32"/>
          <w:szCs w:val="28"/>
        </w:rPr>
        <w:t>兴建营利性体育场地设施，</w:t>
      </w:r>
      <w:r>
        <w:rPr>
          <w:rFonts w:ascii="Times New Roman" w:hAnsi="Times New Roman" w:eastAsia="仿宋_GB2312"/>
          <w:sz w:val="32"/>
          <w:szCs w:val="28"/>
        </w:rPr>
        <w:t>参与体育场地设施运营和管理，不断提</w:t>
      </w:r>
      <w:r>
        <w:rPr>
          <w:rFonts w:hint="eastAsia" w:ascii="Times New Roman" w:hAnsi="Times New Roman" w:eastAsia="仿宋_GB2312"/>
          <w:sz w:val="32"/>
          <w:szCs w:val="28"/>
        </w:rPr>
        <w:t>升</w:t>
      </w:r>
      <w:r>
        <w:rPr>
          <w:rFonts w:ascii="Times New Roman" w:hAnsi="Times New Roman" w:eastAsia="仿宋_GB2312"/>
          <w:sz w:val="32"/>
          <w:szCs w:val="28"/>
        </w:rPr>
        <w:t>体育场地设施公共服务质量和运营管理水平</w:t>
      </w:r>
      <w:r>
        <w:rPr>
          <w:rFonts w:hint="eastAsia" w:ascii="Times New Roman" w:hAnsi="Times New Roman" w:eastAsia="仿宋_GB2312"/>
          <w:sz w:val="32"/>
          <w:szCs w:val="28"/>
        </w:rPr>
        <w:t>，</w:t>
      </w:r>
      <w:r>
        <w:rPr>
          <w:rFonts w:hint="eastAsia" w:ascii="Times New Roman" w:hAnsi="Times New Roman" w:eastAsia="仿宋_GB2312" w:cs="仿宋"/>
          <w:sz w:val="32"/>
          <w:szCs w:val="28"/>
        </w:rPr>
        <w:t>满足市民较高层次的健身需求。</w:t>
      </w:r>
    </w:p>
    <w:p w14:paraId="3227A981">
      <w:pPr>
        <w:keepNext w:val="0"/>
        <w:keepLines w:val="0"/>
        <w:pageBreakBefore w:val="0"/>
        <w:kinsoku/>
        <w:wordWrap/>
        <w:overflowPunct/>
        <w:topLinePunct w:val="0"/>
        <w:bidi w:val="0"/>
        <w:adjustRightInd w:val="0"/>
        <w:snapToGrid w:val="0"/>
        <w:spacing w:line="560" w:lineRule="exact"/>
        <w:ind w:firstLine="624" w:firstLineChars="200"/>
        <w:textAlignment w:val="auto"/>
        <w:outlineLvl w:val="0"/>
        <w:rPr>
          <w:rFonts w:hint="eastAsia" w:ascii="Times New Roman" w:hAnsi="Times New Roman" w:eastAsia="楷体" w:cs="楷体"/>
          <w:b w:val="0"/>
          <w:bCs w:val="0"/>
          <w:sz w:val="32"/>
          <w:szCs w:val="32"/>
          <w:lang w:val="en-US" w:eastAsia="zh-CN"/>
        </w:rPr>
      </w:pPr>
      <w:bookmarkStart w:id="8" w:name="_Toc23639"/>
      <w:r>
        <w:rPr>
          <w:rFonts w:hint="eastAsia" w:ascii="Times New Roman" w:hAnsi="Times New Roman" w:eastAsia="楷体" w:cs="楷体"/>
          <w:b w:val="0"/>
          <w:bCs w:val="0"/>
          <w:sz w:val="32"/>
          <w:szCs w:val="32"/>
          <w:lang w:val="en-US" w:eastAsia="zh-CN"/>
        </w:rPr>
        <w:t>（二）立足特色优势，精心打造特色鲜明的赛事新活动</w:t>
      </w:r>
      <w:bookmarkEnd w:id="8"/>
    </w:p>
    <w:p w14:paraId="6332FFE1">
      <w:pPr>
        <w:keepNext w:val="0"/>
        <w:keepLines w:val="0"/>
        <w:pageBreakBefore w:val="0"/>
        <w:widowControl/>
        <w:kinsoku/>
        <w:wordWrap/>
        <w:overflowPunct/>
        <w:topLinePunct w:val="0"/>
        <w:bidi w:val="0"/>
        <w:spacing w:line="560" w:lineRule="exact"/>
        <w:ind w:firstLine="624" w:firstLineChars="200"/>
        <w:jc w:val="left"/>
        <w:textAlignment w:val="auto"/>
        <w:rPr>
          <w:rFonts w:ascii="Times New Roman" w:hAnsi="Times New Roman" w:eastAsia="仿宋_GB2312"/>
          <w:sz w:val="32"/>
          <w:szCs w:val="28"/>
        </w:rPr>
      </w:pPr>
      <w:r>
        <w:rPr>
          <w:rFonts w:hint="eastAsia" w:ascii="Times New Roman" w:hAnsi="Times New Roman" w:eastAsia="仿宋_GB2312"/>
          <w:sz w:val="32"/>
          <w:szCs w:val="28"/>
          <w:lang w:val="en-US" w:eastAsia="zh-CN"/>
        </w:rPr>
        <w:t>围绕足球赛事活动</w:t>
      </w:r>
      <w:r>
        <w:rPr>
          <w:rFonts w:hint="eastAsia" w:ascii="Times New Roman" w:hAnsi="Times New Roman" w:eastAsia="仿宋_GB2312"/>
          <w:sz w:val="32"/>
          <w:szCs w:val="28"/>
        </w:rPr>
        <w:t>，</w:t>
      </w:r>
      <w:r>
        <w:rPr>
          <w:rFonts w:hint="eastAsia" w:ascii="Times New Roman" w:hAnsi="Times New Roman" w:eastAsia="仿宋_GB2312"/>
          <w:sz w:val="32"/>
          <w:szCs w:val="28"/>
          <w:lang w:val="en-US" w:eastAsia="zh-CN"/>
        </w:rPr>
        <w:t>坚持开展</w:t>
      </w:r>
      <w:r>
        <w:rPr>
          <w:rFonts w:hint="eastAsia" w:ascii="Times New Roman" w:hAnsi="Times New Roman" w:eastAsia="仿宋_GB2312"/>
          <w:sz w:val="32"/>
          <w:szCs w:val="28"/>
        </w:rPr>
        <w:t>丰富多彩</w:t>
      </w:r>
      <w:r>
        <w:rPr>
          <w:rFonts w:hint="eastAsia" w:ascii="Times New Roman" w:hAnsi="Times New Roman" w:eastAsia="仿宋_GB2312"/>
          <w:sz w:val="32"/>
          <w:szCs w:val="28"/>
          <w:lang w:eastAsia="zh-CN"/>
        </w:rPr>
        <w:t>的</w:t>
      </w:r>
      <w:r>
        <w:rPr>
          <w:rFonts w:hint="eastAsia" w:ascii="Times New Roman" w:hAnsi="Times New Roman" w:eastAsia="仿宋_GB2312"/>
          <w:sz w:val="32"/>
          <w:szCs w:val="28"/>
          <w:lang w:val="en-US" w:eastAsia="zh-CN"/>
        </w:rPr>
        <w:t>系列赛事</w:t>
      </w:r>
      <w:r>
        <w:rPr>
          <w:rFonts w:hint="eastAsia" w:ascii="Times New Roman" w:hAnsi="Times New Roman" w:eastAsia="仿宋_GB2312"/>
          <w:sz w:val="32"/>
          <w:szCs w:val="28"/>
        </w:rPr>
        <w:t>。做强做精</w:t>
      </w:r>
      <w:r>
        <w:rPr>
          <w:rFonts w:hint="eastAsia" w:ascii="Times New Roman" w:hAnsi="Times New Roman" w:eastAsia="仿宋_GB2312"/>
          <w:sz w:val="32"/>
          <w:szCs w:val="28"/>
          <w:lang w:eastAsia="zh-CN"/>
        </w:rPr>
        <w:t>“省超”、</w:t>
      </w:r>
      <w:r>
        <w:rPr>
          <w:rFonts w:hint="eastAsia" w:ascii="Times New Roman" w:hAnsi="Times New Roman" w:eastAsia="仿宋_GB2312"/>
          <w:sz w:val="32"/>
          <w:szCs w:val="28"/>
        </w:rPr>
        <w:t>“贺岁杯”、“五四青年杯”、“乡镇足球超级联赛”、“机关职工足球联赛”等群众性足球赛事活动。同时坚持举办每年一届的中小学生田径运动会、中小学生足球联赛，开展全民健身日、“九九重阳”老年人体育健身等活动，发挥全民健身主题活动示范带动作用。</w:t>
      </w:r>
      <w:r>
        <w:rPr>
          <w:rFonts w:hint="eastAsia" w:ascii="Times New Roman" w:hAnsi="Times New Roman" w:eastAsia="仿宋_GB2312"/>
          <w:sz w:val="32"/>
          <w:szCs w:val="28"/>
          <w:lang w:val="en-US" w:eastAsia="zh-CN"/>
        </w:rPr>
        <w:t>鼓励</w:t>
      </w:r>
      <w:r>
        <w:rPr>
          <w:rFonts w:hint="eastAsia" w:ascii="Times New Roman" w:hAnsi="Times New Roman" w:eastAsia="仿宋_GB2312"/>
          <w:sz w:val="32"/>
          <w:szCs w:val="28"/>
        </w:rPr>
        <w:t>行政村、社区根据各自的特点组织开展群众喜闻乐见、简便易行的健身活动，并将全民健身活动延伸到镇</w:t>
      </w:r>
      <w:r>
        <w:rPr>
          <w:rFonts w:hint="eastAsia" w:ascii="Times New Roman" w:hAnsi="Times New Roman" w:eastAsia="仿宋_GB2312"/>
          <w:sz w:val="32"/>
          <w:szCs w:val="28"/>
          <w:lang w:eastAsia="zh-CN"/>
        </w:rPr>
        <w:t>、</w:t>
      </w:r>
      <w:r>
        <w:rPr>
          <w:rFonts w:hint="eastAsia" w:ascii="Times New Roman" w:hAnsi="Times New Roman" w:eastAsia="仿宋_GB2312"/>
          <w:sz w:val="32"/>
          <w:szCs w:val="28"/>
          <w:lang w:val="en-US" w:eastAsia="zh-CN"/>
        </w:rPr>
        <w:t>村</w:t>
      </w:r>
      <w:r>
        <w:rPr>
          <w:rFonts w:hint="eastAsia" w:ascii="Times New Roman" w:hAnsi="Times New Roman" w:eastAsia="仿宋_GB2312"/>
          <w:sz w:val="32"/>
          <w:szCs w:val="28"/>
        </w:rPr>
        <w:t>，覆盖各个节假日。举办和打造一批与梅县区社会经济相适应的全民健身品牌赛事，</w:t>
      </w:r>
      <w:r>
        <w:rPr>
          <w:rFonts w:ascii="Times New Roman" w:hAnsi="Times New Roman" w:eastAsia="仿宋_GB2312"/>
          <w:color w:val="000000"/>
          <w:sz w:val="32"/>
          <w:szCs w:val="28"/>
          <w:shd w:val="clear" w:color="auto" w:fill="FFFFFF"/>
        </w:rPr>
        <w:t>重视发挥健身骨干在开展全民健身活动中的作用，引导、服务、规范全民健身活动健康发</w:t>
      </w:r>
      <w:r>
        <w:rPr>
          <w:rFonts w:hint="eastAsia" w:ascii="Times New Roman" w:hAnsi="Times New Roman" w:eastAsia="仿宋_GB2312"/>
          <w:color w:val="000000"/>
          <w:sz w:val="32"/>
          <w:szCs w:val="28"/>
          <w:shd w:val="clear" w:color="auto" w:fill="FFFFFF"/>
        </w:rPr>
        <w:t>展，并</w:t>
      </w:r>
      <w:r>
        <w:rPr>
          <w:rFonts w:hint="eastAsia" w:ascii="Times New Roman" w:hAnsi="Times New Roman" w:eastAsia="仿宋_GB2312"/>
          <w:sz w:val="32"/>
          <w:szCs w:val="28"/>
        </w:rPr>
        <w:t>配合相关部门，开展有关体育旅游休闲、文化活动。关注弱势群体的健身活动</w:t>
      </w:r>
      <w:r>
        <w:rPr>
          <w:rFonts w:hint="eastAsia" w:ascii="Times New Roman" w:hAnsi="Times New Roman" w:eastAsia="仿宋_GB2312"/>
          <w:sz w:val="32"/>
          <w:szCs w:val="28"/>
          <w:lang w:eastAsia="zh-CN"/>
        </w:rPr>
        <w:t>，</w:t>
      </w:r>
      <w:r>
        <w:rPr>
          <w:rFonts w:hint="eastAsia" w:ascii="Times New Roman" w:hAnsi="Times New Roman" w:eastAsia="仿宋_GB2312"/>
          <w:sz w:val="32"/>
          <w:szCs w:val="28"/>
        </w:rPr>
        <w:t>积极为下岗失业、城镇贫困人口、农民工等人群及老年人、妇女儿童、残疾人开展体育活动提供方便，创造条件丰富其体育生活。</w:t>
      </w:r>
    </w:p>
    <w:p w14:paraId="205F70EB">
      <w:pPr>
        <w:keepNext w:val="0"/>
        <w:keepLines w:val="0"/>
        <w:pageBreakBefore w:val="0"/>
        <w:kinsoku/>
        <w:wordWrap/>
        <w:overflowPunct/>
        <w:topLinePunct w:val="0"/>
        <w:bidi w:val="0"/>
        <w:adjustRightInd w:val="0"/>
        <w:snapToGrid w:val="0"/>
        <w:spacing w:line="560" w:lineRule="exact"/>
        <w:ind w:firstLine="624" w:firstLineChars="200"/>
        <w:textAlignment w:val="auto"/>
        <w:outlineLvl w:val="0"/>
        <w:rPr>
          <w:rFonts w:hint="eastAsia" w:ascii="Times New Roman" w:hAnsi="Times New Roman" w:eastAsia="楷体" w:cs="楷体"/>
          <w:b w:val="0"/>
          <w:bCs w:val="0"/>
          <w:sz w:val="32"/>
          <w:szCs w:val="32"/>
          <w:lang w:val="en-US" w:eastAsia="zh-CN"/>
        </w:rPr>
      </w:pPr>
      <w:bookmarkStart w:id="9" w:name="_Toc10076"/>
      <w:r>
        <w:rPr>
          <w:rFonts w:hint="eastAsia" w:ascii="Times New Roman" w:hAnsi="Times New Roman" w:eastAsia="楷体" w:cs="楷体"/>
          <w:b w:val="0"/>
          <w:bCs w:val="0"/>
          <w:sz w:val="32"/>
          <w:szCs w:val="32"/>
          <w:lang w:val="en-US" w:eastAsia="zh-CN"/>
        </w:rPr>
        <w:t>（三）强化党建引领与治理深化，构建体育社会组织发展新生态</w:t>
      </w:r>
      <w:bookmarkEnd w:id="9"/>
    </w:p>
    <w:p w14:paraId="3EC4F131">
      <w:pPr>
        <w:pStyle w:val="4"/>
        <w:keepNext w:val="0"/>
        <w:keepLines w:val="0"/>
        <w:pageBreakBefore w:val="0"/>
        <w:numPr>
          <w:ilvl w:val="0"/>
          <w:numId w:val="0"/>
        </w:numPr>
        <w:kinsoku/>
        <w:wordWrap/>
        <w:overflowPunct/>
        <w:topLinePunct w:val="0"/>
        <w:autoSpaceDE w:val="0"/>
        <w:autoSpaceDN w:val="0"/>
        <w:bidi w:val="0"/>
        <w:snapToGrid w:val="0"/>
        <w:spacing w:line="560" w:lineRule="exact"/>
        <w:ind w:firstLine="624" w:firstLineChars="200"/>
        <w:textAlignment w:val="auto"/>
        <w:outlineLvl w:val="1"/>
        <w:rPr>
          <w:rFonts w:ascii="Times New Roman" w:hAnsi="Times New Roman" w:cs="楷体"/>
          <w:lang w:val="en-US"/>
        </w:rPr>
      </w:pPr>
      <w:r>
        <w:rPr>
          <w:rFonts w:hint="eastAsia" w:ascii="Times New Roman" w:hAnsi="Times New Roman"/>
        </w:rPr>
        <w:t>把党的领导贯穿体育社会组织工作</w:t>
      </w:r>
      <w:r>
        <w:rPr>
          <w:rFonts w:hint="eastAsia" w:ascii="Times New Roman" w:hAnsi="Times New Roman"/>
          <w:lang w:val="en-US" w:eastAsia="zh-CN"/>
        </w:rPr>
        <w:t>全过程</w:t>
      </w:r>
      <w:r>
        <w:rPr>
          <w:rFonts w:hint="eastAsia" w:ascii="Times New Roman" w:hAnsi="Times New Roman" w:cs="仿宋"/>
        </w:rPr>
        <w:t>，积极推动全民健身各项工作的落实，</w:t>
      </w:r>
      <w:r>
        <w:rPr>
          <w:rFonts w:hint="eastAsia" w:ascii="Times New Roman" w:hAnsi="Times New Roman"/>
        </w:rPr>
        <w:t>全力促进体育社会组织党建与业务深度融合。</w:t>
      </w:r>
      <w:r>
        <w:rPr>
          <w:rFonts w:hint="eastAsia" w:ascii="Times New Roman" w:hAnsi="Times New Roman" w:cs="仿宋"/>
        </w:rPr>
        <w:t>坚持旗帜鲜明讲政治，加强体育社会组织政治能力建设，落实意识形态工作责任制，筑牢体育社会组织意识形态防线。</w:t>
      </w:r>
    </w:p>
    <w:p w14:paraId="74713472">
      <w:pPr>
        <w:keepNext w:val="0"/>
        <w:keepLines w:val="0"/>
        <w:pageBreakBefore w:val="0"/>
        <w:kinsoku/>
        <w:wordWrap/>
        <w:overflowPunct/>
        <w:topLinePunct w:val="0"/>
        <w:bidi w:val="0"/>
        <w:adjustRightInd w:val="0"/>
        <w:snapToGrid w:val="0"/>
        <w:spacing w:line="560" w:lineRule="exact"/>
        <w:ind w:firstLine="624" w:firstLineChars="200"/>
        <w:textAlignment w:val="auto"/>
        <w:rPr>
          <w:rFonts w:hint="eastAsia" w:ascii="Times New Roman" w:hAnsi="Times New Roman" w:eastAsia="仿宋_GB2312" w:cs="仿宋"/>
          <w:sz w:val="32"/>
          <w:szCs w:val="28"/>
        </w:rPr>
      </w:pPr>
      <w:r>
        <w:rPr>
          <w:rFonts w:hint="eastAsia" w:ascii="Times New Roman" w:hAnsi="Times New Roman" w:eastAsia="仿宋_GB2312"/>
          <w:sz w:val="32"/>
          <w:szCs w:val="28"/>
        </w:rPr>
        <w:t>加强</w:t>
      </w:r>
      <w:r>
        <w:rPr>
          <w:rFonts w:ascii="Times New Roman" w:hAnsi="Times New Roman" w:eastAsia="仿宋_GB2312"/>
          <w:sz w:val="32"/>
          <w:szCs w:val="28"/>
        </w:rPr>
        <w:t>体育社会组织结构治理</w:t>
      </w:r>
      <w:r>
        <w:rPr>
          <w:rFonts w:hint="eastAsia" w:ascii="Times New Roman" w:hAnsi="Times New Roman" w:eastAsia="仿宋_GB2312"/>
          <w:sz w:val="32"/>
          <w:szCs w:val="28"/>
        </w:rPr>
        <w:t>，</w:t>
      </w:r>
      <w:r>
        <w:rPr>
          <w:rFonts w:hint="eastAsia" w:ascii="Times New Roman" w:hAnsi="Times New Roman" w:eastAsia="仿宋_GB2312" w:cs="仿宋"/>
          <w:sz w:val="32"/>
          <w:szCs w:val="28"/>
        </w:rPr>
        <w:t>进一步深化</w:t>
      </w:r>
      <w:r>
        <w:rPr>
          <w:rFonts w:hint="eastAsia" w:ascii="Times New Roman" w:hAnsi="Times New Roman" w:eastAsia="仿宋_GB2312" w:cs="仿宋"/>
          <w:sz w:val="32"/>
          <w:szCs w:val="28"/>
          <w:lang w:val="en-US" w:eastAsia="zh-CN"/>
        </w:rPr>
        <w:t>体制机制</w:t>
      </w:r>
      <w:r>
        <w:rPr>
          <w:rFonts w:hint="eastAsia" w:ascii="Times New Roman" w:hAnsi="Times New Roman" w:eastAsia="仿宋_GB2312" w:cs="仿宋"/>
          <w:sz w:val="32"/>
          <w:szCs w:val="28"/>
        </w:rPr>
        <w:t>改革。逐步完善区、镇（街道办）、村（社区）三级全民健身社会组织体系</w:t>
      </w:r>
      <w:r>
        <w:rPr>
          <w:rFonts w:hint="eastAsia" w:ascii="Times New Roman" w:hAnsi="Times New Roman" w:eastAsia="仿宋_GB2312" w:cs="仿宋"/>
          <w:sz w:val="32"/>
          <w:szCs w:val="28"/>
          <w:lang w:eastAsia="zh-CN"/>
        </w:rPr>
        <w:t>，</w:t>
      </w:r>
      <w:r>
        <w:rPr>
          <w:rFonts w:hint="eastAsia" w:ascii="Times New Roman" w:hAnsi="Times New Roman" w:eastAsia="仿宋_GB2312" w:cs="仿宋"/>
          <w:sz w:val="32"/>
          <w:szCs w:val="28"/>
        </w:rPr>
        <w:t>引</w:t>
      </w:r>
      <w:r>
        <w:rPr>
          <w:rFonts w:ascii="Times New Roman" w:hAnsi="Times New Roman" w:eastAsia="仿宋_GB2312"/>
          <w:sz w:val="32"/>
          <w:szCs w:val="28"/>
        </w:rPr>
        <w:t>领各级各类体育社会组织有序发展</w:t>
      </w:r>
      <w:r>
        <w:rPr>
          <w:rFonts w:hint="eastAsia" w:ascii="Times New Roman" w:hAnsi="Times New Roman" w:eastAsia="仿宋_GB2312"/>
          <w:sz w:val="32"/>
          <w:szCs w:val="28"/>
        </w:rPr>
        <w:t>，</w:t>
      </w:r>
      <w:r>
        <w:rPr>
          <w:rFonts w:hint="eastAsia" w:ascii="Times New Roman" w:hAnsi="Times New Roman" w:eastAsia="仿宋_GB2312" w:cs="仿宋"/>
          <w:sz w:val="32"/>
          <w:szCs w:val="28"/>
        </w:rPr>
        <w:t>强化体育社会组织人才队伍建设。</w:t>
      </w:r>
    </w:p>
    <w:p w14:paraId="69D0EBC6">
      <w:pPr>
        <w:keepNext w:val="0"/>
        <w:keepLines w:val="0"/>
        <w:pageBreakBefore w:val="0"/>
        <w:kinsoku/>
        <w:wordWrap/>
        <w:overflowPunct/>
        <w:topLinePunct w:val="0"/>
        <w:bidi w:val="0"/>
        <w:adjustRightInd w:val="0"/>
        <w:snapToGrid w:val="0"/>
        <w:spacing w:line="560" w:lineRule="exact"/>
        <w:ind w:firstLine="624" w:firstLineChars="200"/>
        <w:textAlignment w:val="auto"/>
        <w:rPr>
          <w:rFonts w:ascii="Times New Roman" w:hAnsi="Times New Roman" w:eastAsia="仿宋_GB2312" w:cs="仿宋"/>
          <w:sz w:val="32"/>
          <w:szCs w:val="28"/>
        </w:rPr>
      </w:pPr>
      <w:r>
        <w:rPr>
          <w:rFonts w:hint="eastAsia" w:ascii="Times New Roman" w:hAnsi="Times New Roman" w:eastAsia="仿宋_GB2312"/>
          <w:sz w:val="32"/>
          <w:szCs w:val="28"/>
        </w:rPr>
        <w:t>充分</w:t>
      </w:r>
      <w:r>
        <w:rPr>
          <w:rFonts w:ascii="Times New Roman" w:hAnsi="Times New Roman" w:eastAsia="仿宋_GB2312"/>
          <w:sz w:val="32"/>
          <w:szCs w:val="28"/>
        </w:rPr>
        <w:t>发挥基层体育社会组织作用</w:t>
      </w:r>
      <w:r>
        <w:rPr>
          <w:rFonts w:hint="eastAsia" w:ascii="Times New Roman" w:hAnsi="Times New Roman" w:eastAsia="仿宋_GB2312"/>
          <w:sz w:val="32"/>
          <w:szCs w:val="28"/>
        </w:rPr>
        <w:t>，构建</w:t>
      </w:r>
      <w:r>
        <w:rPr>
          <w:rFonts w:ascii="Times New Roman" w:hAnsi="Times New Roman" w:eastAsia="仿宋_GB2312"/>
          <w:sz w:val="32"/>
          <w:szCs w:val="28"/>
        </w:rPr>
        <w:t>全民健身组织网络</w:t>
      </w:r>
      <w:r>
        <w:rPr>
          <w:rFonts w:hint="eastAsia" w:ascii="Times New Roman" w:hAnsi="Times New Roman" w:eastAsia="仿宋_GB2312"/>
          <w:sz w:val="32"/>
          <w:szCs w:val="28"/>
        </w:rPr>
        <w:t>。</w:t>
      </w:r>
      <w:r>
        <w:rPr>
          <w:rFonts w:hint="eastAsia" w:ascii="Times New Roman" w:hAnsi="Times New Roman" w:eastAsia="仿宋_GB2312" w:cs="仿宋"/>
          <w:sz w:val="32"/>
          <w:szCs w:val="28"/>
        </w:rPr>
        <w:t>充分发挥梅县区足球协会的“龙头”带动作用，以及篮球、乒乓球等协会的示范作用，使</w:t>
      </w:r>
      <w:r>
        <w:rPr>
          <w:rFonts w:hint="eastAsia" w:ascii="Times New Roman" w:hAnsi="Times New Roman" w:eastAsia="仿宋_GB2312" w:cs="仿宋"/>
          <w:sz w:val="32"/>
          <w:szCs w:val="28"/>
          <w:lang w:val="en-US" w:eastAsia="zh-CN"/>
        </w:rPr>
        <w:t>体育活动</w:t>
      </w:r>
      <w:r>
        <w:rPr>
          <w:rFonts w:hint="eastAsia" w:ascii="Times New Roman" w:hAnsi="Times New Roman" w:eastAsia="仿宋_GB2312" w:cs="仿宋"/>
          <w:sz w:val="32"/>
          <w:szCs w:val="28"/>
        </w:rPr>
        <w:t>覆盖城乡不同人群和行业，不断丰富城乡居民休闲健身生活，形成良好的全民健身社会氛围，</w:t>
      </w:r>
      <w:r>
        <w:rPr>
          <w:rFonts w:ascii="Times New Roman" w:hAnsi="Times New Roman" w:eastAsia="仿宋_GB2312"/>
          <w:sz w:val="32"/>
          <w:szCs w:val="28"/>
        </w:rPr>
        <w:t>打造共建共治共享社会治理格局</w:t>
      </w:r>
      <w:r>
        <w:rPr>
          <w:rFonts w:hint="eastAsia" w:ascii="Times New Roman" w:hAnsi="Times New Roman" w:eastAsia="仿宋_GB2312" w:cs="仿宋"/>
          <w:sz w:val="32"/>
          <w:szCs w:val="28"/>
        </w:rPr>
        <w:t>。</w:t>
      </w:r>
    </w:p>
    <w:p w14:paraId="418A82D5">
      <w:pPr>
        <w:keepNext w:val="0"/>
        <w:keepLines w:val="0"/>
        <w:pageBreakBefore w:val="0"/>
        <w:kinsoku/>
        <w:wordWrap/>
        <w:overflowPunct/>
        <w:topLinePunct w:val="0"/>
        <w:bidi w:val="0"/>
        <w:adjustRightInd w:val="0"/>
        <w:snapToGrid w:val="0"/>
        <w:spacing w:line="560" w:lineRule="exact"/>
        <w:ind w:firstLine="624" w:firstLineChars="200"/>
        <w:textAlignment w:val="auto"/>
        <w:outlineLvl w:val="0"/>
        <w:rPr>
          <w:rFonts w:hint="eastAsia" w:ascii="Times New Roman" w:hAnsi="Times New Roman" w:eastAsia="楷体" w:cs="楷体"/>
          <w:b w:val="0"/>
          <w:bCs w:val="0"/>
          <w:sz w:val="32"/>
          <w:szCs w:val="32"/>
          <w:lang w:val="en-US" w:eastAsia="zh-CN"/>
        </w:rPr>
      </w:pPr>
      <w:bookmarkStart w:id="10" w:name="_Toc28240"/>
      <w:r>
        <w:rPr>
          <w:rFonts w:hint="eastAsia" w:ascii="Times New Roman" w:hAnsi="Times New Roman" w:eastAsia="楷体" w:cs="楷体"/>
          <w:b w:val="0"/>
          <w:bCs w:val="0"/>
          <w:sz w:val="32"/>
          <w:szCs w:val="32"/>
          <w:lang w:val="en-US" w:eastAsia="zh-CN"/>
        </w:rPr>
        <w:t>（四）科学谋划推进，全面提升全民科学健身服务新水平</w:t>
      </w:r>
      <w:bookmarkEnd w:id="10"/>
    </w:p>
    <w:p w14:paraId="0A7496F9">
      <w:pPr>
        <w:keepNext w:val="0"/>
        <w:keepLines w:val="0"/>
        <w:pageBreakBefore w:val="0"/>
        <w:kinsoku/>
        <w:wordWrap/>
        <w:overflowPunct/>
        <w:topLinePunct w:val="0"/>
        <w:bidi w:val="0"/>
        <w:adjustRightInd w:val="0"/>
        <w:snapToGrid w:val="0"/>
        <w:spacing w:line="560" w:lineRule="exact"/>
        <w:ind w:firstLine="624"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完善社会体育指导员组织管理体系，</w:t>
      </w:r>
      <w:r>
        <w:rPr>
          <w:rFonts w:ascii="Times New Roman" w:hAnsi="Times New Roman" w:eastAsia="仿宋_GB2312"/>
          <w:sz w:val="32"/>
          <w:szCs w:val="32"/>
        </w:rPr>
        <w:t>加强全民健身志愿者队伍建设</w:t>
      </w:r>
      <w:r>
        <w:rPr>
          <w:rFonts w:hint="eastAsia" w:ascii="Times New Roman" w:hAnsi="Times New Roman" w:eastAsia="仿宋_GB2312"/>
          <w:sz w:val="32"/>
          <w:szCs w:val="32"/>
        </w:rPr>
        <w:t>。</w:t>
      </w:r>
      <w:r>
        <w:rPr>
          <w:rFonts w:hint="eastAsia" w:ascii="Times New Roman" w:hAnsi="Times New Roman" w:eastAsia="仿宋_GB2312" w:cs="仿宋"/>
          <w:sz w:val="32"/>
          <w:szCs w:val="32"/>
        </w:rPr>
        <w:t>建立完善的社会体育指导员协会及镇（街道）社会体育指导员服务站组织体系，促进社会体育指导员上岗率，以累计志愿服务时长为主要依据进行等级评价。注重发挥各级社会体育指导员协会及各单项体育协会在开展全民健身活动中的作用。</w:t>
      </w:r>
      <w:r>
        <w:rPr>
          <w:rFonts w:hint="eastAsia" w:ascii="Times New Roman" w:hAnsi="Times New Roman" w:eastAsia="仿宋_GB2312"/>
          <w:sz w:val="32"/>
          <w:szCs w:val="32"/>
        </w:rPr>
        <w:t>吸纳优秀退役教练员、运动员、体育教师进入社会体育指导员队伍，</w:t>
      </w:r>
      <w:r>
        <w:rPr>
          <w:rFonts w:ascii="Times New Roman" w:hAnsi="Times New Roman" w:eastAsia="仿宋_GB2312"/>
          <w:sz w:val="32"/>
          <w:szCs w:val="32"/>
        </w:rPr>
        <w:t>积极推动医护人员参与科学健身指导工作</w:t>
      </w:r>
      <w:r>
        <w:rPr>
          <w:rFonts w:hint="eastAsia" w:ascii="Times New Roman" w:hAnsi="Times New Roman" w:eastAsia="仿宋_GB2312"/>
          <w:sz w:val="32"/>
          <w:szCs w:val="32"/>
        </w:rPr>
        <w:t>。定期</w:t>
      </w:r>
      <w:r>
        <w:rPr>
          <w:rFonts w:ascii="Times New Roman" w:hAnsi="Times New Roman" w:eastAsia="仿宋_GB2312"/>
          <w:sz w:val="32"/>
          <w:szCs w:val="32"/>
        </w:rPr>
        <w:t>举办社会体育指导员展示和交流活动，</w:t>
      </w:r>
      <w:r>
        <w:rPr>
          <w:rFonts w:hint="eastAsia" w:ascii="Times New Roman" w:hAnsi="Times New Roman" w:eastAsia="仿宋_GB2312"/>
          <w:sz w:val="32"/>
          <w:szCs w:val="32"/>
        </w:rPr>
        <w:t>落实激励、奖励制度。</w:t>
      </w:r>
      <w:r>
        <w:rPr>
          <w:rFonts w:ascii="Times New Roman" w:hAnsi="Times New Roman" w:eastAsia="仿宋_GB2312"/>
          <w:sz w:val="32"/>
          <w:szCs w:val="32"/>
        </w:rPr>
        <w:t>组织引导</w:t>
      </w:r>
      <w:r>
        <w:rPr>
          <w:rFonts w:hint="eastAsia" w:ascii="Times New Roman" w:hAnsi="Times New Roman" w:eastAsia="仿宋_GB2312"/>
          <w:sz w:val="32"/>
          <w:szCs w:val="32"/>
        </w:rPr>
        <w:t>全民健身志愿者</w:t>
      </w:r>
      <w:r>
        <w:rPr>
          <w:rFonts w:ascii="Times New Roman" w:hAnsi="Times New Roman" w:eastAsia="仿宋_GB2312"/>
          <w:sz w:val="32"/>
          <w:szCs w:val="32"/>
        </w:rPr>
        <w:t>进机关、进企业、进农村、进社区、进学校宣讲科学健身知识、传授体育技能、指导使用体育设施等</w:t>
      </w:r>
      <w:r>
        <w:rPr>
          <w:rFonts w:hint="eastAsia" w:ascii="Times New Roman" w:hAnsi="Times New Roman" w:eastAsia="仿宋_GB2312"/>
          <w:sz w:val="32"/>
          <w:szCs w:val="32"/>
        </w:rPr>
        <w:t>。</w:t>
      </w:r>
      <w:r>
        <w:rPr>
          <w:rFonts w:hint="eastAsia" w:ascii="Times New Roman" w:hAnsi="Times New Roman" w:eastAsia="仿宋_GB2312" w:cs="仿宋"/>
          <w:sz w:val="32"/>
          <w:szCs w:val="32"/>
        </w:rPr>
        <w:t>定期开展健身气功社会指导员培训工作，扩大健身气功站点覆盖面，服务</w:t>
      </w:r>
      <w:r>
        <w:rPr>
          <w:rFonts w:hint="eastAsia" w:ascii="Times New Roman" w:hAnsi="Times New Roman" w:eastAsia="仿宋_GB2312"/>
          <w:sz w:val="32"/>
          <w:szCs w:val="32"/>
        </w:rPr>
        <w:t>城乡居民健身休闲。</w:t>
      </w:r>
    </w:p>
    <w:p w14:paraId="60D658CF">
      <w:pPr>
        <w:keepNext w:val="0"/>
        <w:keepLines w:val="0"/>
        <w:pageBreakBefore w:val="0"/>
        <w:kinsoku/>
        <w:wordWrap/>
        <w:overflowPunct/>
        <w:topLinePunct w:val="0"/>
        <w:bidi w:val="0"/>
        <w:adjustRightInd w:val="0"/>
        <w:snapToGrid w:val="0"/>
        <w:spacing w:line="560" w:lineRule="exact"/>
        <w:ind w:firstLine="624" w:firstLineChars="200"/>
        <w:textAlignment w:val="auto"/>
        <w:rPr>
          <w:rFonts w:ascii="Times New Roman" w:hAnsi="Times New Roman" w:eastAsia="仿宋_GB2312"/>
          <w:sz w:val="32"/>
          <w:szCs w:val="32"/>
        </w:rPr>
      </w:pPr>
      <w:r>
        <w:rPr>
          <w:rFonts w:hint="eastAsia" w:ascii="Times New Roman" w:hAnsi="Times New Roman" w:eastAsia="仿宋_GB2312" w:cs="仿宋"/>
          <w:sz w:val="32"/>
          <w:szCs w:val="32"/>
        </w:rPr>
        <w:t>完善国民体质监测体系，开展国民体质监测活动，扩大体质测定覆盖人群。定期开展国民体质监测活动，</w:t>
      </w:r>
      <w:r>
        <w:rPr>
          <w:rFonts w:ascii="Times New Roman" w:hAnsi="Times New Roman" w:eastAsia="仿宋_GB2312"/>
          <w:sz w:val="32"/>
          <w:szCs w:val="32"/>
        </w:rPr>
        <w:t>扩大体质测定覆盖人群</w:t>
      </w:r>
      <w:r>
        <w:rPr>
          <w:rFonts w:hint="eastAsia" w:ascii="Times New Roman" w:hAnsi="Times New Roman" w:eastAsia="仿宋_GB2312" w:cs="仿宋"/>
          <w:sz w:val="32"/>
          <w:szCs w:val="32"/>
        </w:rPr>
        <w:t>。</w:t>
      </w:r>
      <w:r>
        <w:rPr>
          <w:rFonts w:ascii="Times New Roman" w:hAnsi="Times New Roman" w:eastAsia="仿宋_GB2312"/>
          <w:sz w:val="32"/>
          <w:szCs w:val="32"/>
        </w:rPr>
        <w:t>开展全民健身活动状况调查和国家体育锻炼标准达标测验活动。</w:t>
      </w:r>
      <w:r>
        <w:rPr>
          <w:rFonts w:hint="eastAsia" w:ascii="Times New Roman" w:hAnsi="Times New Roman" w:eastAsia="仿宋_GB2312"/>
          <w:sz w:val="32"/>
          <w:szCs w:val="32"/>
        </w:rPr>
        <w:t>体育行政部门要联合高校、科研部门，或借助社会力量开展全民健身活动调查研究，指导全民健身活动开展。各级学校严格贯彻执行《国家学生体质健康标准（2014年修订）》，认真开展学生体质健康测试，及时、准确上报数据。</w:t>
      </w:r>
      <w:r>
        <w:rPr>
          <w:rFonts w:hint="eastAsia" w:ascii="Times New Roman" w:hAnsi="Times New Roman" w:eastAsia="仿宋_GB2312" w:cs="仿宋"/>
          <w:sz w:val="32"/>
          <w:szCs w:val="32"/>
        </w:rPr>
        <w:t>推进科学健身体质测度进机关、进社区，开展体质检查和身体测试，并将体质测定相关指标纳入日常体检范畴，开具运动处方。</w:t>
      </w:r>
    </w:p>
    <w:p w14:paraId="6B8CD5ED">
      <w:pPr>
        <w:keepNext w:val="0"/>
        <w:keepLines w:val="0"/>
        <w:pageBreakBefore w:val="0"/>
        <w:kinsoku/>
        <w:wordWrap/>
        <w:overflowPunct/>
        <w:topLinePunct w:val="0"/>
        <w:bidi w:val="0"/>
        <w:adjustRightInd w:val="0"/>
        <w:snapToGrid w:val="0"/>
        <w:spacing w:line="560" w:lineRule="exact"/>
        <w:ind w:firstLine="624" w:firstLineChars="200"/>
        <w:textAlignment w:val="auto"/>
        <w:outlineLvl w:val="0"/>
        <w:rPr>
          <w:rFonts w:hint="eastAsia" w:ascii="Times New Roman" w:hAnsi="Times New Roman" w:eastAsia="楷体" w:cs="楷体"/>
          <w:b w:val="0"/>
          <w:bCs w:val="0"/>
          <w:sz w:val="32"/>
          <w:szCs w:val="32"/>
          <w:lang w:val="en-US" w:eastAsia="zh-CN"/>
        </w:rPr>
      </w:pPr>
      <w:bookmarkStart w:id="11" w:name="_Toc8604"/>
      <w:r>
        <w:rPr>
          <w:rFonts w:hint="eastAsia" w:ascii="Times New Roman" w:hAnsi="Times New Roman" w:eastAsia="楷体" w:cs="楷体"/>
          <w:b w:val="0"/>
          <w:bCs w:val="0"/>
          <w:sz w:val="32"/>
          <w:szCs w:val="32"/>
          <w:lang w:val="en-US" w:eastAsia="zh-CN"/>
        </w:rPr>
        <w:t>（五）聚焦重点人群需求，促进基本公共体育服务均等化新发展</w:t>
      </w:r>
      <w:bookmarkEnd w:id="11"/>
    </w:p>
    <w:p w14:paraId="1EBDE2DD">
      <w:pPr>
        <w:keepNext w:val="0"/>
        <w:keepLines w:val="0"/>
        <w:pageBreakBefore w:val="0"/>
        <w:widowControl/>
        <w:kinsoku/>
        <w:wordWrap/>
        <w:overflowPunct/>
        <w:topLinePunct w:val="0"/>
        <w:bidi w:val="0"/>
        <w:spacing w:line="560" w:lineRule="exact"/>
        <w:ind w:firstLine="624" w:firstLineChars="200"/>
        <w:jc w:val="left"/>
        <w:textAlignment w:val="auto"/>
        <w:rPr>
          <w:rFonts w:ascii="Times New Roman" w:hAnsi="Times New Roman" w:eastAsia="仿宋_GB2312"/>
          <w:sz w:val="32"/>
          <w:szCs w:val="28"/>
        </w:rPr>
      </w:pPr>
      <w:r>
        <w:rPr>
          <w:rFonts w:hint="eastAsia" w:ascii="Times New Roman" w:hAnsi="Times New Roman" w:eastAsia="仿宋_GB2312"/>
          <w:sz w:val="32"/>
          <w:szCs w:val="28"/>
        </w:rPr>
        <w:t>大力发展城市社区体育。街道办事处要将社区体育工作作为社区建设的基本内容，统筹规划，加大投入，以街道和社区体育设施建设为重点，不断改善社区居民体育健身环境和条件，提供基本公共体育服务。加强社区体育组织建设、设施建设，组织社区居民开展健身、体质测试活动，推进社区基本公共体育服务全覆盖。总结推广创建国家及省城市体育先进社区，履行政府公共体育服务职能，构建公共体育服务体系的经验。街道办事处要发挥组织协调作用，充分发挥社区体育健身俱乐部、社区全民健身指导站、文体活动站以及晨晚练点的作用，组织开展社区体育健身活动。整合街道辖区的体育设施、体育人才资源，推动社区体育与职工体育、学校体育共同发展。</w:t>
      </w:r>
    </w:p>
    <w:p w14:paraId="20FB5D90">
      <w:pPr>
        <w:keepNext w:val="0"/>
        <w:keepLines w:val="0"/>
        <w:pageBreakBefore w:val="0"/>
        <w:widowControl/>
        <w:kinsoku/>
        <w:wordWrap/>
        <w:overflowPunct/>
        <w:topLinePunct w:val="0"/>
        <w:bidi w:val="0"/>
        <w:spacing w:line="560" w:lineRule="exact"/>
        <w:ind w:firstLine="624" w:firstLineChars="200"/>
        <w:jc w:val="left"/>
        <w:textAlignment w:val="auto"/>
        <w:rPr>
          <w:rFonts w:ascii="Times New Roman" w:hAnsi="Times New Roman" w:eastAsia="仿宋_GB2312"/>
          <w:sz w:val="32"/>
          <w:szCs w:val="28"/>
        </w:rPr>
      </w:pPr>
      <w:r>
        <w:rPr>
          <w:rFonts w:hint="eastAsia" w:ascii="Times New Roman" w:hAnsi="Times New Roman" w:eastAsia="仿宋_GB2312"/>
          <w:sz w:val="32"/>
          <w:szCs w:val="28"/>
        </w:rPr>
        <w:t>切实加强青少年体育，提高青少年身体素质。</w:t>
      </w:r>
      <w:r>
        <w:rPr>
          <w:rFonts w:hint="eastAsia" w:ascii="Times New Roman" w:hAnsi="Times New Roman" w:eastAsia="仿宋_GB2312" w:cs="仿宋"/>
          <w:sz w:val="32"/>
        </w:rPr>
        <w:t>牢固树立“健康第一”教育理念，全面</w:t>
      </w:r>
      <w:r>
        <w:rPr>
          <w:rFonts w:hint="eastAsia" w:ascii="Times New Roman" w:hAnsi="Times New Roman" w:eastAsia="仿宋_GB2312" w:cs="仿宋"/>
          <w:sz w:val="32"/>
          <w:lang w:val="en-US" w:eastAsia="zh-CN"/>
        </w:rPr>
        <w:t>深入</w:t>
      </w:r>
      <w:r>
        <w:rPr>
          <w:rFonts w:hint="eastAsia" w:ascii="Times New Roman" w:hAnsi="Times New Roman" w:eastAsia="仿宋_GB2312" w:cs="仿宋"/>
          <w:sz w:val="32"/>
        </w:rPr>
        <w:t>落实体教融合。坚持“一体化设计、一体化推进”原则，制定切实工作举措，有效配置资源，合力推进青少年体育活动的开展。</w:t>
      </w:r>
      <w:r>
        <w:rPr>
          <w:rFonts w:hint="eastAsia" w:ascii="Times New Roman" w:hAnsi="Times New Roman" w:eastAsia="仿宋_GB2312"/>
          <w:sz w:val="32"/>
          <w:szCs w:val="28"/>
        </w:rPr>
        <w:t>贯彻落实《关于强化学校体育促进学生身心健康全面发展的意见》（国办发</w:t>
      </w:r>
      <w:r>
        <w:rPr>
          <w:rFonts w:hint="eastAsia" w:ascii="Times New Roman" w:hAnsi="Times New Roman" w:eastAsia="仿宋_GB2312"/>
          <w:sz w:val="32"/>
          <w:szCs w:val="28"/>
          <w:lang w:eastAsia="zh-CN"/>
        </w:rPr>
        <w:t>〔2016〕27号</w:t>
      </w:r>
      <w:r>
        <w:rPr>
          <w:rFonts w:hint="eastAsia" w:ascii="Times New Roman" w:hAnsi="Times New Roman" w:eastAsia="仿宋_GB2312"/>
          <w:sz w:val="32"/>
          <w:szCs w:val="28"/>
        </w:rPr>
        <w:t>），以“天天锻炼、健康成长、终身受益”为目标，调动家庭、社区和社会组织的积极性，确保学生每天锻炼一小时以上。继续创建青少年体育俱乐部、体育特色学校、青少年户外体育营地，办好</w:t>
      </w:r>
      <w:r>
        <w:rPr>
          <w:rFonts w:hint="eastAsia" w:ascii="Times New Roman" w:hAnsi="Times New Roman" w:eastAsia="仿宋_GB2312"/>
          <w:sz w:val="32"/>
          <w:szCs w:val="28"/>
          <w:lang w:val="en-US" w:eastAsia="zh-CN"/>
        </w:rPr>
        <w:t>业余</w:t>
      </w:r>
      <w:r>
        <w:rPr>
          <w:rFonts w:hint="eastAsia" w:ascii="Times New Roman" w:hAnsi="Times New Roman" w:eastAsia="仿宋_GB2312"/>
          <w:sz w:val="32"/>
          <w:szCs w:val="28"/>
        </w:rPr>
        <w:t>体育学校、体育传统项目学校，开展课余体育训练，倡导科学、健康的体育健身观念和生活理念，不断提高青少年身体素质，促进青少年学生养成终身体育锻炼的习惯。不断完善学校、社区、家庭相结合的青少年体育网络和联动机制。</w:t>
      </w:r>
    </w:p>
    <w:p w14:paraId="151D6961">
      <w:pPr>
        <w:keepNext w:val="0"/>
        <w:keepLines w:val="0"/>
        <w:pageBreakBefore w:val="0"/>
        <w:widowControl/>
        <w:kinsoku/>
        <w:wordWrap/>
        <w:overflowPunct/>
        <w:topLinePunct w:val="0"/>
        <w:bidi w:val="0"/>
        <w:spacing w:line="560" w:lineRule="exact"/>
        <w:ind w:firstLine="624" w:firstLineChars="200"/>
        <w:jc w:val="left"/>
        <w:textAlignment w:val="auto"/>
        <w:rPr>
          <w:rFonts w:hint="eastAsia" w:ascii="Times New Roman" w:hAnsi="Times New Roman" w:eastAsia="仿宋_GB2312"/>
          <w:sz w:val="32"/>
          <w:szCs w:val="28"/>
        </w:rPr>
      </w:pPr>
      <w:r>
        <w:rPr>
          <w:rFonts w:hint="eastAsia" w:ascii="Times New Roman" w:hAnsi="Times New Roman" w:eastAsia="仿宋_GB2312"/>
          <w:sz w:val="32"/>
          <w:szCs w:val="28"/>
        </w:rPr>
        <w:t>重视发展老年人体育。广泛开展适合老年人特点的太极拳、</w:t>
      </w:r>
      <w:r>
        <w:rPr>
          <w:rFonts w:hint="eastAsia" w:ascii="Times New Roman" w:hAnsi="Times New Roman" w:eastAsia="仿宋_GB2312"/>
          <w:sz w:val="32"/>
          <w:szCs w:val="28"/>
          <w:lang w:val="en-US" w:eastAsia="zh-CN"/>
        </w:rPr>
        <w:t>太极剑</w:t>
      </w:r>
      <w:r>
        <w:rPr>
          <w:rFonts w:hint="eastAsia" w:ascii="Times New Roman" w:hAnsi="Times New Roman" w:eastAsia="仿宋_GB2312"/>
          <w:sz w:val="32"/>
          <w:szCs w:val="28"/>
        </w:rPr>
        <w:t>健身气功、</w:t>
      </w:r>
      <w:r>
        <w:rPr>
          <w:rFonts w:hint="eastAsia" w:ascii="Times New Roman" w:hAnsi="Times New Roman" w:eastAsia="仿宋_GB2312"/>
          <w:sz w:val="32"/>
          <w:szCs w:val="28"/>
          <w:lang w:eastAsia="zh-CN"/>
        </w:rPr>
        <w:t>乒乓球、</w:t>
      </w:r>
      <w:r>
        <w:rPr>
          <w:rFonts w:hint="eastAsia" w:ascii="Times New Roman" w:hAnsi="Times New Roman" w:eastAsia="仿宋_GB2312"/>
          <w:sz w:val="32"/>
          <w:szCs w:val="28"/>
        </w:rPr>
        <w:t>气排球等运动项目。根据梅州特点，大力开发适合老年人特点的健身项目。为老年人健身提供科学指导，发挥全民健身在</w:t>
      </w:r>
      <w:r>
        <w:rPr>
          <w:rFonts w:hint="eastAsia" w:ascii="Times New Roman" w:hAnsi="Times New Roman" w:eastAsia="仿宋_GB2312"/>
          <w:sz w:val="32"/>
          <w:szCs w:val="28"/>
          <w:lang w:val="en-US" w:eastAsia="zh-CN"/>
        </w:rPr>
        <w:t>老年人体育</w:t>
      </w:r>
      <w:r>
        <w:rPr>
          <w:rFonts w:hint="eastAsia" w:ascii="Times New Roman" w:hAnsi="Times New Roman" w:eastAsia="仿宋_GB2312"/>
          <w:sz w:val="32"/>
          <w:szCs w:val="28"/>
        </w:rPr>
        <w:t>方面的独特作用。组织开展老年人体育健身活动，办好老年人体育运动会。加强对老年人体质监测，并结合体质健康水平，提供运动处方，提高体育健身对慢性疾病防治、身体功能康复的效果。城乡社区服务兼顾老年人健身服务。公共体育设施对老年人参加体育活动提供便利和优惠</w:t>
      </w:r>
      <w:r>
        <w:rPr>
          <w:rFonts w:hint="eastAsia" w:ascii="Times New Roman" w:hAnsi="Times New Roman" w:eastAsia="仿宋_GB2312"/>
          <w:sz w:val="32"/>
          <w:szCs w:val="28"/>
          <w:lang w:eastAsia="zh-CN"/>
        </w:rPr>
        <w:t>，</w:t>
      </w:r>
      <w:r>
        <w:rPr>
          <w:rFonts w:hint="eastAsia" w:ascii="Times New Roman" w:hAnsi="Times New Roman" w:eastAsia="仿宋_GB2312"/>
          <w:sz w:val="32"/>
          <w:szCs w:val="28"/>
        </w:rPr>
        <w:t>设置适合老年人体育活动的设施，鼓励、支持社会组织和个人兴办老年人体育服务机构和体育健身设施。</w:t>
      </w:r>
    </w:p>
    <w:p w14:paraId="18BCF8E9">
      <w:pPr>
        <w:keepNext w:val="0"/>
        <w:keepLines w:val="0"/>
        <w:pageBreakBefore w:val="0"/>
        <w:widowControl/>
        <w:kinsoku/>
        <w:wordWrap/>
        <w:overflowPunct/>
        <w:topLinePunct w:val="0"/>
        <w:bidi w:val="0"/>
        <w:spacing w:line="560" w:lineRule="exact"/>
        <w:ind w:firstLine="624" w:firstLineChars="200"/>
        <w:jc w:val="left"/>
        <w:textAlignment w:val="auto"/>
        <w:rPr>
          <w:rFonts w:hint="eastAsia" w:ascii="Times New Roman" w:hAnsi="Times New Roman" w:eastAsia="仿宋_GB2312"/>
          <w:sz w:val="32"/>
          <w:szCs w:val="28"/>
        </w:rPr>
      </w:pPr>
      <w:r>
        <w:rPr>
          <w:rFonts w:hint="eastAsia" w:ascii="Times New Roman" w:hAnsi="Times New Roman" w:eastAsia="仿宋_GB2312"/>
          <w:sz w:val="32"/>
          <w:szCs w:val="28"/>
        </w:rPr>
        <w:t>着力推动职工体育。要充分发挥工会、各类职工体育协会、单项体育协会的作用，广泛建立职工体育俱乐部和体育健身团队，开展符合单位特点和职工喜闻乐见的体育健身和竞赛活动。鼓励企业制订针对职工的体育健身指导方案，为职工参与体育健身提供必要的时间保障。坚持工间（前）操制度，开展《国家体育锻炼标准》达标测验和体质测试活动，有条件的单位可每年举办全民健身运动会。</w:t>
      </w:r>
    </w:p>
    <w:p w14:paraId="623E8C7D">
      <w:pPr>
        <w:pStyle w:val="4"/>
        <w:keepNext w:val="0"/>
        <w:keepLines w:val="0"/>
        <w:pageBreakBefore w:val="0"/>
        <w:kinsoku/>
        <w:wordWrap/>
        <w:overflowPunct/>
        <w:topLinePunct w:val="0"/>
        <w:autoSpaceDE w:val="0"/>
        <w:autoSpaceDN w:val="0"/>
        <w:bidi w:val="0"/>
        <w:snapToGrid w:val="0"/>
        <w:spacing w:line="560" w:lineRule="exact"/>
        <w:ind w:left="0" w:firstLine="624" w:firstLineChars="200"/>
        <w:textAlignment w:val="auto"/>
        <w:outlineLvl w:val="1"/>
        <w:rPr>
          <w:rFonts w:hint="default" w:ascii="Times New Roman" w:hAnsi="Times New Roman" w:eastAsia="楷体" w:cs="楷体"/>
          <w:kern w:val="2"/>
          <w:sz w:val="32"/>
          <w:szCs w:val="28"/>
          <w:lang w:val="en-US" w:eastAsia="zh-CN" w:bidi="ar-SA"/>
        </w:rPr>
      </w:pPr>
      <w:r>
        <w:rPr>
          <w:rFonts w:hint="eastAsia" w:ascii="Times New Roman" w:hAnsi="Times New Roman" w:eastAsia="楷体" w:cs="楷体"/>
          <w:kern w:val="2"/>
          <w:sz w:val="32"/>
          <w:szCs w:val="28"/>
          <w:lang w:val="en-US" w:eastAsia="zh-CN" w:bidi="ar-SA"/>
        </w:rPr>
        <w:t>（六）夯实足球基础，构建多层级的足球发展体制机制</w:t>
      </w:r>
    </w:p>
    <w:p w14:paraId="51D0400F">
      <w:pPr>
        <w:keepNext w:val="0"/>
        <w:keepLines w:val="0"/>
        <w:pageBreakBefore w:val="0"/>
        <w:widowControl/>
        <w:kinsoku/>
        <w:wordWrap/>
        <w:overflowPunct/>
        <w:topLinePunct w:val="0"/>
        <w:bidi w:val="0"/>
        <w:spacing w:line="560" w:lineRule="exact"/>
        <w:ind w:firstLine="624" w:firstLineChars="200"/>
        <w:jc w:val="left"/>
        <w:textAlignment w:val="auto"/>
        <w:rPr>
          <w:rFonts w:hint="eastAsia" w:ascii="Times New Roman" w:hAnsi="Times New Roman" w:eastAsia="仿宋_GB2312"/>
          <w:sz w:val="32"/>
          <w:szCs w:val="28"/>
          <w:lang w:val="en-US" w:eastAsia="zh-CN"/>
        </w:rPr>
      </w:pPr>
      <w:r>
        <w:rPr>
          <w:rFonts w:hint="eastAsia" w:ascii="Times New Roman" w:hAnsi="Times New Roman" w:eastAsia="仿宋_GB2312"/>
          <w:sz w:val="32"/>
          <w:szCs w:val="28"/>
          <w:lang w:val="en-US" w:eastAsia="zh-CN"/>
        </w:rPr>
        <w:t>加强足球场地基础设施建设，</w:t>
      </w:r>
      <w:r>
        <w:rPr>
          <w:rFonts w:hint="eastAsia" w:ascii="仿宋_GB2312" w:hAnsi="仿宋" w:eastAsia="仿宋_GB2312" w:cs="仿宋_GB2312"/>
          <w:sz w:val="32"/>
          <w:szCs w:val="32"/>
        </w:rPr>
        <w:t>探索推行公</w:t>
      </w:r>
      <w:r>
        <w:rPr>
          <w:rFonts w:ascii="仿宋_GB2312" w:hAnsi="仿宋" w:eastAsia="仿宋_GB2312" w:cs="仿宋_GB2312"/>
          <w:sz w:val="32"/>
          <w:szCs w:val="32"/>
        </w:rPr>
        <w:t>建民营、民办公助、委托管理、政府和社会资本合作等多种方式建设足球场地设施</w:t>
      </w:r>
      <w:r>
        <w:rPr>
          <w:rFonts w:hint="eastAsia" w:ascii="仿宋_GB2312" w:hAnsi="仿宋" w:eastAsia="仿宋_GB2312" w:cs="仿宋_GB2312"/>
          <w:sz w:val="32"/>
          <w:szCs w:val="32"/>
        </w:rPr>
        <w:t>。充分利用城市和乡村边角地、绿化地、荒地、闲置地、公园等，规划建设一批社区足球场、简易实用的非标准足球场</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笼式足球场</w:t>
      </w:r>
      <w:r>
        <w:rPr>
          <w:rFonts w:hint="eastAsia" w:ascii="仿宋_GB2312" w:hAnsi="仿宋" w:eastAsia="仿宋_GB2312" w:cs="仿宋_GB2312"/>
          <w:sz w:val="32"/>
          <w:szCs w:val="32"/>
        </w:rPr>
        <w:t>。</w:t>
      </w:r>
    </w:p>
    <w:p w14:paraId="07065852">
      <w:pPr>
        <w:keepNext w:val="0"/>
        <w:keepLines w:val="0"/>
        <w:pageBreakBefore w:val="0"/>
        <w:widowControl/>
        <w:kinsoku/>
        <w:wordWrap/>
        <w:overflowPunct/>
        <w:topLinePunct w:val="0"/>
        <w:bidi w:val="0"/>
        <w:spacing w:line="560" w:lineRule="exact"/>
        <w:ind w:firstLine="624" w:firstLineChars="200"/>
        <w:jc w:val="left"/>
        <w:textAlignment w:val="auto"/>
        <w:rPr>
          <w:rFonts w:hint="eastAsia" w:ascii="Times New Roman" w:hAnsi="Times New Roman" w:eastAsia="仿宋_GB2312"/>
          <w:sz w:val="32"/>
          <w:szCs w:val="28"/>
          <w:lang w:val="en-US" w:eastAsia="zh-CN"/>
        </w:rPr>
      </w:pPr>
      <w:r>
        <w:rPr>
          <w:rFonts w:hint="eastAsia" w:ascii="Times New Roman" w:hAnsi="Times New Roman" w:eastAsia="仿宋_GB2312"/>
          <w:sz w:val="32"/>
          <w:szCs w:val="28"/>
          <w:lang w:val="en-US" w:eastAsia="zh-CN"/>
        </w:rPr>
        <w:t>做好核心品牌赛事，</w:t>
      </w:r>
      <w:r>
        <w:rPr>
          <w:rFonts w:hint="eastAsia" w:ascii="Times New Roman" w:hAnsi="Times New Roman" w:eastAsia="仿宋_GB2312"/>
          <w:sz w:val="32"/>
          <w:szCs w:val="28"/>
        </w:rPr>
        <w:t>构建“345”足球赛事体系，包括“区、镇、村”三级联赛，“三、五、七、十一人制”四种赛制，服务“老、中、青、少、幼”</w:t>
      </w:r>
      <w:r>
        <w:rPr>
          <w:rFonts w:hint="eastAsia" w:ascii="Times New Roman" w:hAnsi="Times New Roman" w:eastAsia="仿宋_GB2312"/>
          <w:sz w:val="32"/>
          <w:szCs w:val="28"/>
          <w:lang w:val="en-US" w:eastAsia="zh-CN"/>
        </w:rPr>
        <w:t>五</w:t>
      </w:r>
      <w:r>
        <w:rPr>
          <w:rFonts w:hint="eastAsia" w:ascii="Times New Roman" w:hAnsi="Times New Roman" w:eastAsia="仿宋_GB2312"/>
          <w:sz w:val="32"/>
          <w:szCs w:val="28"/>
        </w:rPr>
        <w:t>类群体，比赛时间贯穿全年，涵盖各类人群</w:t>
      </w:r>
      <w:r>
        <w:rPr>
          <w:rFonts w:hint="eastAsia" w:ascii="仿宋_GB2312" w:eastAsia="仿宋_GB2312" w:cs="仿宋_GB2312"/>
          <w:sz w:val="32"/>
          <w:szCs w:val="32"/>
        </w:rPr>
        <w:t>。做强做精“贺岁杯</w:t>
      </w:r>
      <w:r>
        <w:rPr>
          <w:rFonts w:hint="eastAsia" w:ascii="仿宋_GB2312" w:eastAsia="仿宋_GB2312" w:cs="仿宋_GB2312"/>
          <w:sz w:val="32"/>
          <w:szCs w:val="32"/>
          <w:lang w:eastAsia="zh-CN"/>
        </w:rPr>
        <w:t>”“</w:t>
      </w:r>
      <w:r>
        <w:rPr>
          <w:rFonts w:hint="eastAsia" w:ascii="仿宋_GB2312" w:eastAsia="仿宋_GB2312" w:cs="仿宋_GB2312"/>
          <w:sz w:val="32"/>
          <w:szCs w:val="32"/>
        </w:rPr>
        <w:t>五四</w:t>
      </w:r>
      <w:r>
        <w:rPr>
          <w:rFonts w:hint="eastAsia" w:ascii="仿宋_GB2312" w:hAnsi="仿宋" w:eastAsia="仿宋_GB2312" w:cs="仿宋_GB2312"/>
          <w:sz w:val="32"/>
          <w:szCs w:val="32"/>
        </w:rPr>
        <w:t>青年杯</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乡镇足球联赛</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机关职工足球联赛”等群众性足球赛事活动，组织策划“</w:t>
      </w:r>
      <w:r>
        <w:rPr>
          <w:rFonts w:hint="eastAsia" w:ascii="仿宋_GB2312" w:hAnsi="仿宋" w:eastAsia="仿宋_GB2312" w:cs="仿宋_GB2312"/>
          <w:sz w:val="32"/>
          <w:szCs w:val="32"/>
          <w:lang w:val="en-US" w:eastAsia="zh-CN"/>
        </w:rPr>
        <w:t>强民</w:t>
      </w:r>
      <w:r>
        <w:rPr>
          <w:rFonts w:hint="eastAsia" w:ascii="仿宋_GB2312" w:hAnsi="仿宋" w:eastAsia="仿宋_GB2312" w:cs="仿宋_GB2312"/>
          <w:sz w:val="32"/>
          <w:szCs w:val="32"/>
        </w:rPr>
        <w:t>杯足球赛</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寒假联赛</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暑假联赛</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等新型足球赛事。</w:t>
      </w:r>
    </w:p>
    <w:p w14:paraId="74C95423">
      <w:pPr>
        <w:keepNext w:val="0"/>
        <w:keepLines w:val="0"/>
        <w:pageBreakBefore w:val="0"/>
        <w:widowControl/>
        <w:kinsoku/>
        <w:wordWrap/>
        <w:overflowPunct/>
        <w:topLinePunct w:val="0"/>
        <w:bidi w:val="0"/>
        <w:spacing w:line="560" w:lineRule="exact"/>
        <w:ind w:firstLine="624" w:firstLineChars="200"/>
        <w:jc w:val="left"/>
        <w:textAlignment w:val="auto"/>
        <w:rPr>
          <w:rFonts w:hint="eastAsia" w:ascii="仿宋_GB2312" w:hAnsi="仿宋" w:eastAsia="仿宋_GB2312" w:cs="仿宋_GB2312"/>
          <w:sz w:val="32"/>
          <w:szCs w:val="32"/>
          <w:lang w:val="en-US" w:eastAsia="zh-CN"/>
        </w:rPr>
      </w:pPr>
      <w:r>
        <w:rPr>
          <w:rFonts w:hint="eastAsia" w:ascii="Times New Roman" w:hAnsi="Times New Roman" w:eastAsia="仿宋_GB2312"/>
          <w:sz w:val="32"/>
          <w:szCs w:val="28"/>
          <w:lang w:val="en-US" w:eastAsia="zh-CN"/>
        </w:rPr>
        <w:t>深化体教融合，</w:t>
      </w:r>
      <w:r>
        <w:rPr>
          <w:rFonts w:hint="eastAsia" w:ascii="仿宋_GB2312" w:hAnsi="仿宋" w:eastAsia="仿宋_GB2312" w:cs="仿宋_GB2312"/>
          <w:sz w:val="32"/>
          <w:szCs w:val="32"/>
        </w:rPr>
        <w:t>建立以区</w:t>
      </w:r>
      <w:r>
        <w:rPr>
          <w:rFonts w:hint="eastAsia" w:ascii="仿宋_GB2312" w:hAnsi="仿宋" w:eastAsia="仿宋_GB2312" w:cs="仿宋_GB2312"/>
          <w:sz w:val="32"/>
          <w:szCs w:val="32"/>
          <w:lang w:val="en-US" w:eastAsia="zh-CN"/>
        </w:rPr>
        <w:t>足球</w:t>
      </w:r>
      <w:r>
        <w:rPr>
          <w:rFonts w:hint="eastAsia" w:ascii="仿宋_GB2312" w:hAnsi="仿宋" w:eastAsia="仿宋_GB2312" w:cs="仿宋_GB2312"/>
          <w:sz w:val="32"/>
          <w:szCs w:val="32"/>
        </w:rPr>
        <w:t>运动队为重点、校园足球为基础，社会机构为补充的足球青训人才协同发展模式。</w:t>
      </w:r>
      <w:r>
        <w:rPr>
          <w:rFonts w:hint="eastAsia" w:ascii="仿宋_GB2312" w:hAnsi="仿宋" w:eastAsia="仿宋_GB2312" w:cs="仿宋_GB2312"/>
          <w:sz w:val="32"/>
          <w:szCs w:val="32"/>
          <w:lang w:val="en-US" w:eastAsia="zh-CN"/>
        </w:rPr>
        <w:t>举办好“中小学生足球联赛”，促进以赛选材、以赛代练。</w:t>
      </w:r>
      <w:r>
        <w:rPr>
          <w:rFonts w:hint="eastAsia" w:ascii="Times New Roman" w:hAnsi="Times New Roman" w:eastAsia="仿宋_GB2312"/>
          <w:sz w:val="32"/>
          <w:szCs w:val="28"/>
          <w:lang w:val="en-US" w:eastAsia="zh-CN"/>
        </w:rPr>
        <w:t>争取多项资金建成梅县区青少年足球训练中心，</w:t>
      </w:r>
      <w:r>
        <w:rPr>
          <w:rFonts w:hint="eastAsia" w:ascii="仿宋_GB2312" w:hAnsi="仿宋" w:eastAsia="仿宋_GB2312" w:cs="仿宋_GB2312"/>
          <w:sz w:val="32"/>
          <w:szCs w:val="32"/>
          <w:lang w:val="en-US" w:eastAsia="zh-CN"/>
        </w:rPr>
        <w:t>打造</w:t>
      </w:r>
      <w:r>
        <w:rPr>
          <w:rFonts w:hint="eastAsia" w:ascii="仿宋_GB2312" w:hAnsi="仿宋" w:eastAsia="仿宋_GB2312" w:cs="仿宋_GB2312"/>
          <w:sz w:val="32"/>
          <w:szCs w:val="32"/>
        </w:rPr>
        <w:t>足球教学、训练、赛事、住宿于一体的综合性</w:t>
      </w:r>
      <w:r>
        <w:rPr>
          <w:rFonts w:hint="eastAsia" w:ascii="仿宋_GB2312" w:hAnsi="仿宋" w:eastAsia="仿宋_GB2312" w:cs="仿宋_GB2312"/>
          <w:sz w:val="32"/>
          <w:szCs w:val="32"/>
          <w:lang w:val="en-US" w:eastAsia="zh-CN"/>
        </w:rPr>
        <w:t>足球训练</w:t>
      </w:r>
      <w:r>
        <w:rPr>
          <w:rFonts w:hint="eastAsia" w:ascii="仿宋_GB2312" w:hAnsi="仿宋" w:eastAsia="仿宋_GB2312" w:cs="仿宋_GB2312"/>
          <w:sz w:val="32"/>
          <w:szCs w:val="32"/>
        </w:rPr>
        <w:t>基地</w:t>
      </w:r>
      <w:r>
        <w:rPr>
          <w:rFonts w:hint="eastAsia" w:ascii="仿宋_GB2312" w:hAnsi="仿宋" w:eastAsia="仿宋_GB2312" w:cs="仿宋_GB2312"/>
          <w:sz w:val="32"/>
          <w:szCs w:val="32"/>
          <w:lang w:eastAsia="zh-CN"/>
        </w:rPr>
        <w:t>。</w:t>
      </w:r>
    </w:p>
    <w:p w14:paraId="1F175C60">
      <w:pPr>
        <w:pStyle w:val="4"/>
        <w:keepNext w:val="0"/>
        <w:keepLines w:val="0"/>
        <w:pageBreakBefore w:val="0"/>
        <w:kinsoku/>
        <w:wordWrap/>
        <w:overflowPunct/>
        <w:topLinePunct w:val="0"/>
        <w:autoSpaceDE w:val="0"/>
        <w:autoSpaceDN w:val="0"/>
        <w:bidi w:val="0"/>
        <w:snapToGrid w:val="0"/>
        <w:spacing w:line="560" w:lineRule="exact"/>
        <w:ind w:left="0" w:firstLine="624" w:firstLineChars="200"/>
        <w:textAlignment w:val="auto"/>
        <w:outlineLvl w:val="1"/>
        <w:rPr>
          <w:rFonts w:hint="eastAsia" w:ascii="Times New Roman" w:hAnsi="Times New Roman" w:eastAsia="楷体" w:cs="楷体"/>
          <w:kern w:val="2"/>
          <w:sz w:val="32"/>
          <w:szCs w:val="28"/>
          <w:lang w:val="en-US" w:eastAsia="zh-CN" w:bidi="ar-SA"/>
        </w:rPr>
      </w:pPr>
      <w:r>
        <w:rPr>
          <w:rFonts w:hint="eastAsia" w:ascii="Times New Roman" w:hAnsi="Times New Roman" w:eastAsia="楷体" w:cs="楷体"/>
          <w:kern w:val="2"/>
          <w:sz w:val="32"/>
          <w:szCs w:val="28"/>
          <w:lang w:val="en-US" w:eastAsia="zh-CN" w:bidi="ar-SA"/>
        </w:rPr>
        <w:t>（七）激活市场活力，培育体育产业融合发展新业态</w:t>
      </w:r>
    </w:p>
    <w:p w14:paraId="47480503">
      <w:pPr>
        <w:keepNext w:val="0"/>
        <w:keepLines w:val="0"/>
        <w:pageBreakBefore w:val="0"/>
        <w:widowControl/>
        <w:kinsoku/>
        <w:wordWrap/>
        <w:overflowPunct/>
        <w:topLinePunct w:val="0"/>
        <w:bidi w:val="0"/>
        <w:spacing w:line="560" w:lineRule="exact"/>
        <w:ind w:firstLine="624" w:firstLineChars="200"/>
        <w:jc w:val="left"/>
        <w:textAlignment w:val="auto"/>
        <w:rPr>
          <w:rFonts w:hint="eastAsia" w:ascii="Times New Roman" w:hAnsi="Times New Roman" w:eastAsia="仿宋_GB2312"/>
          <w:color w:val="000000"/>
          <w:sz w:val="32"/>
          <w:szCs w:val="28"/>
        </w:rPr>
      </w:pPr>
      <w:r>
        <w:rPr>
          <w:rFonts w:ascii="Times New Roman" w:hAnsi="Times New Roman" w:eastAsia="仿宋_GB2312"/>
          <w:color w:val="000000"/>
          <w:sz w:val="32"/>
          <w:szCs w:val="28"/>
          <w:shd w:val="clear" w:color="auto" w:fill="FFFFFF"/>
        </w:rPr>
        <w:t>充分发挥</w:t>
      </w:r>
      <w:r>
        <w:rPr>
          <w:rFonts w:hint="eastAsia" w:ascii="Times New Roman" w:hAnsi="Times New Roman" w:eastAsia="仿宋_GB2312"/>
          <w:color w:val="000000"/>
          <w:sz w:val="32"/>
          <w:szCs w:val="28"/>
          <w:shd w:val="clear" w:color="auto" w:fill="FFFFFF"/>
          <w:lang w:eastAsia="zh-CN"/>
        </w:rPr>
        <w:t>“</w:t>
      </w:r>
      <w:r>
        <w:rPr>
          <w:rFonts w:hint="eastAsia" w:ascii="Times New Roman" w:hAnsi="Times New Roman" w:eastAsia="仿宋_GB2312"/>
          <w:color w:val="000000"/>
          <w:sz w:val="32"/>
          <w:szCs w:val="28"/>
          <w:shd w:val="clear" w:color="auto" w:fill="FFFFFF"/>
          <w:lang w:val="en-US" w:eastAsia="zh-CN"/>
        </w:rPr>
        <w:t>体育+</w:t>
      </w:r>
      <w:r>
        <w:rPr>
          <w:rFonts w:hint="eastAsia" w:ascii="Times New Roman" w:hAnsi="Times New Roman" w:eastAsia="仿宋_GB2312"/>
          <w:color w:val="000000"/>
          <w:sz w:val="32"/>
          <w:szCs w:val="28"/>
          <w:shd w:val="clear" w:color="auto" w:fill="FFFFFF"/>
          <w:lang w:eastAsia="zh-CN"/>
        </w:rPr>
        <w:t>”“</w:t>
      </w:r>
      <w:r>
        <w:rPr>
          <w:rFonts w:hint="eastAsia" w:ascii="Times New Roman" w:hAnsi="Times New Roman" w:eastAsia="仿宋_GB2312"/>
          <w:color w:val="000000"/>
          <w:sz w:val="32"/>
          <w:szCs w:val="28"/>
          <w:shd w:val="clear" w:color="auto" w:fill="FFFFFF"/>
          <w:lang w:val="en-US" w:eastAsia="zh-CN"/>
        </w:rPr>
        <w:t>+体育</w:t>
      </w:r>
      <w:r>
        <w:rPr>
          <w:rFonts w:hint="eastAsia" w:ascii="Times New Roman" w:hAnsi="Times New Roman" w:eastAsia="仿宋_GB2312"/>
          <w:color w:val="000000"/>
          <w:sz w:val="32"/>
          <w:szCs w:val="28"/>
          <w:shd w:val="clear" w:color="auto" w:fill="FFFFFF"/>
          <w:lang w:eastAsia="zh-CN"/>
        </w:rPr>
        <w:t>”</w:t>
      </w:r>
      <w:r>
        <w:rPr>
          <w:rFonts w:ascii="Times New Roman" w:hAnsi="Times New Roman" w:eastAsia="仿宋_GB2312"/>
          <w:color w:val="000000"/>
          <w:sz w:val="32"/>
          <w:szCs w:val="28"/>
          <w:shd w:val="clear" w:color="auto" w:fill="FFFFFF"/>
        </w:rPr>
        <w:t>对发展体育产业的推动作用，扩大体育健身休闲活动、体育竞赛表演活动、体育场馆服务、体育培训与教育、体育用品及相关产品制造和销售等体育产业规模，使健身服务业在体育产业中所占比重不断提高。鼓励发展健身信息聚合、智能健身硬件、健身在线培训教育等全民健身新业态。</w:t>
      </w:r>
    </w:p>
    <w:p w14:paraId="7C12A000">
      <w:pPr>
        <w:keepNext w:val="0"/>
        <w:keepLines w:val="0"/>
        <w:pageBreakBefore w:val="0"/>
        <w:widowControl/>
        <w:kinsoku/>
        <w:wordWrap/>
        <w:overflowPunct/>
        <w:topLinePunct w:val="0"/>
        <w:bidi w:val="0"/>
        <w:spacing w:line="560" w:lineRule="exact"/>
        <w:ind w:firstLine="624" w:firstLineChars="200"/>
        <w:jc w:val="left"/>
        <w:textAlignment w:val="auto"/>
        <w:rPr>
          <w:rFonts w:ascii="Times New Roman" w:hAnsi="Times New Roman" w:eastAsia="仿宋_GB2312"/>
          <w:sz w:val="32"/>
          <w:szCs w:val="28"/>
        </w:rPr>
      </w:pPr>
      <w:r>
        <w:rPr>
          <w:rFonts w:hint="eastAsia" w:ascii="Times New Roman" w:hAnsi="Times New Roman" w:eastAsia="仿宋_GB2312"/>
          <w:sz w:val="32"/>
          <w:szCs w:val="28"/>
        </w:rPr>
        <w:t>以</w:t>
      </w:r>
      <w:r>
        <w:rPr>
          <w:rFonts w:hint="eastAsia" w:ascii="Times New Roman" w:hAnsi="Times New Roman" w:eastAsia="仿宋_GB2312"/>
          <w:sz w:val="32"/>
          <w:szCs w:val="28"/>
          <w:lang w:eastAsia="zh-CN"/>
        </w:rPr>
        <w:t>“</w:t>
      </w:r>
      <w:r>
        <w:rPr>
          <w:rFonts w:hint="eastAsia" w:ascii="Times New Roman" w:hAnsi="Times New Roman" w:eastAsia="仿宋_GB2312"/>
          <w:sz w:val="32"/>
          <w:szCs w:val="28"/>
          <w:lang w:val="en-US" w:eastAsia="zh-CN"/>
        </w:rPr>
        <w:t>丙雁松示范带</w:t>
      </w:r>
      <w:r>
        <w:rPr>
          <w:rFonts w:hint="eastAsia" w:ascii="Times New Roman" w:hAnsi="Times New Roman" w:eastAsia="仿宋_GB2312"/>
          <w:sz w:val="32"/>
          <w:szCs w:val="28"/>
          <w:lang w:eastAsia="zh-CN"/>
        </w:rPr>
        <w:t>”</w:t>
      </w:r>
      <w:r>
        <w:rPr>
          <w:rFonts w:hint="eastAsia" w:ascii="Times New Roman" w:hAnsi="Times New Roman" w:eastAsia="仿宋_GB2312"/>
          <w:sz w:val="32"/>
          <w:szCs w:val="28"/>
        </w:rPr>
        <w:t>为依托，按照“规划引领、项目带动、设施先行、活动推动”的原则，有效整合绿道沿线资源，着力构建集体育、休闲、旅游于一体，“点、线、面”相结合的绿色体育带。合理规划绿道体育旅游线路，设立完善旅游休闲体育驿站、丰富旅游生态体育活动站点，积极开发一批生态型、旅游休闲型的体育活动项目，创建一批绿道自行车、慢跑、山地徒步等品牌赛事，努力把绿色体育带打造成为群众体育示范基地、全民健身休闲基地。</w:t>
      </w:r>
    </w:p>
    <w:p w14:paraId="544949D6">
      <w:pPr>
        <w:keepNext w:val="0"/>
        <w:keepLines w:val="0"/>
        <w:pageBreakBefore w:val="0"/>
        <w:kinsoku/>
        <w:wordWrap/>
        <w:overflowPunct/>
        <w:topLinePunct w:val="0"/>
        <w:bidi w:val="0"/>
        <w:adjustRightInd w:val="0"/>
        <w:snapToGrid w:val="0"/>
        <w:spacing w:line="560" w:lineRule="exact"/>
        <w:ind w:firstLine="624" w:firstLineChars="200"/>
        <w:textAlignment w:val="auto"/>
        <w:outlineLvl w:val="0"/>
        <w:rPr>
          <w:rFonts w:ascii="Times New Roman" w:hAnsi="Times New Roman" w:eastAsia="黑体" w:cs="黑体"/>
          <w:sz w:val="32"/>
          <w:szCs w:val="32"/>
        </w:rPr>
      </w:pPr>
      <w:bookmarkStart w:id="12" w:name="_Toc11949"/>
      <w:r>
        <w:rPr>
          <w:rFonts w:hint="eastAsia" w:ascii="Times New Roman" w:hAnsi="Times New Roman" w:eastAsia="黑体" w:cs="黑体"/>
          <w:sz w:val="32"/>
          <w:szCs w:val="32"/>
          <w:lang w:eastAsia="zh-CN"/>
        </w:rPr>
        <w:t>四</w:t>
      </w:r>
      <w:r>
        <w:rPr>
          <w:rFonts w:hint="eastAsia" w:ascii="Times New Roman" w:hAnsi="Times New Roman" w:eastAsia="黑体" w:cs="黑体"/>
          <w:sz w:val="32"/>
          <w:szCs w:val="32"/>
        </w:rPr>
        <w:t>、保障措施</w:t>
      </w:r>
      <w:bookmarkEnd w:id="12"/>
    </w:p>
    <w:p w14:paraId="54E28B5E">
      <w:pPr>
        <w:pStyle w:val="4"/>
        <w:keepNext w:val="0"/>
        <w:keepLines w:val="0"/>
        <w:pageBreakBefore w:val="0"/>
        <w:kinsoku/>
        <w:wordWrap/>
        <w:overflowPunct/>
        <w:topLinePunct w:val="0"/>
        <w:autoSpaceDE w:val="0"/>
        <w:autoSpaceDN w:val="0"/>
        <w:bidi w:val="0"/>
        <w:snapToGrid w:val="0"/>
        <w:spacing w:line="560" w:lineRule="exact"/>
        <w:ind w:left="0" w:firstLine="624" w:firstLineChars="200"/>
        <w:textAlignment w:val="auto"/>
        <w:outlineLvl w:val="1"/>
        <w:rPr>
          <w:rFonts w:ascii="Times New Roman" w:hAnsi="Times New Roman" w:eastAsia="仿宋_GB2312"/>
          <w:color w:val="000000"/>
          <w:sz w:val="32"/>
          <w:szCs w:val="28"/>
          <w:shd w:val="clear" w:color="auto" w:fill="FFFFFF"/>
        </w:rPr>
      </w:pPr>
      <w:r>
        <w:rPr>
          <w:rFonts w:hint="eastAsia" w:ascii="Times New Roman" w:hAnsi="Times New Roman" w:eastAsia="楷体" w:cs="楷体"/>
          <w:kern w:val="2"/>
          <w:sz w:val="32"/>
          <w:szCs w:val="28"/>
          <w:lang w:val="en-US" w:eastAsia="zh-CN" w:bidi="ar-SA"/>
        </w:rPr>
        <w:t>（一）加强和完善政策保障机制。</w:t>
      </w:r>
      <w:r>
        <w:rPr>
          <w:rFonts w:ascii="Times New Roman" w:hAnsi="Times New Roman" w:eastAsia="仿宋_GB2312"/>
          <w:color w:val="000000"/>
          <w:sz w:val="32"/>
          <w:szCs w:val="28"/>
          <w:shd w:val="clear" w:color="auto" w:fill="FFFFFF"/>
        </w:rPr>
        <w:t>通过强化政府主导、部门协同、全社会共同参与的组织架构，推动各项工作顺利开展。要按照科学统筹、合理布局的原则，做好宏观管理、政策制定、资源整合分配、工作监督评估和协调跨部门联动；社会组织可在日常体育健身活动的培训、组织和体育赛事活动的承办等方面发挥作用，积极参与全民健身公共服务体系建设。</w:t>
      </w:r>
    </w:p>
    <w:p w14:paraId="48CB5A06">
      <w:pPr>
        <w:pStyle w:val="4"/>
        <w:keepNext w:val="0"/>
        <w:keepLines w:val="0"/>
        <w:pageBreakBefore w:val="0"/>
        <w:kinsoku/>
        <w:wordWrap/>
        <w:overflowPunct/>
        <w:topLinePunct w:val="0"/>
        <w:autoSpaceDE w:val="0"/>
        <w:autoSpaceDN w:val="0"/>
        <w:bidi w:val="0"/>
        <w:snapToGrid w:val="0"/>
        <w:spacing w:line="560" w:lineRule="exact"/>
        <w:ind w:left="0" w:firstLine="624" w:firstLineChars="200"/>
        <w:textAlignment w:val="auto"/>
        <w:outlineLvl w:val="1"/>
        <w:rPr>
          <w:rFonts w:ascii="Times New Roman" w:hAnsi="Times New Roman" w:eastAsia="仿宋_GB2312" w:cs="仿宋"/>
          <w:sz w:val="32"/>
          <w:szCs w:val="32"/>
        </w:rPr>
      </w:pPr>
      <w:r>
        <w:rPr>
          <w:rFonts w:hint="eastAsia" w:ascii="Times New Roman" w:hAnsi="Times New Roman" w:eastAsia="楷体" w:cs="楷体"/>
          <w:kern w:val="2"/>
          <w:sz w:val="32"/>
          <w:szCs w:val="28"/>
          <w:lang w:val="en-US" w:eastAsia="zh-CN" w:bidi="ar-SA"/>
        </w:rPr>
        <w:t>（二）加大资金投入力度。</w:t>
      </w:r>
      <w:r>
        <w:rPr>
          <w:rFonts w:hint="eastAsia" w:ascii="Times New Roman" w:hAnsi="Times New Roman" w:eastAsia="仿宋_GB2312" w:cs="仿宋"/>
          <w:sz w:val="32"/>
          <w:szCs w:val="32"/>
        </w:rPr>
        <w:t>统筹安排一般公共预算资金和政府性基金用于全民健身事业。严格执行体育彩票公益金不低于70%的比例用于全民健身事业的国家规定，确保专款专用。财政转移支付和体彩公益金使用采取精准扶持办法，重点加大落后地区农村体育设施及全民健身重点项目建设投入。加大政府向社会力量购买服务力度，鼓励企事业单位、社会团体、个人向体育健身组织赞助和捐赠活动经费，形成多渠道、多元化投入机制。全民健身场地设施水、电、气价格不得高于一般工业标准，落实体育社会组织、全民健身赛事活动、场馆等税收政策优惠。</w:t>
      </w:r>
    </w:p>
    <w:p w14:paraId="653DDE0E">
      <w:pPr>
        <w:pStyle w:val="4"/>
        <w:keepNext w:val="0"/>
        <w:keepLines w:val="0"/>
        <w:pageBreakBefore w:val="0"/>
        <w:kinsoku/>
        <w:wordWrap/>
        <w:overflowPunct/>
        <w:topLinePunct w:val="0"/>
        <w:autoSpaceDE w:val="0"/>
        <w:autoSpaceDN w:val="0"/>
        <w:bidi w:val="0"/>
        <w:snapToGrid w:val="0"/>
        <w:spacing w:line="560" w:lineRule="exact"/>
        <w:ind w:left="0" w:firstLine="624" w:firstLineChars="200"/>
        <w:textAlignment w:val="auto"/>
        <w:outlineLvl w:val="1"/>
        <w:rPr>
          <w:rFonts w:hint="eastAsia" w:ascii="Times New Roman" w:hAnsi="Times New Roman" w:cs="仿宋"/>
        </w:rPr>
      </w:pPr>
      <w:r>
        <w:rPr>
          <w:rFonts w:hint="eastAsia" w:ascii="Times New Roman" w:hAnsi="Times New Roman" w:eastAsia="楷体" w:cs="楷体"/>
          <w:kern w:val="2"/>
          <w:sz w:val="32"/>
          <w:szCs w:val="28"/>
          <w:lang w:val="en-US" w:eastAsia="zh-CN" w:bidi="ar-SA"/>
        </w:rPr>
        <w:t>（三）完善人才队伍建设。</w:t>
      </w:r>
      <w:r>
        <w:rPr>
          <w:rFonts w:hint="eastAsia" w:ascii="Times New Roman" w:hAnsi="Times New Roman" w:cs="仿宋"/>
        </w:rPr>
        <w:t>建立健全</w:t>
      </w:r>
      <w:r>
        <w:rPr>
          <w:rFonts w:hint="eastAsia" w:ascii="Times New Roman" w:hAnsi="Times New Roman" w:cs="仿宋"/>
          <w:lang w:val="en-US" w:eastAsia="zh-CN"/>
        </w:rPr>
        <w:t>体育</w:t>
      </w:r>
      <w:r>
        <w:rPr>
          <w:rFonts w:hint="eastAsia" w:ascii="Times New Roman" w:hAnsi="Times New Roman" w:cs="仿宋"/>
        </w:rPr>
        <w:t>人才发展体制机制，</w:t>
      </w:r>
      <w:r>
        <w:rPr>
          <w:rFonts w:hint="eastAsia" w:ascii="Times New Roman" w:hAnsi="Times New Roman" w:cs="仿宋"/>
          <w:lang w:val="en-US"/>
        </w:rPr>
        <w:t>吸纳高水平退休教练员、退役运动员、高校教师融入</w:t>
      </w:r>
      <w:r>
        <w:rPr>
          <w:rFonts w:hint="eastAsia" w:ascii="Times New Roman" w:hAnsi="Times New Roman" w:cs="仿宋"/>
          <w:lang w:val="en-US" w:eastAsia="zh-CN"/>
        </w:rPr>
        <w:t>体育</w:t>
      </w:r>
      <w:r>
        <w:rPr>
          <w:rFonts w:hint="eastAsia" w:ascii="Times New Roman" w:hAnsi="Times New Roman" w:cs="仿宋"/>
        </w:rPr>
        <w:t>人才队伍，</w:t>
      </w:r>
      <w:r>
        <w:rPr>
          <w:rFonts w:hint="eastAsia" w:ascii="Times New Roman" w:hAnsi="Times New Roman" w:cs="仿宋"/>
          <w:lang w:val="en-US"/>
        </w:rPr>
        <w:t>不断</w:t>
      </w:r>
      <w:r>
        <w:rPr>
          <w:rFonts w:hint="eastAsia" w:ascii="Times New Roman" w:hAnsi="Times New Roman" w:cs="仿宋"/>
        </w:rPr>
        <w:t>优化队伍结构，提升人才质量。建立以区优秀运动队为重点、校园足球为基础，社会机构（含职业足球俱乐部）为补充的足球青训人才协同发展模式。通过出台人才选拔标准、完善青训管理办法、制定青训扶持政策，设置青训专项资金的方式，规范足球青训人才培养管理。</w:t>
      </w:r>
    </w:p>
    <w:p w14:paraId="1088A2ED">
      <w:pPr>
        <w:pStyle w:val="4"/>
        <w:keepNext w:val="0"/>
        <w:keepLines w:val="0"/>
        <w:pageBreakBefore w:val="0"/>
        <w:kinsoku/>
        <w:wordWrap/>
        <w:overflowPunct/>
        <w:topLinePunct w:val="0"/>
        <w:autoSpaceDE w:val="0"/>
        <w:autoSpaceDN w:val="0"/>
        <w:bidi w:val="0"/>
        <w:snapToGrid w:val="0"/>
        <w:spacing w:line="560" w:lineRule="exact"/>
        <w:ind w:left="0" w:firstLine="624" w:firstLineChars="200"/>
        <w:textAlignment w:val="auto"/>
        <w:outlineLvl w:val="1"/>
        <w:rPr>
          <w:rFonts w:ascii="Times New Roman" w:hAnsi="Times New Roman" w:eastAsia="仿宋_GB2312"/>
          <w:sz w:val="32"/>
          <w:szCs w:val="28"/>
        </w:rPr>
      </w:pPr>
      <w:r>
        <w:rPr>
          <w:rFonts w:hint="eastAsia" w:ascii="Times New Roman" w:hAnsi="Times New Roman" w:eastAsia="楷体" w:cs="楷体"/>
          <w:kern w:val="2"/>
          <w:sz w:val="32"/>
          <w:szCs w:val="28"/>
          <w:lang w:val="en-US" w:eastAsia="zh-CN" w:bidi="ar-SA"/>
        </w:rPr>
        <w:t>（四）完善信息化制度建设。</w:t>
      </w:r>
      <w:r>
        <w:rPr>
          <w:rFonts w:hint="eastAsia" w:ascii="Times New Roman" w:hAnsi="Times New Roman" w:eastAsia="仿宋_GB2312"/>
          <w:sz w:val="32"/>
          <w:szCs w:val="28"/>
        </w:rPr>
        <w:t>加快推进</w:t>
      </w:r>
      <w:r>
        <w:rPr>
          <w:rFonts w:hint="eastAsia" w:ascii="Times New Roman" w:hAnsi="Times New Roman"/>
          <w:sz w:val="32"/>
          <w:szCs w:val="28"/>
          <w:lang w:val="en-US" w:eastAsia="zh-CN"/>
        </w:rPr>
        <w:t>全区体育</w:t>
      </w:r>
      <w:r>
        <w:rPr>
          <w:rFonts w:hint="eastAsia" w:ascii="Times New Roman" w:hAnsi="Times New Roman" w:eastAsia="仿宋_GB2312"/>
          <w:sz w:val="32"/>
          <w:szCs w:val="28"/>
        </w:rPr>
        <w:t>公共信息服务网络建设</w:t>
      </w:r>
      <w:r>
        <w:rPr>
          <w:rFonts w:hint="eastAsia" w:ascii="Times New Roman" w:hAnsi="Times New Roman"/>
          <w:sz w:val="32"/>
          <w:szCs w:val="28"/>
          <w:lang w:eastAsia="zh-CN"/>
        </w:rPr>
        <w:t>，</w:t>
      </w:r>
      <w:r>
        <w:rPr>
          <w:rFonts w:hint="eastAsia" w:ascii="Times New Roman" w:hAnsi="Times New Roman" w:eastAsia="仿宋_GB2312"/>
          <w:sz w:val="32"/>
          <w:szCs w:val="28"/>
        </w:rPr>
        <w:t>建立和完善</w:t>
      </w:r>
      <w:r>
        <w:rPr>
          <w:rFonts w:hint="eastAsia" w:ascii="Times New Roman" w:hAnsi="Times New Roman"/>
          <w:sz w:val="32"/>
          <w:szCs w:val="28"/>
          <w:lang w:val="en-US" w:eastAsia="zh-CN"/>
        </w:rPr>
        <w:t>体育健身</w:t>
      </w:r>
      <w:r>
        <w:rPr>
          <w:rFonts w:hint="eastAsia" w:ascii="Times New Roman" w:hAnsi="Times New Roman" w:eastAsia="仿宋_GB2312"/>
          <w:sz w:val="32"/>
          <w:szCs w:val="28"/>
        </w:rPr>
        <w:t>基础数据统计体系，为城乡居民提供便捷、高效、精准的健身资讯服务，利用大数据技术及时分析经常参加体育健身人数、体育设施利用率，进行运动健身效果综合评价，提高全民健身指导水平和</w:t>
      </w:r>
      <w:r>
        <w:rPr>
          <w:rFonts w:hint="eastAsia" w:ascii="Times New Roman" w:hAnsi="Times New Roman"/>
          <w:sz w:val="32"/>
          <w:szCs w:val="28"/>
          <w:lang w:val="en-US" w:eastAsia="zh-CN"/>
        </w:rPr>
        <w:t>体育</w:t>
      </w:r>
      <w:r>
        <w:rPr>
          <w:rFonts w:hint="eastAsia" w:ascii="Times New Roman" w:hAnsi="Times New Roman" w:eastAsia="仿宋_GB2312"/>
          <w:sz w:val="32"/>
          <w:szCs w:val="28"/>
        </w:rPr>
        <w:t>设施监管效率。积极推广体育健身新项目、新方法，提高</w:t>
      </w:r>
      <w:r>
        <w:rPr>
          <w:rFonts w:hint="eastAsia" w:ascii="Times New Roman" w:hAnsi="Times New Roman"/>
          <w:sz w:val="32"/>
          <w:szCs w:val="28"/>
          <w:lang w:val="en-US" w:eastAsia="zh-CN"/>
        </w:rPr>
        <w:t>体育事业发展</w:t>
      </w:r>
      <w:r>
        <w:rPr>
          <w:rFonts w:hint="eastAsia" w:ascii="Times New Roman" w:hAnsi="Times New Roman" w:eastAsia="仿宋_GB2312"/>
          <w:sz w:val="32"/>
          <w:szCs w:val="28"/>
        </w:rPr>
        <w:t>科学化水平。</w:t>
      </w:r>
    </w:p>
    <w:p w14:paraId="1F930157">
      <w:pPr>
        <w:keepNext w:val="0"/>
        <w:keepLines w:val="0"/>
        <w:pageBreakBefore w:val="0"/>
        <w:kinsoku/>
        <w:wordWrap/>
        <w:overflowPunct/>
        <w:topLinePunct w:val="0"/>
        <w:bidi w:val="0"/>
        <w:adjustRightInd w:val="0"/>
        <w:snapToGrid w:val="0"/>
        <w:spacing w:line="560" w:lineRule="exact"/>
        <w:ind w:firstLine="624" w:firstLineChars="200"/>
        <w:textAlignment w:val="auto"/>
        <w:outlineLvl w:val="0"/>
        <w:rPr>
          <w:rFonts w:ascii="Times New Roman" w:hAnsi="Times New Roman" w:eastAsia="黑体" w:cs="黑体"/>
          <w:sz w:val="32"/>
          <w:szCs w:val="32"/>
        </w:rPr>
      </w:pPr>
      <w:bookmarkStart w:id="13" w:name="_Toc5197"/>
      <w:r>
        <w:rPr>
          <w:rFonts w:hint="eastAsia" w:ascii="Times New Roman" w:hAnsi="Times New Roman" w:eastAsia="黑体" w:cs="黑体"/>
          <w:sz w:val="32"/>
          <w:szCs w:val="32"/>
          <w:lang w:eastAsia="zh-CN"/>
        </w:rPr>
        <w:t>五</w:t>
      </w:r>
      <w:r>
        <w:rPr>
          <w:rFonts w:hint="eastAsia" w:ascii="Times New Roman" w:hAnsi="Times New Roman" w:eastAsia="黑体" w:cs="黑体"/>
          <w:sz w:val="32"/>
          <w:szCs w:val="32"/>
        </w:rPr>
        <w:t>、组织实施</w:t>
      </w:r>
      <w:bookmarkEnd w:id="13"/>
    </w:p>
    <w:p w14:paraId="39430EDA">
      <w:pPr>
        <w:pStyle w:val="4"/>
        <w:keepNext w:val="0"/>
        <w:keepLines w:val="0"/>
        <w:pageBreakBefore w:val="0"/>
        <w:kinsoku/>
        <w:wordWrap/>
        <w:overflowPunct/>
        <w:topLinePunct w:val="0"/>
        <w:autoSpaceDE w:val="0"/>
        <w:autoSpaceDN w:val="0"/>
        <w:bidi w:val="0"/>
        <w:snapToGrid w:val="0"/>
        <w:spacing w:line="560" w:lineRule="exact"/>
        <w:ind w:left="0" w:firstLine="624" w:firstLineChars="200"/>
        <w:textAlignment w:val="auto"/>
        <w:outlineLvl w:val="1"/>
        <w:rPr>
          <w:rFonts w:ascii="Times New Roman" w:hAnsi="Times New Roman" w:eastAsia="仿宋_GB2312" w:cs="仿宋"/>
          <w:sz w:val="32"/>
          <w:szCs w:val="32"/>
        </w:rPr>
      </w:pPr>
      <w:r>
        <w:rPr>
          <w:rFonts w:hint="eastAsia" w:ascii="Times New Roman" w:hAnsi="Times New Roman" w:eastAsia="楷体" w:cs="楷体"/>
          <w:kern w:val="2"/>
          <w:sz w:val="32"/>
          <w:szCs w:val="28"/>
          <w:lang w:val="en-US" w:eastAsia="zh-CN" w:bidi="ar-SA"/>
        </w:rPr>
        <w:t>（一）加强组织领导。</w:t>
      </w:r>
      <w:r>
        <w:rPr>
          <w:rFonts w:hint="eastAsia" w:ascii="Times New Roman" w:hAnsi="Times New Roman" w:eastAsia="仿宋_GB2312" w:cs="仿宋"/>
          <w:sz w:val="32"/>
          <w:szCs w:val="32"/>
        </w:rPr>
        <w:t>强化统筹协调、部门协同、上下联动、社会动员，明确责任分工，细化目标任务和政策措施，确保实施计划目标和任务如期完成。区体育行政部门负责本地区计划的组织实施，明确部门职责，分解目标任务，针对短板弱项，细化配套政策措施，确保实施计划落到实处。</w:t>
      </w:r>
    </w:p>
    <w:p w14:paraId="6DF3D4FA">
      <w:pPr>
        <w:pStyle w:val="4"/>
        <w:keepNext w:val="0"/>
        <w:keepLines w:val="0"/>
        <w:pageBreakBefore w:val="0"/>
        <w:kinsoku/>
        <w:wordWrap/>
        <w:overflowPunct/>
        <w:topLinePunct w:val="0"/>
        <w:autoSpaceDE w:val="0"/>
        <w:autoSpaceDN w:val="0"/>
        <w:bidi w:val="0"/>
        <w:snapToGrid w:val="0"/>
        <w:spacing w:line="560" w:lineRule="exact"/>
        <w:ind w:left="0" w:firstLine="624" w:firstLineChars="200"/>
        <w:textAlignment w:val="auto"/>
        <w:outlineLvl w:val="1"/>
        <w:rPr>
          <w:rFonts w:ascii="Times New Roman" w:hAnsi="Times New Roman" w:eastAsia="仿宋_GB2312" w:cs="仿宋"/>
          <w:sz w:val="32"/>
          <w:szCs w:val="32"/>
        </w:rPr>
      </w:pPr>
      <w:r>
        <w:rPr>
          <w:rFonts w:hint="eastAsia" w:ascii="Times New Roman" w:hAnsi="Times New Roman" w:eastAsia="楷体" w:cs="楷体"/>
          <w:kern w:val="2"/>
          <w:sz w:val="32"/>
          <w:szCs w:val="28"/>
          <w:lang w:val="en-US" w:eastAsia="zh-CN" w:bidi="ar-SA"/>
        </w:rPr>
        <w:t>（二）实施监督评估。</w:t>
      </w:r>
      <w:r>
        <w:rPr>
          <w:rFonts w:hint="eastAsia" w:ascii="Times New Roman" w:hAnsi="Times New Roman" w:eastAsia="仿宋_GB2312" w:cs="仿宋"/>
          <w:sz w:val="32"/>
          <w:szCs w:val="32"/>
        </w:rPr>
        <w:t>区人民政府体育主管部门要会同有关部门，建立健全适应新发展阶段要求的实施计划监管考评指标体系，加强事前、事中、事后监督，定期对镇（街道办）</w:t>
      </w:r>
      <w:r>
        <w:rPr>
          <w:rFonts w:hint="eastAsia" w:ascii="Times New Roman" w:hAnsi="Times New Roman" w:cs="仿宋"/>
          <w:sz w:val="32"/>
          <w:szCs w:val="32"/>
          <w:lang w:val="en-US" w:eastAsia="zh-CN"/>
        </w:rPr>
        <w:t>体育</w:t>
      </w:r>
      <w:r>
        <w:rPr>
          <w:rFonts w:hint="eastAsia" w:ascii="Times New Roman" w:hAnsi="Times New Roman" w:eastAsia="仿宋_GB2312" w:cs="仿宋"/>
          <w:sz w:val="32"/>
          <w:szCs w:val="32"/>
        </w:rPr>
        <w:t>工作进行检查评估，发挥媒体等社会力量的监督作用。建立健全动态调整机制，跟踪分析规划实施情况，为调整目标任务和制定政策措施提供依据，确保规划目标任务如期完成。</w:t>
      </w:r>
    </w:p>
    <w:p w14:paraId="32AADBF8">
      <w:pPr>
        <w:pStyle w:val="4"/>
        <w:keepNext w:val="0"/>
        <w:keepLines w:val="0"/>
        <w:pageBreakBefore w:val="0"/>
        <w:kinsoku/>
        <w:wordWrap/>
        <w:overflowPunct/>
        <w:topLinePunct w:val="0"/>
        <w:autoSpaceDE w:val="0"/>
        <w:autoSpaceDN w:val="0"/>
        <w:bidi w:val="0"/>
        <w:snapToGrid w:val="0"/>
        <w:spacing w:line="560" w:lineRule="exact"/>
        <w:ind w:left="0" w:firstLine="624" w:firstLineChars="200"/>
        <w:textAlignment w:val="auto"/>
        <w:outlineLvl w:val="1"/>
        <w:rPr>
          <w:rFonts w:hint="eastAsia" w:ascii="Times New Roman" w:hAnsi="Times New Roman" w:eastAsia="仿宋_GB2312" w:cs="仿宋"/>
          <w:sz w:val="32"/>
          <w:szCs w:val="32"/>
        </w:rPr>
      </w:pPr>
      <w:r>
        <w:rPr>
          <w:rFonts w:hint="eastAsia" w:ascii="Times New Roman" w:hAnsi="Times New Roman" w:eastAsia="楷体" w:cs="楷体"/>
          <w:kern w:val="2"/>
          <w:sz w:val="32"/>
          <w:szCs w:val="28"/>
          <w:lang w:val="en-US" w:eastAsia="zh-CN" w:bidi="ar-SA"/>
        </w:rPr>
        <w:t>（三）加强宣传引导。</w:t>
      </w:r>
      <w:r>
        <w:rPr>
          <w:rFonts w:hint="eastAsia" w:ascii="Times New Roman" w:hAnsi="Times New Roman" w:eastAsia="仿宋_GB2312" w:cs="仿宋"/>
          <w:sz w:val="32"/>
          <w:szCs w:val="32"/>
        </w:rPr>
        <w:t>线上线下齐动员，大力宣传普及政策法规、科学健身知识方法等，鼓励电视台、出版社、电台等媒体和社会力量参与全民健身公益宣传。充分发挥“足球之乡”的品牌效应，大力宣传</w:t>
      </w:r>
      <w:r>
        <w:rPr>
          <w:rFonts w:hint="eastAsia" w:ascii="Times New Roman" w:hAnsi="Times New Roman" w:cs="仿宋"/>
          <w:sz w:val="32"/>
          <w:szCs w:val="32"/>
          <w:lang w:val="en-US" w:eastAsia="zh-CN"/>
        </w:rPr>
        <w:t>体育</w:t>
      </w:r>
      <w:r>
        <w:rPr>
          <w:rFonts w:hint="eastAsia" w:ascii="Times New Roman" w:hAnsi="Times New Roman" w:eastAsia="仿宋_GB2312" w:cs="仿宋"/>
          <w:sz w:val="32"/>
          <w:szCs w:val="32"/>
        </w:rPr>
        <w:t>事业发展中涌现的典型案例、先进经验、先进人物，弘扬梅州足球体育精神，传播岭南客家体育文化，培育社会主义核心价值观。</w:t>
      </w:r>
    </w:p>
    <w:p w14:paraId="23006458">
      <w:pPr>
        <w:rPr>
          <w:rFonts w:hint="eastAsia"/>
        </w:rPr>
      </w:pPr>
      <w:r>
        <w:rPr>
          <w:rFonts w:hint="eastAsia"/>
        </w:rPr>
        <w:br w:type="page"/>
      </w:r>
    </w:p>
    <w:p w14:paraId="2FBFC1E1">
      <w:pPr>
        <w:pStyle w:val="4"/>
        <w:keepNext w:val="0"/>
        <w:keepLines w:val="0"/>
        <w:pageBreakBefore w:val="0"/>
        <w:kinsoku/>
        <w:wordWrap/>
        <w:overflowPunct/>
        <w:topLinePunct w:val="0"/>
        <w:bidi w:val="0"/>
        <w:spacing w:line="560" w:lineRule="exact"/>
        <w:ind w:left="0" w:leftChars="0" w:firstLine="0" w:firstLineChars="0"/>
        <w:textAlignment w:val="auto"/>
        <w:rPr>
          <w:rFonts w:hint="eastAsia"/>
        </w:rPr>
      </w:pPr>
    </w:p>
    <w:p w14:paraId="364D8F50">
      <w:pPr>
        <w:pStyle w:val="4"/>
        <w:keepNext w:val="0"/>
        <w:keepLines w:val="0"/>
        <w:pageBreakBefore w:val="0"/>
        <w:kinsoku/>
        <w:wordWrap/>
        <w:overflowPunct/>
        <w:topLinePunct w:val="0"/>
        <w:bidi w:val="0"/>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“十</w:t>
      </w:r>
      <w:r>
        <w:rPr>
          <w:rFonts w:hint="eastAsia" w:ascii="方正小标宋简体" w:hAnsi="方正小标宋简体" w:eastAsia="方正小标宋简体" w:cs="方正小标宋简体"/>
          <w:sz w:val="44"/>
          <w:szCs w:val="44"/>
          <w:lang w:val="en-US" w:eastAsia="zh-CN"/>
        </w:rPr>
        <w:t>五</w:t>
      </w:r>
      <w:r>
        <w:rPr>
          <w:rFonts w:hint="eastAsia" w:ascii="方正小标宋简体" w:hAnsi="方正小标宋简体" w:eastAsia="方正小标宋简体" w:cs="方正小标宋简体"/>
          <w:sz w:val="44"/>
          <w:szCs w:val="44"/>
        </w:rPr>
        <w:t>五”体育发展主要指标</w:t>
      </w:r>
    </w:p>
    <w:p w14:paraId="31D6B59A">
      <w:pPr>
        <w:pStyle w:val="4"/>
        <w:keepNext w:val="0"/>
        <w:keepLines w:val="0"/>
        <w:pageBreakBefore w:val="0"/>
        <w:kinsoku/>
        <w:wordWrap/>
        <w:overflowPunct/>
        <w:topLinePunct w:val="0"/>
        <w:bidi w:val="0"/>
        <w:spacing w:line="560" w:lineRule="exact"/>
        <w:jc w:val="center"/>
        <w:textAlignment w:val="auto"/>
        <w:rPr>
          <w:rFonts w:hint="eastAsia" w:ascii="方正小标宋简体" w:hAnsi="方正小标宋简体" w:eastAsia="方正小标宋简体" w:cs="方正小标宋简体"/>
          <w:sz w:val="44"/>
          <w:szCs w:val="44"/>
        </w:rPr>
      </w:pPr>
    </w:p>
    <w:tbl>
      <w:tblPr>
        <w:tblStyle w:val="18"/>
        <w:tblW w:w="93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4"/>
        <w:gridCol w:w="1017"/>
        <w:gridCol w:w="4976"/>
        <w:gridCol w:w="1275"/>
        <w:gridCol w:w="1185"/>
      </w:tblGrid>
      <w:tr w14:paraId="29A46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904" w:type="dxa"/>
          </w:tcPr>
          <w:p w14:paraId="0C0E038C">
            <w:pPr>
              <w:pStyle w:val="17"/>
              <w:keepNext w:val="0"/>
              <w:keepLines w:val="0"/>
              <w:pageBreakBefore w:val="0"/>
              <w:kinsoku/>
              <w:wordWrap/>
              <w:overflowPunct/>
              <w:topLinePunct w:val="0"/>
              <w:bidi w:val="0"/>
              <w:spacing w:line="560" w:lineRule="exact"/>
              <w:textAlignment w:val="auto"/>
            </w:pPr>
            <w:r>
              <w:rPr>
                <w:rFonts w:hint="eastAsia"/>
              </w:rPr>
              <w:t>类别</w:t>
            </w:r>
          </w:p>
        </w:tc>
        <w:tc>
          <w:tcPr>
            <w:tcW w:w="1017" w:type="dxa"/>
          </w:tcPr>
          <w:p w14:paraId="7C6CA9A2">
            <w:pPr>
              <w:pStyle w:val="17"/>
              <w:keepNext w:val="0"/>
              <w:keepLines w:val="0"/>
              <w:pageBreakBefore w:val="0"/>
              <w:kinsoku/>
              <w:wordWrap/>
              <w:overflowPunct/>
              <w:topLinePunct w:val="0"/>
              <w:bidi w:val="0"/>
              <w:spacing w:line="560" w:lineRule="exact"/>
              <w:textAlignment w:val="auto"/>
            </w:pPr>
            <w:r>
              <w:rPr>
                <w:rFonts w:hint="eastAsia"/>
              </w:rPr>
              <w:t>序号</w:t>
            </w:r>
          </w:p>
        </w:tc>
        <w:tc>
          <w:tcPr>
            <w:tcW w:w="4976" w:type="dxa"/>
            <w:vAlign w:val="center"/>
          </w:tcPr>
          <w:p w14:paraId="1B6B914A">
            <w:pPr>
              <w:pStyle w:val="17"/>
              <w:keepNext w:val="0"/>
              <w:keepLines w:val="0"/>
              <w:pageBreakBefore w:val="0"/>
              <w:kinsoku/>
              <w:wordWrap/>
              <w:overflowPunct/>
              <w:topLinePunct w:val="0"/>
              <w:bidi w:val="0"/>
              <w:spacing w:line="560" w:lineRule="exact"/>
              <w:jc w:val="center"/>
              <w:textAlignment w:val="auto"/>
            </w:pPr>
            <w:r>
              <w:rPr>
                <w:rFonts w:hint="eastAsia"/>
              </w:rPr>
              <w:t>指标名称</w:t>
            </w:r>
          </w:p>
        </w:tc>
        <w:tc>
          <w:tcPr>
            <w:tcW w:w="1275" w:type="dxa"/>
            <w:vAlign w:val="center"/>
          </w:tcPr>
          <w:p w14:paraId="00AF7044">
            <w:pPr>
              <w:pStyle w:val="17"/>
              <w:keepNext w:val="0"/>
              <w:keepLines w:val="0"/>
              <w:pageBreakBefore w:val="0"/>
              <w:kinsoku/>
              <w:wordWrap/>
              <w:overflowPunct/>
              <w:topLinePunct w:val="0"/>
              <w:bidi w:val="0"/>
              <w:spacing w:line="560" w:lineRule="exact"/>
              <w:jc w:val="center"/>
              <w:textAlignment w:val="auto"/>
            </w:pPr>
            <w:r>
              <w:rPr>
                <w:rFonts w:hint="eastAsia"/>
              </w:rPr>
              <w:t>属性</w:t>
            </w:r>
          </w:p>
        </w:tc>
        <w:tc>
          <w:tcPr>
            <w:tcW w:w="1185" w:type="dxa"/>
            <w:vAlign w:val="center"/>
          </w:tcPr>
          <w:p w14:paraId="77826827">
            <w:pPr>
              <w:pStyle w:val="17"/>
              <w:keepNext w:val="0"/>
              <w:keepLines w:val="0"/>
              <w:pageBreakBefore w:val="0"/>
              <w:kinsoku/>
              <w:wordWrap/>
              <w:overflowPunct/>
              <w:topLinePunct w:val="0"/>
              <w:bidi w:val="0"/>
              <w:spacing w:line="560" w:lineRule="exact"/>
              <w:jc w:val="center"/>
              <w:textAlignment w:val="auto"/>
            </w:pPr>
            <w:r>
              <w:rPr>
                <w:rFonts w:hint="eastAsia"/>
              </w:rPr>
              <w:t>指标数</w:t>
            </w:r>
          </w:p>
        </w:tc>
      </w:tr>
      <w:tr w14:paraId="724B6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904" w:type="dxa"/>
            <w:vMerge w:val="restart"/>
            <w:vAlign w:val="center"/>
          </w:tcPr>
          <w:p w14:paraId="00C4074B">
            <w:pPr>
              <w:pStyle w:val="17"/>
              <w:keepNext w:val="0"/>
              <w:keepLines w:val="0"/>
              <w:pageBreakBefore w:val="0"/>
              <w:kinsoku/>
              <w:wordWrap/>
              <w:overflowPunct/>
              <w:topLinePunct w:val="0"/>
              <w:bidi w:val="0"/>
              <w:spacing w:line="560" w:lineRule="exact"/>
              <w:jc w:val="center"/>
              <w:textAlignment w:val="auto"/>
            </w:pPr>
            <w:r>
              <w:rPr>
                <w:rFonts w:hint="eastAsia"/>
                <w:lang w:eastAsia="zh-CN"/>
              </w:rPr>
              <w:t>群众</w:t>
            </w:r>
            <w:r>
              <w:rPr>
                <w:rFonts w:hint="eastAsia"/>
              </w:rPr>
              <w:t>体育</w:t>
            </w:r>
          </w:p>
        </w:tc>
        <w:tc>
          <w:tcPr>
            <w:tcW w:w="1017" w:type="dxa"/>
            <w:vAlign w:val="center"/>
          </w:tcPr>
          <w:p w14:paraId="0EE5DE73">
            <w:pPr>
              <w:pStyle w:val="17"/>
              <w:keepNext w:val="0"/>
              <w:keepLines w:val="0"/>
              <w:pageBreakBefore w:val="0"/>
              <w:kinsoku/>
              <w:wordWrap/>
              <w:overflowPunct/>
              <w:topLinePunct w:val="0"/>
              <w:bidi w:val="0"/>
              <w:spacing w:line="560" w:lineRule="exact"/>
              <w:jc w:val="center"/>
              <w:textAlignment w:val="auto"/>
            </w:pPr>
            <w:r>
              <w:t>1</w:t>
            </w:r>
          </w:p>
        </w:tc>
        <w:tc>
          <w:tcPr>
            <w:tcW w:w="4976" w:type="dxa"/>
            <w:vAlign w:val="center"/>
          </w:tcPr>
          <w:p w14:paraId="61282CBB">
            <w:pPr>
              <w:pStyle w:val="17"/>
              <w:keepNext w:val="0"/>
              <w:keepLines w:val="0"/>
              <w:pageBreakBefore w:val="0"/>
              <w:kinsoku/>
              <w:wordWrap/>
              <w:overflowPunct/>
              <w:topLinePunct w:val="0"/>
              <w:bidi w:val="0"/>
              <w:spacing w:line="560" w:lineRule="exact"/>
              <w:jc w:val="center"/>
              <w:textAlignment w:val="auto"/>
            </w:pPr>
            <w:r>
              <w:rPr>
                <w:rFonts w:hint="eastAsia"/>
              </w:rPr>
              <w:t>人均体育场地面积（平方米）</w:t>
            </w:r>
          </w:p>
        </w:tc>
        <w:tc>
          <w:tcPr>
            <w:tcW w:w="1275" w:type="dxa"/>
            <w:vAlign w:val="center"/>
          </w:tcPr>
          <w:p w14:paraId="5E867163">
            <w:pPr>
              <w:pStyle w:val="17"/>
              <w:keepNext w:val="0"/>
              <w:keepLines w:val="0"/>
              <w:pageBreakBefore w:val="0"/>
              <w:kinsoku/>
              <w:wordWrap/>
              <w:overflowPunct/>
              <w:topLinePunct w:val="0"/>
              <w:bidi w:val="0"/>
              <w:spacing w:line="560" w:lineRule="exact"/>
              <w:jc w:val="center"/>
              <w:textAlignment w:val="auto"/>
            </w:pPr>
            <w:r>
              <w:rPr>
                <w:rFonts w:hint="eastAsia"/>
              </w:rPr>
              <w:t>预期性</w:t>
            </w:r>
          </w:p>
        </w:tc>
        <w:tc>
          <w:tcPr>
            <w:tcW w:w="1185" w:type="dxa"/>
            <w:vAlign w:val="center"/>
          </w:tcPr>
          <w:p w14:paraId="2EF860D4">
            <w:pPr>
              <w:pStyle w:val="17"/>
              <w:keepNext w:val="0"/>
              <w:keepLines w:val="0"/>
              <w:pageBreakBefore w:val="0"/>
              <w:kinsoku/>
              <w:wordWrap/>
              <w:overflowPunct/>
              <w:topLinePunct w:val="0"/>
              <w:bidi w:val="0"/>
              <w:spacing w:line="560" w:lineRule="exact"/>
              <w:jc w:val="center"/>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4.0</w:t>
            </w:r>
          </w:p>
        </w:tc>
      </w:tr>
      <w:tr w14:paraId="6B23F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4" w:type="dxa"/>
            <w:vMerge w:val="continue"/>
          </w:tcPr>
          <w:p w14:paraId="62A3A0D4">
            <w:pPr>
              <w:keepNext w:val="0"/>
              <w:keepLines w:val="0"/>
              <w:pageBreakBefore w:val="0"/>
              <w:kinsoku/>
              <w:wordWrap/>
              <w:overflowPunct/>
              <w:topLinePunct w:val="0"/>
              <w:bidi w:val="0"/>
              <w:spacing w:line="560" w:lineRule="exact"/>
              <w:textAlignment w:val="auto"/>
            </w:pPr>
          </w:p>
        </w:tc>
        <w:tc>
          <w:tcPr>
            <w:tcW w:w="1017" w:type="dxa"/>
            <w:vAlign w:val="center"/>
          </w:tcPr>
          <w:p w14:paraId="31501361">
            <w:pPr>
              <w:pStyle w:val="17"/>
              <w:keepNext w:val="0"/>
              <w:keepLines w:val="0"/>
              <w:pageBreakBefore w:val="0"/>
              <w:kinsoku/>
              <w:wordWrap/>
              <w:overflowPunct/>
              <w:topLinePunct w:val="0"/>
              <w:bidi w:val="0"/>
              <w:spacing w:line="560" w:lineRule="exact"/>
              <w:jc w:val="center"/>
              <w:textAlignment w:val="auto"/>
            </w:pPr>
            <w:r>
              <w:t>2</w:t>
            </w:r>
          </w:p>
        </w:tc>
        <w:tc>
          <w:tcPr>
            <w:tcW w:w="4976" w:type="dxa"/>
            <w:vAlign w:val="center"/>
          </w:tcPr>
          <w:p w14:paraId="1DD06FB9">
            <w:pPr>
              <w:pStyle w:val="17"/>
              <w:keepNext w:val="0"/>
              <w:keepLines w:val="0"/>
              <w:pageBreakBefore w:val="0"/>
              <w:kinsoku/>
              <w:wordWrap/>
              <w:overflowPunct/>
              <w:topLinePunct w:val="0"/>
              <w:bidi w:val="0"/>
              <w:spacing w:line="560" w:lineRule="exact"/>
              <w:jc w:val="center"/>
              <w:textAlignment w:val="auto"/>
            </w:pPr>
            <w:r>
              <w:rPr>
                <w:rFonts w:hint="eastAsia"/>
              </w:rPr>
              <w:t>经常参加体育锻炼的人数比例（%）</w:t>
            </w:r>
          </w:p>
        </w:tc>
        <w:tc>
          <w:tcPr>
            <w:tcW w:w="1275" w:type="dxa"/>
            <w:vAlign w:val="center"/>
          </w:tcPr>
          <w:p w14:paraId="6E9515E0">
            <w:pPr>
              <w:pStyle w:val="17"/>
              <w:keepNext w:val="0"/>
              <w:keepLines w:val="0"/>
              <w:pageBreakBefore w:val="0"/>
              <w:kinsoku/>
              <w:wordWrap/>
              <w:overflowPunct/>
              <w:topLinePunct w:val="0"/>
              <w:bidi w:val="0"/>
              <w:spacing w:line="560" w:lineRule="exact"/>
              <w:jc w:val="center"/>
              <w:textAlignment w:val="auto"/>
            </w:pPr>
            <w:r>
              <w:rPr>
                <w:rFonts w:hint="eastAsia"/>
              </w:rPr>
              <w:t>预期性</w:t>
            </w:r>
          </w:p>
        </w:tc>
        <w:tc>
          <w:tcPr>
            <w:tcW w:w="1185" w:type="dxa"/>
            <w:vAlign w:val="center"/>
          </w:tcPr>
          <w:p w14:paraId="26018C37">
            <w:pPr>
              <w:pStyle w:val="17"/>
              <w:keepNext w:val="0"/>
              <w:keepLines w:val="0"/>
              <w:pageBreakBefore w:val="0"/>
              <w:kinsoku/>
              <w:wordWrap/>
              <w:overflowPunct/>
              <w:topLinePunct w:val="0"/>
              <w:bidi w:val="0"/>
              <w:spacing w:line="560" w:lineRule="exact"/>
              <w:jc w:val="center"/>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45</w:t>
            </w:r>
          </w:p>
        </w:tc>
      </w:tr>
      <w:tr w14:paraId="13005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4" w:type="dxa"/>
            <w:vMerge w:val="continue"/>
          </w:tcPr>
          <w:p w14:paraId="21883C70">
            <w:pPr>
              <w:keepNext w:val="0"/>
              <w:keepLines w:val="0"/>
              <w:pageBreakBefore w:val="0"/>
              <w:kinsoku/>
              <w:wordWrap/>
              <w:overflowPunct/>
              <w:topLinePunct w:val="0"/>
              <w:bidi w:val="0"/>
              <w:spacing w:line="560" w:lineRule="exact"/>
              <w:textAlignment w:val="auto"/>
            </w:pPr>
          </w:p>
        </w:tc>
        <w:tc>
          <w:tcPr>
            <w:tcW w:w="1017" w:type="dxa"/>
            <w:vAlign w:val="center"/>
          </w:tcPr>
          <w:p w14:paraId="149D0AD0">
            <w:pPr>
              <w:pStyle w:val="17"/>
              <w:keepNext w:val="0"/>
              <w:keepLines w:val="0"/>
              <w:pageBreakBefore w:val="0"/>
              <w:kinsoku/>
              <w:wordWrap/>
              <w:overflowPunct/>
              <w:topLinePunct w:val="0"/>
              <w:bidi w:val="0"/>
              <w:spacing w:line="560" w:lineRule="exact"/>
              <w:jc w:val="center"/>
              <w:textAlignment w:val="auto"/>
            </w:pPr>
            <w:r>
              <w:t>3</w:t>
            </w:r>
          </w:p>
        </w:tc>
        <w:tc>
          <w:tcPr>
            <w:tcW w:w="4976" w:type="dxa"/>
            <w:vAlign w:val="center"/>
          </w:tcPr>
          <w:p w14:paraId="61F0898A">
            <w:pPr>
              <w:pStyle w:val="17"/>
              <w:keepNext w:val="0"/>
              <w:keepLines w:val="0"/>
              <w:pageBreakBefore w:val="0"/>
              <w:kinsoku/>
              <w:wordWrap/>
              <w:overflowPunct/>
              <w:topLinePunct w:val="0"/>
              <w:bidi w:val="0"/>
              <w:spacing w:line="560" w:lineRule="exact"/>
              <w:jc w:val="center"/>
              <w:textAlignment w:val="auto"/>
            </w:pPr>
            <w:r>
              <w:rPr>
                <w:rFonts w:hint="eastAsia"/>
              </w:rPr>
              <w:t>每千人拥有社会体育指导员（名）</w:t>
            </w:r>
          </w:p>
        </w:tc>
        <w:tc>
          <w:tcPr>
            <w:tcW w:w="1275" w:type="dxa"/>
            <w:vAlign w:val="center"/>
          </w:tcPr>
          <w:p w14:paraId="5749F84B">
            <w:pPr>
              <w:pStyle w:val="17"/>
              <w:keepNext w:val="0"/>
              <w:keepLines w:val="0"/>
              <w:pageBreakBefore w:val="0"/>
              <w:kinsoku/>
              <w:wordWrap/>
              <w:overflowPunct/>
              <w:topLinePunct w:val="0"/>
              <w:bidi w:val="0"/>
              <w:spacing w:line="560" w:lineRule="exact"/>
              <w:jc w:val="center"/>
              <w:textAlignment w:val="auto"/>
            </w:pPr>
            <w:r>
              <w:rPr>
                <w:rFonts w:hint="eastAsia"/>
              </w:rPr>
              <w:t>预期性</w:t>
            </w:r>
          </w:p>
        </w:tc>
        <w:tc>
          <w:tcPr>
            <w:tcW w:w="1185" w:type="dxa"/>
            <w:vAlign w:val="center"/>
          </w:tcPr>
          <w:p w14:paraId="6055555B">
            <w:pPr>
              <w:pStyle w:val="17"/>
              <w:keepNext w:val="0"/>
              <w:keepLines w:val="0"/>
              <w:pageBreakBefore w:val="0"/>
              <w:kinsoku/>
              <w:wordWrap/>
              <w:overflowPunct/>
              <w:topLinePunct w:val="0"/>
              <w:bidi w:val="0"/>
              <w:spacing w:line="560" w:lineRule="exact"/>
              <w:jc w:val="center"/>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3.8</w:t>
            </w:r>
          </w:p>
        </w:tc>
      </w:tr>
      <w:tr w14:paraId="72B40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4" w:type="dxa"/>
            <w:vMerge w:val="continue"/>
          </w:tcPr>
          <w:p w14:paraId="002FA327">
            <w:pPr>
              <w:keepNext w:val="0"/>
              <w:keepLines w:val="0"/>
              <w:pageBreakBefore w:val="0"/>
              <w:kinsoku/>
              <w:wordWrap/>
              <w:overflowPunct/>
              <w:topLinePunct w:val="0"/>
              <w:bidi w:val="0"/>
              <w:spacing w:line="560" w:lineRule="exact"/>
              <w:textAlignment w:val="auto"/>
            </w:pPr>
          </w:p>
        </w:tc>
        <w:tc>
          <w:tcPr>
            <w:tcW w:w="1017" w:type="dxa"/>
            <w:vAlign w:val="center"/>
          </w:tcPr>
          <w:p w14:paraId="00D43C21">
            <w:pPr>
              <w:pStyle w:val="17"/>
              <w:keepNext w:val="0"/>
              <w:keepLines w:val="0"/>
              <w:pageBreakBefore w:val="0"/>
              <w:kinsoku/>
              <w:wordWrap/>
              <w:overflowPunct/>
              <w:topLinePunct w:val="0"/>
              <w:bidi w:val="0"/>
              <w:spacing w:line="560" w:lineRule="exact"/>
              <w:jc w:val="center"/>
              <w:textAlignment w:val="auto"/>
            </w:pPr>
            <w:r>
              <w:t>4</w:t>
            </w:r>
          </w:p>
        </w:tc>
        <w:tc>
          <w:tcPr>
            <w:tcW w:w="4976" w:type="dxa"/>
            <w:vAlign w:val="center"/>
          </w:tcPr>
          <w:p w14:paraId="1C9B5FC5">
            <w:pPr>
              <w:pStyle w:val="17"/>
              <w:keepNext w:val="0"/>
              <w:keepLines w:val="0"/>
              <w:pageBreakBefore w:val="0"/>
              <w:kinsoku/>
              <w:wordWrap/>
              <w:overflowPunct/>
              <w:topLinePunct w:val="0"/>
              <w:bidi w:val="0"/>
              <w:spacing w:line="560" w:lineRule="exact"/>
              <w:jc w:val="center"/>
              <w:textAlignment w:val="auto"/>
            </w:pPr>
            <w:r>
              <w:rPr>
                <w:rFonts w:hint="eastAsia"/>
              </w:rPr>
              <w:t>在校学生达到《国家学生体质健康标准》合格水平</w:t>
            </w:r>
          </w:p>
        </w:tc>
        <w:tc>
          <w:tcPr>
            <w:tcW w:w="1275" w:type="dxa"/>
            <w:vAlign w:val="center"/>
          </w:tcPr>
          <w:p w14:paraId="56B2CECE">
            <w:pPr>
              <w:pStyle w:val="17"/>
              <w:keepNext w:val="0"/>
              <w:keepLines w:val="0"/>
              <w:pageBreakBefore w:val="0"/>
              <w:kinsoku/>
              <w:wordWrap/>
              <w:overflowPunct/>
              <w:topLinePunct w:val="0"/>
              <w:bidi w:val="0"/>
              <w:spacing w:line="560" w:lineRule="exact"/>
              <w:jc w:val="center"/>
              <w:textAlignment w:val="auto"/>
            </w:pPr>
            <w:r>
              <w:rPr>
                <w:rFonts w:hint="eastAsia"/>
              </w:rPr>
              <w:t>预期性</w:t>
            </w:r>
          </w:p>
        </w:tc>
        <w:tc>
          <w:tcPr>
            <w:tcW w:w="1185" w:type="dxa"/>
            <w:vAlign w:val="center"/>
          </w:tcPr>
          <w:p w14:paraId="0329E967">
            <w:pPr>
              <w:pStyle w:val="17"/>
              <w:keepNext w:val="0"/>
              <w:keepLines w:val="0"/>
              <w:pageBreakBefore w:val="0"/>
              <w:kinsoku/>
              <w:wordWrap/>
              <w:overflowPunct/>
              <w:topLinePunct w:val="0"/>
              <w:bidi w:val="0"/>
              <w:spacing w:line="560" w:lineRule="exact"/>
              <w:jc w:val="center"/>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95%</w:t>
            </w:r>
          </w:p>
        </w:tc>
      </w:tr>
      <w:tr w14:paraId="4C7F4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trPr>
        <w:tc>
          <w:tcPr>
            <w:tcW w:w="904" w:type="dxa"/>
            <w:vMerge w:val="continue"/>
          </w:tcPr>
          <w:p w14:paraId="7AED7520">
            <w:pPr>
              <w:keepNext w:val="0"/>
              <w:keepLines w:val="0"/>
              <w:pageBreakBefore w:val="0"/>
              <w:kinsoku/>
              <w:wordWrap/>
              <w:overflowPunct/>
              <w:topLinePunct w:val="0"/>
              <w:bidi w:val="0"/>
              <w:spacing w:line="560" w:lineRule="exact"/>
              <w:textAlignment w:val="auto"/>
            </w:pPr>
          </w:p>
        </w:tc>
        <w:tc>
          <w:tcPr>
            <w:tcW w:w="1017" w:type="dxa"/>
            <w:vAlign w:val="center"/>
          </w:tcPr>
          <w:p w14:paraId="77E93A2A">
            <w:pPr>
              <w:pStyle w:val="17"/>
              <w:keepNext w:val="0"/>
              <w:keepLines w:val="0"/>
              <w:pageBreakBefore w:val="0"/>
              <w:kinsoku/>
              <w:wordWrap/>
              <w:overflowPunct/>
              <w:topLinePunct w:val="0"/>
              <w:bidi w:val="0"/>
              <w:spacing w:line="560" w:lineRule="exact"/>
              <w:jc w:val="center"/>
              <w:textAlignment w:val="auto"/>
            </w:pPr>
            <w:r>
              <w:t>5</w:t>
            </w:r>
          </w:p>
        </w:tc>
        <w:tc>
          <w:tcPr>
            <w:tcW w:w="4976" w:type="dxa"/>
            <w:vAlign w:val="center"/>
          </w:tcPr>
          <w:p w14:paraId="41A57E5E">
            <w:pPr>
              <w:pStyle w:val="17"/>
              <w:keepNext w:val="0"/>
              <w:keepLines w:val="0"/>
              <w:pageBreakBefore w:val="0"/>
              <w:kinsoku/>
              <w:wordWrap/>
              <w:overflowPunct/>
              <w:topLinePunct w:val="0"/>
              <w:bidi w:val="0"/>
              <w:spacing w:line="560" w:lineRule="exact"/>
              <w:jc w:val="center"/>
              <w:textAlignment w:val="auto"/>
            </w:pPr>
            <w:r>
              <w:rPr>
                <w:rFonts w:hint="eastAsia"/>
              </w:rPr>
              <w:t>在校学生达到《国家学生体质健康标准》优良率(%)</w:t>
            </w:r>
          </w:p>
        </w:tc>
        <w:tc>
          <w:tcPr>
            <w:tcW w:w="1275" w:type="dxa"/>
            <w:vAlign w:val="center"/>
          </w:tcPr>
          <w:p w14:paraId="154494E3">
            <w:pPr>
              <w:pStyle w:val="17"/>
              <w:keepNext w:val="0"/>
              <w:keepLines w:val="0"/>
              <w:pageBreakBefore w:val="0"/>
              <w:kinsoku/>
              <w:wordWrap/>
              <w:overflowPunct/>
              <w:topLinePunct w:val="0"/>
              <w:bidi w:val="0"/>
              <w:spacing w:line="560" w:lineRule="exact"/>
              <w:jc w:val="center"/>
              <w:textAlignment w:val="auto"/>
            </w:pPr>
            <w:r>
              <w:rPr>
                <w:rFonts w:hint="eastAsia"/>
              </w:rPr>
              <w:t>预期性</w:t>
            </w:r>
          </w:p>
        </w:tc>
        <w:tc>
          <w:tcPr>
            <w:tcW w:w="1185" w:type="dxa"/>
            <w:vAlign w:val="center"/>
          </w:tcPr>
          <w:p w14:paraId="2DF48AEA">
            <w:pPr>
              <w:pStyle w:val="17"/>
              <w:keepNext w:val="0"/>
              <w:keepLines w:val="0"/>
              <w:pageBreakBefore w:val="0"/>
              <w:kinsoku/>
              <w:wordWrap/>
              <w:overflowPunct/>
              <w:topLinePunct w:val="0"/>
              <w:bidi w:val="0"/>
              <w:spacing w:line="560" w:lineRule="exact"/>
              <w:jc w:val="center"/>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35%</w:t>
            </w:r>
          </w:p>
        </w:tc>
      </w:tr>
      <w:tr w14:paraId="75181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4" w:type="dxa"/>
            <w:vMerge w:val="restart"/>
            <w:vAlign w:val="center"/>
          </w:tcPr>
          <w:p w14:paraId="12AA5D27">
            <w:pPr>
              <w:pStyle w:val="17"/>
              <w:keepNext w:val="0"/>
              <w:keepLines w:val="0"/>
              <w:pageBreakBefore w:val="0"/>
              <w:kinsoku/>
              <w:wordWrap/>
              <w:overflowPunct/>
              <w:topLinePunct w:val="0"/>
              <w:bidi w:val="0"/>
              <w:spacing w:line="560" w:lineRule="exact"/>
              <w:jc w:val="center"/>
              <w:textAlignment w:val="auto"/>
              <w:rPr>
                <w:rFonts w:hint="eastAsia" w:eastAsiaTheme="minorEastAsia"/>
                <w:lang w:eastAsia="zh-CN"/>
              </w:rPr>
            </w:pPr>
            <w:r>
              <w:rPr>
                <w:rFonts w:hint="eastAsia"/>
                <w:lang w:eastAsia="zh-CN"/>
              </w:rPr>
              <w:t>竞技体育</w:t>
            </w:r>
          </w:p>
        </w:tc>
        <w:tc>
          <w:tcPr>
            <w:tcW w:w="1017" w:type="dxa"/>
            <w:vAlign w:val="center"/>
          </w:tcPr>
          <w:p w14:paraId="260CF2FE">
            <w:pPr>
              <w:pStyle w:val="17"/>
              <w:keepNext w:val="0"/>
              <w:keepLines w:val="0"/>
              <w:pageBreakBefore w:val="0"/>
              <w:kinsoku/>
              <w:wordWrap/>
              <w:overflowPunct/>
              <w:topLinePunct w:val="0"/>
              <w:bidi w:val="0"/>
              <w:spacing w:line="560" w:lineRule="exact"/>
              <w:jc w:val="center"/>
              <w:textAlignment w:val="auto"/>
              <w:rPr>
                <w:rFonts w:hint="eastAsia" w:eastAsia="仿宋_GB2312"/>
                <w:lang w:val="en-US" w:eastAsia="zh-CN"/>
              </w:rPr>
            </w:pPr>
            <w:r>
              <w:rPr>
                <w:rFonts w:hint="eastAsia"/>
                <w:lang w:val="en-US" w:eastAsia="zh-CN"/>
              </w:rPr>
              <w:t>6</w:t>
            </w:r>
          </w:p>
        </w:tc>
        <w:tc>
          <w:tcPr>
            <w:tcW w:w="4976" w:type="dxa"/>
            <w:vAlign w:val="center"/>
          </w:tcPr>
          <w:p w14:paraId="4CD2D1DE">
            <w:pPr>
              <w:pStyle w:val="17"/>
              <w:keepNext w:val="0"/>
              <w:keepLines w:val="0"/>
              <w:pageBreakBefore w:val="0"/>
              <w:kinsoku/>
              <w:wordWrap/>
              <w:overflowPunct/>
              <w:topLinePunct w:val="0"/>
              <w:bidi w:val="0"/>
              <w:spacing w:line="560" w:lineRule="exact"/>
              <w:jc w:val="center"/>
              <w:textAlignment w:val="auto"/>
              <w:rPr>
                <w:rFonts w:hint="eastAsia" w:eastAsia="仿宋_GB2312"/>
                <w:lang w:eastAsia="zh-CN"/>
              </w:rPr>
            </w:pPr>
            <w:r>
              <w:rPr>
                <w:rFonts w:hint="eastAsia"/>
              </w:rPr>
              <w:t>向各级各类高水平运动队输送运动员数量（人</w:t>
            </w:r>
            <w:r>
              <w:rPr>
                <w:rFonts w:hint="eastAsia"/>
                <w:lang w:eastAsia="zh-CN"/>
              </w:rPr>
              <w:t>）</w:t>
            </w:r>
          </w:p>
        </w:tc>
        <w:tc>
          <w:tcPr>
            <w:tcW w:w="1275" w:type="dxa"/>
            <w:vAlign w:val="center"/>
          </w:tcPr>
          <w:p w14:paraId="35B2B690">
            <w:pPr>
              <w:pStyle w:val="17"/>
              <w:keepNext w:val="0"/>
              <w:keepLines w:val="0"/>
              <w:pageBreakBefore w:val="0"/>
              <w:kinsoku/>
              <w:wordWrap/>
              <w:overflowPunct/>
              <w:topLinePunct w:val="0"/>
              <w:bidi w:val="0"/>
              <w:spacing w:line="560" w:lineRule="exact"/>
              <w:jc w:val="center"/>
              <w:textAlignment w:val="auto"/>
              <w:rPr>
                <w:rFonts w:hint="eastAsia"/>
              </w:rPr>
            </w:pPr>
            <w:r>
              <w:rPr>
                <w:rFonts w:hint="eastAsia"/>
              </w:rPr>
              <w:t>预期性</w:t>
            </w:r>
          </w:p>
        </w:tc>
        <w:tc>
          <w:tcPr>
            <w:tcW w:w="1185" w:type="dxa"/>
            <w:vAlign w:val="center"/>
          </w:tcPr>
          <w:p w14:paraId="381E5ABB">
            <w:pPr>
              <w:pStyle w:val="17"/>
              <w:keepNext w:val="0"/>
              <w:keepLines w:val="0"/>
              <w:pageBreakBefore w:val="0"/>
              <w:kinsoku/>
              <w:wordWrap/>
              <w:overflowPunct/>
              <w:topLinePunct w:val="0"/>
              <w:bidi w:val="0"/>
              <w:spacing w:line="560" w:lineRule="exact"/>
              <w:jc w:val="center"/>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&gt;10</w:t>
            </w:r>
          </w:p>
        </w:tc>
      </w:tr>
      <w:tr w14:paraId="4FA80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4" w:type="dxa"/>
            <w:vMerge w:val="continue"/>
            <w:vAlign w:val="center"/>
          </w:tcPr>
          <w:p w14:paraId="249F3D9B">
            <w:pPr>
              <w:pStyle w:val="17"/>
              <w:keepNext w:val="0"/>
              <w:keepLines w:val="0"/>
              <w:pageBreakBefore w:val="0"/>
              <w:kinsoku/>
              <w:wordWrap/>
              <w:overflowPunct/>
              <w:topLinePunct w:val="0"/>
              <w:bidi w:val="0"/>
              <w:spacing w:line="560" w:lineRule="exact"/>
              <w:jc w:val="center"/>
              <w:textAlignment w:val="auto"/>
              <w:rPr>
                <w:rFonts w:hint="eastAsia"/>
                <w:lang w:eastAsia="zh-CN"/>
              </w:rPr>
            </w:pPr>
          </w:p>
        </w:tc>
        <w:tc>
          <w:tcPr>
            <w:tcW w:w="1017" w:type="dxa"/>
            <w:vAlign w:val="center"/>
          </w:tcPr>
          <w:p w14:paraId="25AA3730">
            <w:pPr>
              <w:pStyle w:val="17"/>
              <w:keepNext w:val="0"/>
              <w:keepLines w:val="0"/>
              <w:pageBreakBefore w:val="0"/>
              <w:kinsoku/>
              <w:wordWrap/>
              <w:overflowPunct/>
              <w:topLinePunct w:val="0"/>
              <w:bidi w:val="0"/>
              <w:spacing w:line="560" w:lineRule="exact"/>
              <w:jc w:val="center"/>
              <w:textAlignment w:val="auto"/>
              <w:rPr>
                <w:rFonts w:hint="default"/>
                <w:lang w:val="en-US" w:eastAsia="zh-CN"/>
              </w:rPr>
            </w:pPr>
            <w:r>
              <w:rPr>
                <w:rFonts w:hint="eastAsia"/>
                <w:lang w:val="en-US" w:eastAsia="zh-CN"/>
              </w:rPr>
              <w:t>7</w:t>
            </w:r>
          </w:p>
        </w:tc>
        <w:tc>
          <w:tcPr>
            <w:tcW w:w="4976" w:type="dxa"/>
            <w:vAlign w:val="center"/>
          </w:tcPr>
          <w:p w14:paraId="0F17DE75">
            <w:pPr>
              <w:pStyle w:val="17"/>
              <w:keepNext w:val="0"/>
              <w:keepLines w:val="0"/>
              <w:pageBreakBefore w:val="0"/>
              <w:kinsoku/>
              <w:wordWrap/>
              <w:overflowPunct/>
              <w:topLinePunct w:val="0"/>
              <w:bidi w:val="0"/>
              <w:spacing w:line="560" w:lineRule="exact"/>
              <w:jc w:val="center"/>
              <w:textAlignment w:val="auto"/>
              <w:rPr>
                <w:rFonts w:hint="eastAsia"/>
              </w:rPr>
            </w:pPr>
            <w:r>
              <w:rPr>
                <w:rFonts w:hint="eastAsia"/>
              </w:rPr>
              <w:t>省级体育特色学校（所）</w:t>
            </w:r>
          </w:p>
        </w:tc>
        <w:tc>
          <w:tcPr>
            <w:tcW w:w="1275" w:type="dxa"/>
            <w:vAlign w:val="center"/>
          </w:tcPr>
          <w:p w14:paraId="05AD4040">
            <w:pPr>
              <w:pStyle w:val="17"/>
              <w:keepNext w:val="0"/>
              <w:keepLines w:val="0"/>
              <w:pageBreakBefore w:val="0"/>
              <w:kinsoku/>
              <w:wordWrap/>
              <w:overflowPunct/>
              <w:topLinePunct w:val="0"/>
              <w:bidi w:val="0"/>
              <w:spacing w:line="560" w:lineRule="exact"/>
              <w:jc w:val="center"/>
              <w:textAlignment w:val="auto"/>
              <w:rPr>
                <w:rFonts w:hint="eastAsia"/>
              </w:rPr>
            </w:pPr>
            <w:r>
              <w:rPr>
                <w:rFonts w:hint="eastAsia"/>
              </w:rPr>
              <w:t>预期性</w:t>
            </w:r>
          </w:p>
        </w:tc>
        <w:tc>
          <w:tcPr>
            <w:tcW w:w="1185" w:type="dxa"/>
            <w:vAlign w:val="center"/>
          </w:tcPr>
          <w:p w14:paraId="76F3B376">
            <w:pPr>
              <w:pStyle w:val="17"/>
              <w:keepNext w:val="0"/>
              <w:keepLines w:val="0"/>
              <w:pageBreakBefore w:val="0"/>
              <w:kinsoku/>
              <w:wordWrap/>
              <w:overflowPunct/>
              <w:topLinePunct w:val="0"/>
              <w:bidi w:val="0"/>
              <w:spacing w:line="560" w:lineRule="exact"/>
              <w:jc w:val="center"/>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w:t>
            </w:r>
          </w:p>
        </w:tc>
      </w:tr>
      <w:tr w14:paraId="29848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4" w:type="dxa"/>
            <w:vMerge w:val="continue"/>
          </w:tcPr>
          <w:p w14:paraId="3A4681F0">
            <w:pPr>
              <w:keepNext w:val="0"/>
              <w:keepLines w:val="0"/>
              <w:pageBreakBefore w:val="0"/>
              <w:kinsoku/>
              <w:wordWrap/>
              <w:overflowPunct/>
              <w:topLinePunct w:val="0"/>
              <w:bidi w:val="0"/>
              <w:spacing w:line="560" w:lineRule="exact"/>
              <w:textAlignment w:val="auto"/>
            </w:pPr>
          </w:p>
        </w:tc>
        <w:tc>
          <w:tcPr>
            <w:tcW w:w="1017" w:type="dxa"/>
            <w:vAlign w:val="center"/>
          </w:tcPr>
          <w:p w14:paraId="0B06AA9B">
            <w:pPr>
              <w:pStyle w:val="17"/>
              <w:keepNext w:val="0"/>
              <w:keepLines w:val="0"/>
              <w:pageBreakBefore w:val="0"/>
              <w:kinsoku/>
              <w:wordWrap/>
              <w:overflowPunct/>
              <w:topLinePunct w:val="0"/>
              <w:bidi w:val="0"/>
              <w:spacing w:line="560" w:lineRule="exact"/>
              <w:jc w:val="center"/>
              <w:textAlignment w:val="auto"/>
              <w:rPr>
                <w:rFonts w:hint="default"/>
                <w:lang w:val="en-US" w:eastAsia="zh-CN"/>
              </w:rPr>
            </w:pPr>
            <w:r>
              <w:rPr>
                <w:rFonts w:hint="eastAsia"/>
                <w:lang w:val="en-US" w:eastAsia="zh-CN"/>
              </w:rPr>
              <w:t>8</w:t>
            </w:r>
          </w:p>
        </w:tc>
        <w:tc>
          <w:tcPr>
            <w:tcW w:w="4976" w:type="dxa"/>
            <w:vAlign w:val="center"/>
          </w:tcPr>
          <w:p w14:paraId="1103166E">
            <w:pPr>
              <w:pStyle w:val="17"/>
              <w:keepNext w:val="0"/>
              <w:keepLines w:val="0"/>
              <w:pageBreakBefore w:val="0"/>
              <w:kinsoku/>
              <w:wordWrap/>
              <w:overflowPunct/>
              <w:topLinePunct w:val="0"/>
              <w:bidi w:val="0"/>
              <w:spacing w:line="560" w:lineRule="exact"/>
              <w:jc w:val="center"/>
              <w:textAlignment w:val="auto"/>
              <w:rPr>
                <w:rFonts w:hint="eastAsia"/>
              </w:rPr>
            </w:pPr>
            <w:r>
              <w:rPr>
                <w:rFonts w:hint="eastAsia"/>
              </w:rPr>
              <w:t>高级教练员比例（%）</w:t>
            </w:r>
          </w:p>
        </w:tc>
        <w:tc>
          <w:tcPr>
            <w:tcW w:w="1275" w:type="dxa"/>
            <w:vAlign w:val="center"/>
          </w:tcPr>
          <w:p w14:paraId="73111CA0">
            <w:pPr>
              <w:pStyle w:val="17"/>
              <w:keepNext w:val="0"/>
              <w:keepLines w:val="0"/>
              <w:pageBreakBefore w:val="0"/>
              <w:kinsoku/>
              <w:wordWrap/>
              <w:overflowPunct/>
              <w:topLinePunct w:val="0"/>
              <w:bidi w:val="0"/>
              <w:spacing w:line="560" w:lineRule="exact"/>
              <w:jc w:val="center"/>
              <w:textAlignment w:val="auto"/>
              <w:rPr>
                <w:rFonts w:hint="eastAsia"/>
              </w:rPr>
            </w:pPr>
            <w:r>
              <w:rPr>
                <w:rFonts w:hint="eastAsia"/>
              </w:rPr>
              <w:t>预期性</w:t>
            </w:r>
          </w:p>
        </w:tc>
        <w:tc>
          <w:tcPr>
            <w:tcW w:w="1185" w:type="dxa"/>
            <w:vAlign w:val="center"/>
          </w:tcPr>
          <w:p w14:paraId="3745B4E3">
            <w:pPr>
              <w:pStyle w:val="17"/>
              <w:keepNext w:val="0"/>
              <w:keepLines w:val="0"/>
              <w:pageBreakBefore w:val="0"/>
              <w:kinsoku/>
              <w:wordWrap/>
              <w:overflowPunct/>
              <w:topLinePunct w:val="0"/>
              <w:bidi w:val="0"/>
              <w:spacing w:line="560" w:lineRule="exact"/>
              <w:jc w:val="center"/>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15%</w:t>
            </w:r>
          </w:p>
        </w:tc>
      </w:tr>
      <w:tr w14:paraId="56554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904" w:type="dxa"/>
            <w:vMerge w:val="restart"/>
            <w:vAlign w:val="center"/>
          </w:tcPr>
          <w:p w14:paraId="210EC803">
            <w:pPr>
              <w:keepNext w:val="0"/>
              <w:keepLines w:val="0"/>
              <w:pageBreakBefore w:val="0"/>
              <w:kinsoku/>
              <w:wordWrap/>
              <w:overflowPunct/>
              <w:topLinePunct w:val="0"/>
              <w:bidi w:val="0"/>
              <w:spacing w:line="560" w:lineRule="exact"/>
              <w:jc w:val="center"/>
              <w:textAlignment w:val="auto"/>
              <w:rPr>
                <w:rFonts w:hint="eastAsia" w:ascii="仿宋_GB2312" w:hAnsi="仿宋_GB2312" w:eastAsia="仿宋_GB2312" w:cs="仿宋_GB2312"/>
                <w:kern w:val="2"/>
                <w:sz w:val="32"/>
                <w:szCs w:val="32"/>
                <w:lang w:val="zh-CN" w:eastAsia="zh-CN" w:bidi="zh-CN"/>
              </w:rPr>
            </w:pPr>
            <w:r>
              <w:rPr>
                <w:rFonts w:hint="eastAsia" w:ascii="仿宋_GB2312" w:hAnsi="仿宋_GB2312" w:eastAsia="仿宋_GB2312" w:cs="仿宋_GB2312"/>
                <w:kern w:val="2"/>
                <w:sz w:val="32"/>
                <w:szCs w:val="32"/>
                <w:lang w:val="zh-CN" w:eastAsia="zh-CN" w:bidi="zh-CN"/>
              </w:rPr>
              <w:t>体育产业</w:t>
            </w:r>
          </w:p>
        </w:tc>
        <w:tc>
          <w:tcPr>
            <w:tcW w:w="1017" w:type="dxa"/>
            <w:vAlign w:val="center"/>
          </w:tcPr>
          <w:p w14:paraId="37F63EF6">
            <w:pPr>
              <w:pStyle w:val="17"/>
              <w:keepNext w:val="0"/>
              <w:keepLines w:val="0"/>
              <w:pageBreakBefore w:val="0"/>
              <w:kinsoku/>
              <w:wordWrap/>
              <w:overflowPunct/>
              <w:topLinePunct w:val="0"/>
              <w:bidi w:val="0"/>
              <w:spacing w:line="560" w:lineRule="exact"/>
              <w:jc w:val="center"/>
              <w:textAlignment w:val="auto"/>
              <w:rPr>
                <w:rFonts w:hint="default" w:ascii="仿宋_GB2312" w:hAnsi="仿宋_GB2312" w:eastAsia="仿宋_GB2312" w:cs="仿宋_GB2312"/>
                <w:kern w:val="2"/>
                <w:sz w:val="32"/>
                <w:szCs w:val="32"/>
                <w:lang w:val="en-US" w:eastAsia="zh-CN" w:bidi="zh-CN"/>
              </w:rPr>
            </w:pPr>
            <w:r>
              <w:rPr>
                <w:rFonts w:hint="eastAsia" w:cs="仿宋_GB2312"/>
                <w:kern w:val="2"/>
                <w:sz w:val="32"/>
                <w:szCs w:val="32"/>
                <w:lang w:val="en-US" w:eastAsia="zh-CN" w:bidi="zh-CN"/>
              </w:rPr>
              <w:t>9</w:t>
            </w:r>
          </w:p>
        </w:tc>
        <w:tc>
          <w:tcPr>
            <w:tcW w:w="4976" w:type="dxa"/>
            <w:vAlign w:val="center"/>
          </w:tcPr>
          <w:p w14:paraId="7BFF2BEB">
            <w:pPr>
              <w:pStyle w:val="17"/>
              <w:keepNext w:val="0"/>
              <w:keepLines w:val="0"/>
              <w:pageBreakBefore w:val="0"/>
              <w:kinsoku/>
              <w:wordWrap/>
              <w:overflowPunct/>
              <w:topLinePunct w:val="0"/>
              <w:bidi w:val="0"/>
              <w:spacing w:line="560" w:lineRule="exact"/>
              <w:jc w:val="center"/>
              <w:textAlignment w:val="auto"/>
              <w:rPr>
                <w:rFonts w:hint="eastAsia"/>
                <w:lang w:eastAsia="zh-CN"/>
              </w:rPr>
            </w:pPr>
            <w:r>
              <w:rPr>
                <w:rFonts w:hint="eastAsia"/>
                <w:lang w:eastAsia="zh-CN"/>
              </w:rPr>
              <w:t>体育产业总产值占全区生产总值比重</w:t>
            </w:r>
          </w:p>
        </w:tc>
        <w:tc>
          <w:tcPr>
            <w:tcW w:w="1275" w:type="dxa"/>
            <w:vAlign w:val="center"/>
          </w:tcPr>
          <w:p w14:paraId="3D45E54B">
            <w:pPr>
              <w:pStyle w:val="17"/>
              <w:keepNext w:val="0"/>
              <w:keepLines w:val="0"/>
              <w:pageBreakBefore w:val="0"/>
              <w:kinsoku/>
              <w:wordWrap/>
              <w:overflowPunct/>
              <w:topLinePunct w:val="0"/>
              <w:bidi w:val="0"/>
              <w:spacing w:line="560" w:lineRule="exact"/>
              <w:jc w:val="center"/>
              <w:textAlignment w:val="auto"/>
              <w:rPr>
                <w:rFonts w:hint="eastAsia"/>
                <w:lang w:eastAsia="zh-CN"/>
              </w:rPr>
            </w:pPr>
            <w:r>
              <w:rPr>
                <w:rFonts w:hint="eastAsia"/>
                <w:lang w:eastAsia="zh-CN"/>
              </w:rPr>
              <w:t>预期性</w:t>
            </w:r>
          </w:p>
        </w:tc>
        <w:tc>
          <w:tcPr>
            <w:tcW w:w="1185" w:type="dxa"/>
            <w:vAlign w:val="center"/>
          </w:tcPr>
          <w:p w14:paraId="3DD85879">
            <w:pPr>
              <w:pStyle w:val="17"/>
              <w:keepNext w:val="0"/>
              <w:keepLines w:val="0"/>
              <w:pageBreakBefore w:val="0"/>
              <w:kinsoku/>
              <w:wordWrap/>
              <w:overflowPunct/>
              <w:topLinePunct w:val="0"/>
              <w:bidi w:val="0"/>
              <w:spacing w:line="560" w:lineRule="exact"/>
              <w:jc w:val="center"/>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持续提升</w:t>
            </w:r>
          </w:p>
        </w:tc>
      </w:tr>
      <w:tr w14:paraId="234ED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904" w:type="dxa"/>
            <w:vMerge w:val="continue"/>
          </w:tcPr>
          <w:p w14:paraId="5B364590">
            <w:pPr>
              <w:keepNext w:val="0"/>
              <w:keepLines w:val="0"/>
              <w:pageBreakBefore w:val="0"/>
              <w:kinsoku/>
              <w:wordWrap/>
              <w:overflowPunct/>
              <w:topLinePunct w:val="0"/>
              <w:bidi w:val="0"/>
              <w:spacing w:line="560" w:lineRule="exact"/>
              <w:textAlignment w:val="auto"/>
              <w:rPr>
                <w:rFonts w:hint="eastAsia" w:ascii="仿宋_GB2312" w:hAnsi="仿宋_GB2312" w:eastAsia="仿宋_GB2312" w:cs="仿宋_GB2312"/>
                <w:kern w:val="2"/>
                <w:sz w:val="32"/>
                <w:szCs w:val="32"/>
                <w:lang w:val="zh-CN" w:eastAsia="zh-CN" w:bidi="zh-CN"/>
              </w:rPr>
            </w:pPr>
          </w:p>
        </w:tc>
        <w:tc>
          <w:tcPr>
            <w:tcW w:w="1017" w:type="dxa"/>
            <w:vAlign w:val="center"/>
          </w:tcPr>
          <w:p w14:paraId="1EB9EEE8">
            <w:pPr>
              <w:pStyle w:val="17"/>
              <w:keepNext w:val="0"/>
              <w:keepLines w:val="0"/>
              <w:pageBreakBefore w:val="0"/>
              <w:kinsoku/>
              <w:wordWrap/>
              <w:overflowPunct/>
              <w:topLinePunct w:val="0"/>
              <w:bidi w:val="0"/>
              <w:spacing w:line="560" w:lineRule="exact"/>
              <w:jc w:val="center"/>
              <w:textAlignment w:val="auto"/>
              <w:rPr>
                <w:rFonts w:hint="default" w:ascii="仿宋_GB2312" w:hAnsi="仿宋_GB2312" w:eastAsia="仿宋_GB2312" w:cs="仿宋_GB2312"/>
                <w:kern w:val="2"/>
                <w:sz w:val="32"/>
                <w:szCs w:val="32"/>
                <w:lang w:val="en-US" w:eastAsia="zh-CN" w:bidi="zh-CN"/>
              </w:rPr>
            </w:pPr>
            <w:r>
              <w:rPr>
                <w:rFonts w:hint="eastAsia" w:cs="仿宋_GB2312"/>
                <w:kern w:val="2"/>
                <w:sz w:val="32"/>
                <w:szCs w:val="32"/>
                <w:lang w:val="en-US" w:eastAsia="zh-CN" w:bidi="zh-CN"/>
              </w:rPr>
              <w:t>10</w:t>
            </w:r>
          </w:p>
        </w:tc>
        <w:tc>
          <w:tcPr>
            <w:tcW w:w="4976" w:type="dxa"/>
            <w:vAlign w:val="center"/>
          </w:tcPr>
          <w:p w14:paraId="2100528F">
            <w:pPr>
              <w:pStyle w:val="17"/>
              <w:keepNext w:val="0"/>
              <w:keepLines w:val="0"/>
              <w:pageBreakBefore w:val="0"/>
              <w:kinsoku/>
              <w:wordWrap/>
              <w:overflowPunct/>
              <w:topLinePunct w:val="0"/>
              <w:bidi w:val="0"/>
              <w:spacing w:line="560" w:lineRule="exact"/>
              <w:jc w:val="center"/>
              <w:textAlignment w:val="auto"/>
              <w:rPr>
                <w:rFonts w:hint="eastAsia" w:eastAsia="仿宋_GB2312"/>
                <w:lang w:eastAsia="zh-CN"/>
              </w:rPr>
            </w:pPr>
            <w:r>
              <w:rPr>
                <w:rFonts w:hint="eastAsia"/>
                <w:lang w:eastAsia="zh-CN"/>
              </w:rPr>
              <w:t>体育产业总规模（亿元）</w:t>
            </w:r>
          </w:p>
        </w:tc>
        <w:tc>
          <w:tcPr>
            <w:tcW w:w="1275" w:type="dxa"/>
            <w:vAlign w:val="center"/>
          </w:tcPr>
          <w:p w14:paraId="143EE1C5">
            <w:pPr>
              <w:pStyle w:val="17"/>
              <w:keepNext w:val="0"/>
              <w:keepLines w:val="0"/>
              <w:pageBreakBefore w:val="0"/>
              <w:kinsoku/>
              <w:wordWrap/>
              <w:overflowPunct/>
              <w:topLinePunct w:val="0"/>
              <w:bidi w:val="0"/>
              <w:spacing w:line="560" w:lineRule="exact"/>
              <w:jc w:val="center"/>
              <w:textAlignment w:val="auto"/>
              <w:rPr>
                <w:rFonts w:hint="eastAsia" w:eastAsia="仿宋_GB2312"/>
                <w:lang w:eastAsia="zh-CN"/>
              </w:rPr>
            </w:pPr>
            <w:r>
              <w:rPr>
                <w:rFonts w:hint="eastAsia"/>
                <w:lang w:eastAsia="zh-CN"/>
              </w:rPr>
              <w:t>预期性</w:t>
            </w:r>
          </w:p>
        </w:tc>
        <w:tc>
          <w:tcPr>
            <w:tcW w:w="1185" w:type="dxa"/>
            <w:vAlign w:val="center"/>
          </w:tcPr>
          <w:p w14:paraId="38911DA2">
            <w:pPr>
              <w:pStyle w:val="17"/>
              <w:keepNext w:val="0"/>
              <w:keepLines w:val="0"/>
              <w:pageBreakBefore w:val="0"/>
              <w:kinsoku/>
              <w:wordWrap/>
              <w:overflowPunct/>
              <w:topLinePunct w:val="0"/>
              <w:bidi w:val="0"/>
              <w:spacing w:line="560" w:lineRule="exact"/>
              <w:jc w:val="center"/>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5</w:t>
            </w:r>
          </w:p>
        </w:tc>
      </w:tr>
    </w:tbl>
    <w:p w14:paraId="7150F244">
      <w:pPr>
        <w:pStyle w:val="4"/>
        <w:keepNext w:val="0"/>
        <w:keepLines w:val="0"/>
        <w:pageBreakBefore w:val="0"/>
        <w:kinsoku/>
        <w:wordWrap/>
        <w:overflowPunct/>
        <w:topLinePunct w:val="0"/>
        <w:autoSpaceDE w:val="0"/>
        <w:autoSpaceDN w:val="0"/>
        <w:bidi w:val="0"/>
        <w:snapToGrid w:val="0"/>
        <w:spacing w:line="560" w:lineRule="exact"/>
        <w:ind w:left="0" w:leftChars="0" w:firstLine="0" w:firstLineChars="0"/>
        <w:textAlignment w:val="auto"/>
        <w:outlineLvl w:val="1"/>
        <w:rPr>
          <w:rFonts w:hint="eastAsia" w:ascii="Times New Roman" w:hAnsi="Times New Roman" w:eastAsia="仿宋_GB2312" w:cs="仿宋"/>
          <w:sz w:val="32"/>
          <w:szCs w:val="32"/>
        </w:rPr>
        <w:sectPr>
          <w:pgSz w:w="11906" w:h="16838"/>
          <w:pgMar w:top="2098" w:right="1474" w:bottom="1984" w:left="1587" w:header="851" w:footer="992" w:gutter="0"/>
          <w:cols w:space="0" w:num="1"/>
          <w:docGrid w:type="linesAndChars" w:linePitch="312" w:charSpace="-1839"/>
        </w:sectPr>
      </w:pPr>
    </w:p>
    <w:p w14:paraId="673BCF53">
      <w:pPr>
        <w:pStyle w:val="4"/>
        <w:keepNext w:val="0"/>
        <w:keepLines w:val="0"/>
        <w:pageBreakBefore w:val="0"/>
        <w:kinsoku/>
        <w:wordWrap/>
        <w:overflowPunct/>
        <w:topLinePunct w:val="0"/>
        <w:bidi w:val="0"/>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梅</w:t>
      </w:r>
      <w:r>
        <w:rPr>
          <w:rFonts w:hint="eastAsia" w:ascii="方正小标宋简体" w:hAnsi="方正小标宋简体" w:eastAsia="方正小标宋简体" w:cs="方正小标宋简体"/>
          <w:sz w:val="44"/>
          <w:szCs w:val="44"/>
          <w:lang w:eastAsia="zh-CN"/>
        </w:rPr>
        <w:t>县区</w:t>
      </w:r>
      <w:r>
        <w:rPr>
          <w:rFonts w:hint="eastAsia" w:ascii="方正小标宋简体" w:hAnsi="方正小标宋简体" w:eastAsia="方正小标宋简体" w:cs="方正小标宋简体"/>
          <w:sz w:val="44"/>
          <w:szCs w:val="44"/>
        </w:rPr>
        <w:t>体育发展“十</w:t>
      </w:r>
      <w:r>
        <w:rPr>
          <w:rFonts w:hint="eastAsia" w:ascii="方正小标宋简体" w:hAnsi="方正小标宋简体" w:eastAsia="方正小标宋简体" w:cs="方正小标宋简体"/>
          <w:sz w:val="44"/>
          <w:szCs w:val="44"/>
          <w:lang w:val="en-US" w:eastAsia="zh-CN"/>
        </w:rPr>
        <w:t>五</w:t>
      </w:r>
      <w:r>
        <w:rPr>
          <w:rFonts w:hint="eastAsia" w:ascii="方正小标宋简体" w:hAnsi="方正小标宋简体" w:eastAsia="方正小标宋简体" w:cs="方正小标宋简体"/>
          <w:sz w:val="44"/>
          <w:szCs w:val="44"/>
        </w:rPr>
        <w:t>五”重点项目库</w:t>
      </w:r>
    </w:p>
    <w:tbl>
      <w:tblPr>
        <w:tblStyle w:val="18"/>
        <w:tblpPr w:leftFromText="180" w:rightFromText="180" w:vertAnchor="text" w:horzAnchor="page" w:tblpX="1131" w:tblpY="347"/>
        <w:tblOverlap w:val="never"/>
        <w:tblW w:w="152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
        <w:gridCol w:w="1555"/>
        <w:gridCol w:w="6233"/>
        <w:gridCol w:w="1883"/>
        <w:gridCol w:w="1334"/>
        <w:gridCol w:w="1650"/>
        <w:gridCol w:w="1700"/>
      </w:tblGrid>
      <w:tr w14:paraId="135AC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 w:hRule="atLeast"/>
        </w:trPr>
        <w:tc>
          <w:tcPr>
            <w:tcW w:w="917" w:type="dxa"/>
          </w:tcPr>
          <w:p w14:paraId="2BA95F75">
            <w:pPr>
              <w:pStyle w:val="17"/>
              <w:keepNext w:val="0"/>
              <w:keepLines w:val="0"/>
              <w:pageBreakBefore w:val="0"/>
              <w:widowControl w:val="0"/>
              <w:kinsoku/>
              <w:wordWrap/>
              <w:overflowPunct/>
              <w:topLinePunct w:val="0"/>
              <w:autoSpaceDE w:val="0"/>
              <w:autoSpaceDN w:val="0"/>
              <w:bidi w:val="0"/>
              <w:adjustRightInd/>
              <w:snapToGrid/>
              <w:spacing w:before="0" w:after="0" w:line="560" w:lineRule="exact"/>
              <w:ind w:left="0" w:leftChars="0" w:firstLine="0" w:firstLineChars="0"/>
              <w:jc w:val="center"/>
              <w:textAlignment w:val="auto"/>
              <w:rPr>
                <w:rFonts w:hint="eastAsia" w:eastAsia="仿宋_GB2312"/>
                <w:lang w:eastAsia="zh-CN"/>
              </w:rPr>
            </w:pPr>
            <w:r>
              <w:rPr>
                <w:rFonts w:hint="eastAsia"/>
                <w:lang w:eastAsia="zh-CN"/>
              </w:rPr>
              <w:t>序号</w:t>
            </w:r>
          </w:p>
        </w:tc>
        <w:tc>
          <w:tcPr>
            <w:tcW w:w="1555" w:type="dxa"/>
            <w:vAlign w:val="center"/>
          </w:tcPr>
          <w:p w14:paraId="3FE58FD8">
            <w:pPr>
              <w:pStyle w:val="17"/>
              <w:keepNext w:val="0"/>
              <w:keepLines w:val="0"/>
              <w:pageBreakBefore w:val="0"/>
              <w:widowControl w:val="0"/>
              <w:kinsoku/>
              <w:wordWrap/>
              <w:overflowPunct/>
              <w:topLinePunct w:val="0"/>
              <w:autoSpaceDE w:val="0"/>
              <w:autoSpaceDN w:val="0"/>
              <w:bidi w:val="0"/>
              <w:adjustRightInd/>
              <w:snapToGrid/>
              <w:spacing w:before="0" w:after="0" w:line="560" w:lineRule="exact"/>
              <w:ind w:left="0" w:leftChars="0" w:firstLine="0" w:firstLineChars="0"/>
              <w:jc w:val="center"/>
              <w:textAlignment w:val="auto"/>
            </w:pPr>
            <w:r>
              <w:rPr>
                <w:rFonts w:hint="eastAsia"/>
              </w:rPr>
              <w:t>项目名称</w:t>
            </w:r>
          </w:p>
        </w:tc>
        <w:tc>
          <w:tcPr>
            <w:tcW w:w="6233" w:type="dxa"/>
            <w:vAlign w:val="center"/>
          </w:tcPr>
          <w:p w14:paraId="6555C392">
            <w:pPr>
              <w:pStyle w:val="17"/>
              <w:keepNext w:val="0"/>
              <w:keepLines w:val="0"/>
              <w:pageBreakBefore w:val="0"/>
              <w:widowControl w:val="0"/>
              <w:kinsoku/>
              <w:wordWrap/>
              <w:overflowPunct/>
              <w:topLinePunct w:val="0"/>
              <w:autoSpaceDE w:val="0"/>
              <w:autoSpaceDN w:val="0"/>
              <w:bidi w:val="0"/>
              <w:adjustRightInd/>
              <w:snapToGrid/>
              <w:spacing w:before="0" w:after="0" w:line="560" w:lineRule="exact"/>
              <w:ind w:left="0"/>
              <w:jc w:val="center"/>
              <w:textAlignment w:val="auto"/>
            </w:pPr>
            <w:r>
              <w:rPr>
                <w:rFonts w:hint="eastAsia"/>
              </w:rPr>
              <w:t>建设内容及规模</w:t>
            </w:r>
          </w:p>
        </w:tc>
        <w:tc>
          <w:tcPr>
            <w:tcW w:w="1883" w:type="dxa"/>
            <w:vAlign w:val="center"/>
          </w:tcPr>
          <w:p w14:paraId="6FB4F23C">
            <w:pPr>
              <w:pStyle w:val="17"/>
              <w:keepNext w:val="0"/>
              <w:keepLines w:val="0"/>
              <w:pageBreakBefore w:val="0"/>
              <w:widowControl w:val="0"/>
              <w:kinsoku/>
              <w:wordWrap/>
              <w:overflowPunct/>
              <w:topLinePunct w:val="0"/>
              <w:autoSpaceDE w:val="0"/>
              <w:autoSpaceDN w:val="0"/>
              <w:bidi w:val="0"/>
              <w:adjustRightInd/>
              <w:snapToGrid/>
              <w:spacing w:before="0" w:after="0" w:line="560" w:lineRule="exact"/>
              <w:ind w:left="0"/>
              <w:jc w:val="center"/>
              <w:textAlignment w:val="auto"/>
              <w:rPr>
                <w:rFonts w:hint="eastAsia" w:eastAsia="仿宋_GB2312"/>
                <w:lang w:eastAsia="zh-CN"/>
              </w:rPr>
            </w:pPr>
            <w:r>
              <w:rPr>
                <w:rFonts w:hint="eastAsia"/>
              </w:rPr>
              <w:t>建设</w:t>
            </w:r>
            <w:r>
              <w:rPr>
                <w:rFonts w:hint="eastAsia"/>
                <w:lang w:eastAsia="zh-CN"/>
              </w:rPr>
              <w:t>时间</w:t>
            </w:r>
          </w:p>
        </w:tc>
        <w:tc>
          <w:tcPr>
            <w:tcW w:w="1334" w:type="dxa"/>
            <w:vAlign w:val="center"/>
          </w:tcPr>
          <w:p w14:paraId="4DBEE1E9">
            <w:pPr>
              <w:pStyle w:val="17"/>
              <w:keepNext w:val="0"/>
              <w:keepLines w:val="0"/>
              <w:pageBreakBefore w:val="0"/>
              <w:widowControl w:val="0"/>
              <w:kinsoku/>
              <w:wordWrap/>
              <w:overflowPunct/>
              <w:topLinePunct w:val="0"/>
              <w:autoSpaceDE w:val="0"/>
              <w:autoSpaceDN w:val="0"/>
              <w:bidi w:val="0"/>
              <w:adjustRightInd/>
              <w:snapToGrid/>
              <w:spacing w:before="0" w:after="0" w:line="560" w:lineRule="exact"/>
              <w:ind w:left="0"/>
              <w:jc w:val="center"/>
              <w:textAlignment w:val="auto"/>
            </w:pPr>
            <w:r>
              <w:rPr>
                <w:rFonts w:hint="eastAsia"/>
              </w:rPr>
              <w:t>总投资(万元)</w:t>
            </w:r>
          </w:p>
        </w:tc>
        <w:tc>
          <w:tcPr>
            <w:tcW w:w="1650" w:type="dxa"/>
            <w:vAlign w:val="center"/>
          </w:tcPr>
          <w:p w14:paraId="4B043948">
            <w:pPr>
              <w:pStyle w:val="17"/>
              <w:keepNext w:val="0"/>
              <w:keepLines w:val="0"/>
              <w:pageBreakBefore w:val="0"/>
              <w:widowControl w:val="0"/>
              <w:kinsoku/>
              <w:wordWrap/>
              <w:overflowPunct/>
              <w:topLinePunct w:val="0"/>
              <w:autoSpaceDE w:val="0"/>
              <w:autoSpaceDN w:val="0"/>
              <w:bidi w:val="0"/>
              <w:adjustRightInd/>
              <w:snapToGrid/>
              <w:spacing w:before="0" w:after="0" w:line="560" w:lineRule="exact"/>
              <w:ind w:left="0"/>
              <w:jc w:val="center"/>
              <w:textAlignment w:val="auto"/>
              <w:rPr>
                <w:rFonts w:hint="eastAsia"/>
              </w:rPr>
            </w:pPr>
            <w:r>
              <w:rPr>
                <w:rFonts w:hint="eastAsia"/>
              </w:rPr>
              <w:t>计划投资</w:t>
            </w:r>
          </w:p>
          <w:p w14:paraId="1863F2B2">
            <w:pPr>
              <w:pStyle w:val="17"/>
              <w:keepNext w:val="0"/>
              <w:keepLines w:val="0"/>
              <w:pageBreakBefore w:val="0"/>
              <w:widowControl w:val="0"/>
              <w:kinsoku/>
              <w:wordWrap/>
              <w:overflowPunct/>
              <w:topLinePunct w:val="0"/>
              <w:autoSpaceDE w:val="0"/>
              <w:autoSpaceDN w:val="0"/>
              <w:bidi w:val="0"/>
              <w:adjustRightInd/>
              <w:snapToGrid/>
              <w:spacing w:before="0" w:after="0" w:line="560" w:lineRule="exact"/>
              <w:ind w:left="0"/>
              <w:jc w:val="center"/>
              <w:textAlignment w:val="auto"/>
            </w:pPr>
            <w:r>
              <w:rPr>
                <w:rFonts w:hint="eastAsia"/>
              </w:rPr>
              <w:t>(万元)</w:t>
            </w:r>
          </w:p>
        </w:tc>
        <w:tc>
          <w:tcPr>
            <w:tcW w:w="1700" w:type="dxa"/>
            <w:vAlign w:val="center"/>
          </w:tcPr>
          <w:p w14:paraId="3896FF94">
            <w:pPr>
              <w:pStyle w:val="17"/>
              <w:keepNext w:val="0"/>
              <w:keepLines w:val="0"/>
              <w:pageBreakBefore w:val="0"/>
              <w:widowControl w:val="0"/>
              <w:kinsoku/>
              <w:wordWrap/>
              <w:overflowPunct/>
              <w:topLinePunct w:val="0"/>
              <w:autoSpaceDE w:val="0"/>
              <w:autoSpaceDN w:val="0"/>
              <w:bidi w:val="0"/>
              <w:adjustRightInd/>
              <w:snapToGrid/>
              <w:spacing w:before="0" w:after="0" w:line="560" w:lineRule="exact"/>
              <w:ind w:left="0"/>
              <w:jc w:val="center"/>
              <w:textAlignment w:val="auto"/>
            </w:pPr>
            <w:r>
              <w:rPr>
                <w:rFonts w:hint="eastAsia"/>
              </w:rPr>
              <w:t>建设阶段</w:t>
            </w:r>
          </w:p>
        </w:tc>
      </w:tr>
      <w:tr w14:paraId="68FE3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6" w:hRule="atLeast"/>
        </w:trPr>
        <w:tc>
          <w:tcPr>
            <w:tcW w:w="917" w:type="dxa"/>
            <w:vAlign w:val="center"/>
          </w:tcPr>
          <w:p w14:paraId="2A992DAC">
            <w:pPr>
              <w:pStyle w:val="17"/>
              <w:keepNext w:val="0"/>
              <w:keepLines w:val="0"/>
              <w:pageBreakBefore w:val="0"/>
              <w:widowControl w:val="0"/>
              <w:kinsoku/>
              <w:wordWrap/>
              <w:overflowPunct/>
              <w:topLinePunct w:val="0"/>
              <w:autoSpaceDE w:val="0"/>
              <w:autoSpaceDN w:val="0"/>
              <w:bidi w:val="0"/>
              <w:adjustRightInd/>
              <w:spacing w:line="560" w:lineRule="exact"/>
              <w:ind w:left="0" w:leftChars="0"/>
              <w:jc w:val="center"/>
              <w:textAlignment w:val="auto"/>
              <w:rPr>
                <w:rFonts w:hint="eastAsia" w:eastAsia="仿宋_GB2312"/>
                <w:lang w:val="en-US" w:eastAsia="zh-CN"/>
              </w:rPr>
            </w:pPr>
            <w:r>
              <w:rPr>
                <w:rFonts w:hint="eastAsia"/>
                <w:lang w:val="en-US" w:eastAsia="zh-CN"/>
              </w:rPr>
              <w:t>1</w:t>
            </w:r>
          </w:p>
        </w:tc>
        <w:tc>
          <w:tcPr>
            <w:tcW w:w="1555" w:type="dxa"/>
            <w:vAlign w:val="center"/>
          </w:tcPr>
          <w:p w14:paraId="61288453">
            <w:pPr>
              <w:pStyle w:val="17"/>
              <w:keepNext w:val="0"/>
              <w:keepLines w:val="0"/>
              <w:pageBreakBefore w:val="0"/>
              <w:widowControl w:val="0"/>
              <w:kinsoku/>
              <w:wordWrap/>
              <w:overflowPunct/>
              <w:topLinePunct w:val="0"/>
              <w:autoSpaceDE w:val="0"/>
              <w:autoSpaceDN w:val="0"/>
              <w:bidi w:val="0"/>
              <w:adjustRightInd/>
              <w:spacing w:line="560" w:lineRule="exact"/>
              <w:ind w:left="0" w:leftChars="0"/>
              <w:jc w:val="center"/>
              <w:textAlignment w:val="auto"/>
              <w:rPr>
                <w:rFonts w:hint="default" w:eastAsia="仿宋_GB2312"/>
                <w:lang w:val="en-US" w:eastAsia="zh-CN"/>
              </w:rPr>
            </w:pPr>
            <w:r>
              <w:rPr>
                <w:rFonts w:hint="eastAsia"/>
                <w:lang w:val="en-US" w:eastAsia="zh-CN"/>
              </w:rPr>
              <w:t>梅县区全民健身中心</w:t>
            </w:r>
          </w:p>
        </w:tc>
        <w:tc>
          <w:tcPr>
            <w:tcW w:w="6233" w:type="dxa"/>
            <w:vAlign w:val="center"/>
          </w:tcPr>
          <w:p w14:paraId="658760BF">
            <w:pPr>
              <w:pStyle w:val="17"/>
              <w:keepNext w:val="0"/>
              <w:keepLines w:val="0"/>
              <w:pageBreakBefore w:val="0"/>
              <w:widowControl w:val="0"/>
              <w:kinsoku/>
              <w:wordWrap/>
              <w:overflowPunct/>
              <w:topLinePunct w:val="0"/>
              <w:autoSpaceDE w:val="0"/>
              <w:autoSpaceDN w:val="0"/>
              <w:bidi w:val="0"/>
              <w:adjustRightInd/>
              <w:spacing w:line="560" w:lineRule="exact"/>
              <w:ind w:left="0" w:leftChars="0"/>
              <w:jc w:val="both"/>
              <w:textAlignment w:val="auto"/>
              <w:rPr>
                <w:sz w:val="24"/>
                <w:szCs w:val="24"/>
              </w:rPr>
            </w:pPr>
            <w:r>
              <w:rPr>
                <w:rFonts w:hint="eastAsia" w:ascii="仿宋_GB2312" w:hAnsi="仿宋_GB2312" w:eastAsia="仿宋_GB2312" w:cs="仿宋_GB2312"/>
                <w:color w:val="000000"/>
                <w:kern w:val="0"/>
                <w:sz w:val="24"/>
                <w:szCs w:val="24"/>
                <w:lang w:bidi="ar"/>
              </w:rPr>
              <w:t>建设用地60亩，内含篮球场、羽毛球场、乒乓球场、器械健身用房及配套服务用房；一栋室内游泳馆及配套服务用房；一个室外健身场地，内含室外健身场地及相关配套设施。</w:t>
            </w:r>
          </w:p>
        </w:tc>
        <w:tc>
          <w:tcPr>
            <w:tcW w:w="1883" w:type="dxa"/>
            <w:vAlign w:val="center"/>
          </w:tcPr>
          <w:p w14:paraId="0A08DEC4">
            <w:pPr>
              <w:pStyle w:val="17"/>
              <w:keepNext w:val="0"/>
              <w:keepLines w:val="0"/>
              <w:pageBreakBefore w:val="0"/>
              <w:widowControl w:val="0"/>
              <w:kinsoku/>
              <w:wordWrap/>
              <w:overflowPunct/>
              <w:topLinePunct w:val="0"/>
              <w:autoSpaceDE w:val="0"/>
              <w:autoSpaceDN w:val="0"/>
              <w:bidi w:val="0"/>
              <w:adjustRightInd/>
              <w:spacing w:line="560" w:lineRule="exact"/>
              <w:ind w:left="0" w:leftChars="0"/>
              <w:jc w:val="center"/>
              <w:textAlignment w:val="auto"/>
              <w:rPr>
                <w:rFonts w:hint="default" w:eastAsia="仿宋_GB2312"/>
                <w:lang w:val="en-US" w:eastAsia="zh-CN"/>
              </w:rPr>
            </w:pPr>
            <w:r>
              <w:rPr>
                <w:rFonts w:hint="eastAsia"/>
                <w:lang w:val="en-US" w:eastAsia="zh-CN"/>
              </w:rPr>
              <w:t>2026-2030年</w:t>
            </w:r>
          </w:p>
        </w:tc>
        <w:tc>
          <w:tcPr>
            <w:tcW w:w="1334" w:type="dxa"/>
            <w:vAlign w:val="center"/>
          </w:tcPr>
          <w:p w14:paraId="2123C17D">
            <w:pPr>
              <w:pStyle w:val="17"/>
              <w:keepNext w:val="0"/>
              <w:keepLines w:val="0"/>
              <w:pageBreakBefore w:val="0"/>
              <w:widowControl w:val="0"/>
              <w:kinsoku/>
              <w:wordWrap/>
              <w:overflowPunct/>
              <w:topLinePunct w:val="0"/>
              <w:autoSpaceDE w:val="0"/>
              <w:autoSpaceDN w:val="0"/>
              <w:bidi w:val="0"/>
              <w:adjustRightInd/>
              <w:spacing w:line="560" w:lineRule="exact"/>
              <w:ind w:left="0" w:leftChars="0"/>
              <w:jc w:val="center"/>
              <w:textAlignment w:val="auto"/>
              <w:rPr>
                <w:rFonts w:hint="default" w:eastAsia="仿宋_GB2312"/>
                <w:lang w:val="en-US" w:eastAsia="zh-CN"/>
              </w:rPr>
            </w:pPr>
            <w:r>
              <w:rPr>
                <w:rFonts w:hint="eastAsia"/>
                <w:lang w:val="en-US" w:eastAsia="zh-CN"/>
              </w:rPr>
              <w:t>4002.84</w:t>
            </w:r>
          </w:p>
        </w:tc>
        <w:tc>
          <w:tcPr>
            <w:tcW w:w="1650" w:type="dxa"/>
            <w:vAlign w:val="center"/>
          </w:tcPr>
          <w:p w14:paraId="28B10F96">
            <w:pPr>
              <w:pStyle w:val="17"/>
              <w:keepNext w:val="0"/>
              <w:keepLines w:val="0"/>
              <w:pageBreakBefore w:val="0"/>
              <w:widowControl w:val="0"/>
              <w:kinsoku/>
              <w:wordWrap/>
              <w:overflowPunct/>
              <w:topLinePunct w:val="0"/>
              <w:autoSpaceDE w:val="0"/>
              <w:autoSpaceDN w:val="0"/>
              <w:bidi w:val="0"/>
              <w:adjustRightInd/>
              <w:spacing w:line="560" w:lineRule="exact"/>
              <w:ind w:left="0" w:leftChars="0"/>
              <w:jc w:val="center"/>
              <w:textAlignment w:val="auto"/>
              <w:rPr>
                <w:rFonts w:hint="default" w:eastAsia="仿宋_GB2312"/>
                <w:lang w:val="en-US" w:eastAsia="zh-CN"/>
              </w:rPr>
            </w:pPr>
            <w:r>
              <w:rPr>
                <w:rFonts w:hint="eastAsia"/>
                <w:lang w:val="en-US" w:eastAsia="zh-CN"/>
              </w:rPr>
              <w:t>4002.84</w:t>
            </w:r>
          </w:p>
        </w:tc>
        <w:tc>
          <w:tcPr>
            <w:tcW w:w="1700" w:type="dxa"/>
            <w:vAlign w:val="center"/>
          </w:tcPr>
          <w:p w14:paraId="60E4B1BD">
            <w:pPr>
              <w:pStyle w:val="17"/>
              <w:keepNext w:val="0"/>
              <w:keepLines w:val="0"/>
              <w:pageBreakBefore w:val="0"/>
              <w:widowControl w:val="0"/>
              <w:kinsoku/>
              <w:wordWrap/>
              <w:overflowPunct/>
              <w:topLinePunct w:val="0"/>
              <w:autoSpaceDE w:val="0"/>
              <w:autoSpaceDN w:val="0"/>
              <w:bidi w:val="0"/>
              <w:adjustRightInd/>
              <w:spacing w:line="560" w:lineRule="exact"/>
              <w:ind w:left="0" w:leftChars="0"/>
              <w:jc w:val="center"/>
              <w:textAlignment w:val="auto"/>
            </w:pPr>
            <w:r>
              <w:rPr>
                <w:rFonts w:hint="eastAsia"/>
              </w:rPr>
              <w:t>储备</w:t>
            </w:r>
          </w:p>
        </w:tc>
      </w:tr>
      <w:tr w14:paraId="1DDD7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4" w:hRule="atLeast"/>
        </w:trPr>
        <w:tc>
          <w:tcPr>
            <w:tcW w:w="917" w:type="dxa"/>
            <w:vAlign w:val="center"/>
          </w:tcPr>
          <w:p w14:paraId="2C623901">
            <w:pPr>
              <w:pStyle w:val="17"/>
              <w:keepNext w:val="0"/>
              <w:keepLines w:val="0"/>
              <w:pageBreakBefore w:val="0"/>
              <w:widowControl w:val="0"/>
              <w:kinsoku/>
              <w:wordWrap/>
              <w:overflowPunct/>
              <w:topLinePunct w:val="0"/>
              <w:autoSpaceDE w:val="0"/>
              <w:autoSpaceDN w:val="0"/>
              <w:bidi w:val="0"/>
              <w:adjustRightInd/>
              <w:spacing w:line="560" w:lineRule="exact"/>
              <w:ind w:left="0" w:leftChars="0"/>
              <w:jc w:val="center"/>
              <w:textAlignment w:val="auto"/>
              <w:rPr>
                <w:rFonts w:hint="eastAsia" w:eastAsia="仿宋_GB2312"/>
                <w:lang w:val="en-US" w:eastAsia="zh-CN"/>
              </w:rPr>
            </w:pPr>
            <w:r>
              <w:rPr>
                <w:rFonts w:hint="eastAsia"/>
                <w:lang w:val="en-US" w:eastAsia="zh-CN"/>
              </w:rPr>
              <w:t>2</w:t>
            </w:r>
          </w:p>
        </w:tc>
        <w:tc>
          <w:tcPr>
            <w:tcW w:w="1555" w:type="dxa"/>
            <w:vAlign w:val="center"/>
          </w:tcPr>
          <w:p w14:paraId="2032804F">
            <w:pPr>
              <w:pStyle w:val="17"/>
              <w:keepNext w:val="0"/>
              <w:keepLines w:val="0"/>
              <w:pageBreakBefore w:val="0"/>
              <w:widowControl w:val="0"/>
              <w:kinsoku/>
              <w:wordWrap/>
              <w:overflowPunct/>
              <w:topLinePunct w:val="0"/>
              <w:autoSpaceDE w:val="0"/>
              <w:autoSpaceDN w:val="0"/>
              <w:bidi w:val="0"/>
              <w:adjustRightInd/>
              <w:spacing w:line="560" w:lineRule="exact"/>
              <w:ind w:left="0" w:leftChars="0"/>
              <w:jc w:val="center"/>
              <w:textAlignment w:val="auto"/>
              <w:rPr>
                <w:rFonts w:hint="default" w:eastAsia="仿宋_GB2312"/>
                <w:lang w:val="en-US" w:eastAsia="zh-CN"/>
              </w:rPr>
            </w:pPr>
            <w:r>
              <w:rPr>
                <w:rFonts w:hint="eastAsia"/>
                <w:lang w:val="en-US" w:eastAsia="zh-CN"/>
              </w:rPr>
              <w:t>梅县区体育公园</w:t>
            </w:r>
          </w:p>
        </w:tc>
        <w:tc>
          <w:tcPr>
            <w:tcW w:w="6233" w:type="dxa"/>
            <w:vAlign w:val="center"/>
          </w:tcPr>
          <w:p w14:paraId="0713F506">
            <w:pPr>
              <w:pStyle w:val="17"/>
              <w:keepNext w:val="0"/>
              <w:keepLines w:val="0"/>
              <w:pageBreakBefore w:val="0"/>
              <w:widowControl w:val="0"/>
              <w:kinsoku/>
              <w:wordWrap/>
              <w:overflowPunct/>
              <w:topLinePunct w:val="0"/>
              <w:autoSpaceDE w:val="0"/>
              <w:autoSpaceDN w:val="0"/>
              <w:bidi w:val="0"/>
              <w:adjustRightInd/>
              <w:spacing w:line="560" w:lineRule="exact"/>
              <w:ind w:left="0" w:leftChars="0"/>
              <w:jc w:val="both"/>
              <w:textAlignment w:val="auto"/>
              <w:rPr>
                <w:sz w:val="24"/>
                <w:szCs w:val="24"/>
              </w:rPr>
            </w:pPr>
            <w:r>
              <w:rPr>
                <w:rFonts w:hint="eastAsia" w:ascii="仿宋_GB2312" w:hAnsi="仿宋_GB2312" w:eastAsia="仿宋_GB2312" w:cs="仿宋_GB2312"/>
                <w:color w:val="000000"/>
                <w:kern w:val="0"/>
                <w:sz w:val="24"/>
                <w:szCs w:val="24"/>
                <w:lang w:bidi="ar"/>
              </w:rPr>
              <w:t>体育公园项目规划面积350亩（其中建设用地100亩），体育公园内规划建设足球场、篮球场、网球场等健身场地及相关配套设施，项目建设总投资</w:t>
            </w:r>
            <w:r>
              <w:rPr>
                <w:rFonts w:hint="eastAsia" w:cs="仿宋_GB2312"/>
                <w:color w:val="000000"/>
                <w:kern w:val="0"/>
                <w:sz w:val="24"/>
                <w:szCs w:val="24"/>
                <w:lang w:val="en-US" w:eastAsia="zh-CN" w:bidi="ar"/>
              </w:rPr>
              <w:t>6000</w:t>
            </w:r>
            <w:r>
              <w:rPr>
                <w:rFonts w:hint="eastAsia" w:ascii="仿宋_GB2312" w:hAnsi="仿宋_GB2312" w:eastAsia="仿宋_GB2312" w:cs="仿宋_GB2312"/>
                <w:color w:val="000000"/>
                <w:kern w:val="0"/>
                <w:sz w:val="24"/>
                <w:szCs w:val="24"/>
                <w:lang w:bidi="ar"/>
              </w:rPr>
              <w:t>万元。</w:t>
            </w:r>
          </w:p>
        </w:tc>
        <w:tc>
          <w:tcPr>
            <w:tcW w:w="1883" w:type="dxa"/>
            <w:vAlign w:val="center"/>
          </w:tcPr>
          <w:p w14:paraId="565F5F92">
            <w:pPr>
              <w:pStyle w:val="17"/>
              <w:keepNext w:val="0"/>
              <w:keepLines w:val="0"/>
              <w:pageBreakBefore w:val="0"/>
              <w:widowControl w:val="0"/>
              <w:kinsoku/>
              <w:wordWrap/>
              <w:overflowPunct/>
              <w:topLinePunct w:val="0"/>
              <w:autoSpaceDE w:val="0"/>
              <w:autoSpaceDN w:val="0"/>
              <w:bidi w:val="0"/>
              <w:adjustRightInd/>
              <w:spacing w:line="560" w:lineRule="exact"/>
              <w:ind w:left="0" w:leftChars="0"/>
              <w:jc w:val="center"/>
              <w:textAlignment w:val="auto"/>
            </w:pPr>
            <w:r>
              <w:rPr>
                <w:rFonts w:hint="eastAsia"/>
                <w:lang w:val="en-US" w:eastAsia="zh-CN"/>
              </w:rPr>
              <w:t>2026-2030年</w:t>
            </w:r>
          </w:p>
        </w:tc>
        <w:tc>
          <w:tcPr>
            <w:tcW w:w="1334" w:type="dxa"/>
            <w:vAlign w:val="center"/>
          </w:tcPr>
          <w:p w14:paraId="6401737E">
            <w:pPr>
              <w:pStyle w:val="17"/>
              <w:keepNext w:val="0"/>
              <w:keepLines w:val="0"/>
              <w:pageBreakBefore w:val="0"/>
              <w:widowControl w:val="0"/>
              <w:kinsoku/>
              <w:wordWrap/>
              <w:overflowPunct/>
              <w:topLinePunct w:val="0"/>
              <w:autoSpaceDE w:val="0"/>
              <w:autoSpaceDN w:val="0"/>
              <w:bidi w:val="0"/>
              <w:adjustRightInd/>
              <w:spacing w:line="560" w:lineRule="exact"/>
              <w:ind w:left="0" w:leftChars="0"/>
              <w:jc w:val="center"/>
              <w:textAlignment w:val="auto"/>
              <w:rPr>
                <w:rFonts w:hint="default" w:eastAsia="仿宋_GB2312"/>
                <w:lang w:val="en-US" w:eastAsia="zh-CN"/>
              </w:rPr>
            </w:pPr>
            <w:r>
              <w:rPr>
                <w:rFonts w:hint="eastAsia"/>
                <w:lang w:val="en-US" w:eastAsia="zh-CN"/>
              </w:rPr>
              <w:t>6000</w:t>
            </w:r>
          </w:p>
        </w:tc>
        <w:tc>
          <w:tcPr>
            <w:tcW w:w="1650" w:type="dxa"/>
            <w:vAlign w:val="center"/>
          </w:tcPr>
          <w:p w14:paraId="1415DA95">
            <w:pPr>
              <w:pStyle w:val="17"/>
              <w:keepNext w:val="0"/>
              <w:keepLines w:val="0"/>
              <w:pageBreakBefore w:val="0"/>
              <w:widowControl w:val="0"/>
              <w:kinsoku/>
              <w:wordWrap/>
              <w:overflowPunct/>
              <w:topLinePunct w:val="0"/>
              <w:autoSpaceDE w:val="0"/>
              <w:autoSpaceDN w:val="0"/>
              <w:bidi w:val="0"/>
              <w:adjustRightInd/>
              <w:spacing w:line="560" w:lineRule="exact"/>
              <w:ind w:left="0" w:leftChars="0"/>
              <w:jc w:val="center"/>
              <w:textAlignment w:val="auto"/>
              <w:rPr>
                <w:rFonts w:hint="default" w:eastAsia="仿宋_GB2312"/>
                <w:lang w:val="en-US" w:eastAsia="zh-CN"/>
              </w:rPr>
            </w:pPr>
            <w:r>
              <w:rPr>
                <w:rFonts w:hint="eastAsia"/>
                <w:lang w:val="en-US" w:eastAsia="zh-CN"/>
              </w:rPr>
              <w:t>6000</w:t>
            </w:r>
          </w:p>
        </w:tc>
        <w:tc>
          <w:tcPr>
            <w:tcW w:w="1700" w:type="dxa"/>
            <w:vAlign w:val="center"/>
          </w:tcPr>
          <w:p w14:paraId="25599F03">
            <w:pPr>
              <w:pStyle w:val="17"/>
              <w:keepNext w:val="0"/>
              <w:keepLines w:val="0"/>
              <w:pageBreakBefore w:val="0"/>
              <w:widowControl w:val="0"/>
              <w:kinsoku/>
              <w:wordWrap/>
              <w:overflowPunct/>
              <w:topLinePunct w:val="0"/>
              <w:autoSpaceDE w:val="0"/>
              <w:autoSpaceDN w:val="0"/>
              <w:bidi w:val="0"/>
              <w:adjustRightInd/>
              <w:spacing w:line="560" w:lineRule="exact"/>
              <w:ind w:left="0" w:leftChars="0"/>
              <w:jc w:val="center"/>
              <w:textAlignment w:val="auto"/>
            </w:pPr>
            <w:r>
              <w:rPr>
                <w:rFonts w:hint="eastAsia"/>
              </w:rPr>
              <w:t>储备</w:t>
            </w:r>
          </w:p>
        </w:tc>
      </w:tr>
      <w:tr w14:paraId="10D46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9" w:hRule="atLeast"/>
        </w:trPr>
        <w:tc>
          <w:tcPr>
            <w:tcW w:w="917" w:type="dxa"/>
            <w:vAlign w:val="center"/>
          </w:tcPr>
          <w:p w14:paraId="2A53A6FE">
            <w:pPr>
              <w:pStyle w:val="17"/>
              <w:keepNext w:val="0"/>
              <w:keepLines w:val="0"/>
              <w:pageBreakBefore w:val="0"/>
              <w:widowControl w:val="0"/>
              <w:kinsoku/>
              <w:wordWrap/>
              <w:overflowPunct/>
              <w:topLinePunct w:val="0"/>
              <w:autoSpaceDE w:val="0"/>
              <w:autoSpaceDN w:val="0"/>
              <w:bidi w:val="0"/>
              <w:adjustRightInd/>
              <w:spacing w:line="560" w:lineRule="exact"/>
              <w:ind w:left="0" w:leftChars="0"/>
              <w:jc w:val="center"/>
              <w:textAlignment w:val="auto"/>
              <w:rPr>
                <w:rFonts w:hint="eastAsia"/>
                <w:lang w:val="en-US" w:eastAsia="zh-CN"/>
              </w:rPr>
            </w:pPr>
            <w:r>
              <w:rPr>
                <w:rFonts w:hint="eastAsia"/>
                <w:lang w:val="en-US" w:eastAsia="zh-CN"/>
              </w:rPr>
              <w:t>3</w:t>
            </w:r>
          </w:p>
        </w:tc>
        <w:tc>
          <w:tcPr>
            <w:tcW w:w="1555" w:type="dxa"/>
            <w:vAlign w:val="center"/>
          </w:tcPr>
          <w:p w14:paraId="02CEBC4E">
            <w:pPr>
              <w:pStyle w:val="17"/>
              <w:keepNext w:val="0"/>
              <w:keepLines w:val="0"/>
              <w:pageBreakBefore w:val="0"/>
              <w:widowControl w:val="0"/>
              <w:kinsoku/>
              <w:wordWrap/>
              <w:overflowPunct/>
              <w:topLinePunct w:val="0"/>
              <w:autoSpaceDE w:val="0"/>
              <w:autoSpaceDN w:val="0"/>
              <w:bidi w:val="0"/>
              <w:adjustRightInd/>
              <w:spacing w:line="560" w:lineRule="exact"/>
              <w:ind w:left="0" w:leftChars="0"/>
              <w:jc w:val="center"/>
              <w:textAlignment w:val="auto"/>
              <w:rPr>
                <w:rFonts w:hint="eastAsia"/>
                <w:lang w:val="en-US" w:eastAsia="zh-CN"/>
              </w:rPr>
            </w:pPr>
            <w:r>
              <w:rPr>
                <w:rFonts w:hint="eastAsia"/>
                <w:lang w:val="en-US" w:eastAsia="zh-CN"/>
              </w:rPr>
              <w:t>梅县区青少年足球训练中心</w:t>
            </w:r>
          </w:p>
        </w:tc>
        <w:tc>
          <w:tcPr>
            <w:tcW w:w="6233" w:type="dxa"/>
            <w:vAlign w:val="center"/>
          </w:tcPr>
          <w:p w14:paraId="46F86255">
            <w:pPr>
              <w:pStyle w:val="17"/>
              <w:keepNext w:val="0"/>
              <w:keepLines w:val="0"/>
              <w:pageBreakBefore w:val="0"/>
              <w:widowControl w:val="0"/>
              <w:kinsoku/>
              <w:wordWrap/>
              <w:overflowPunct/>
              <w:topLinePunct w:val="0"/>
              <w:autoSpaceDE w:val="0"/>
              <w:autoSpaceDN w:val="0"/>
              <w:bidi w:val="0"/>
              <w:adjustRightInd/>
              <w:spacing w:line="560" w:lineRule="exact"/>
              <w:ind w:left="0" w:leftChars="0"/>
              <w:jc w:val="both"/>
              <w:textAlignment w:val="auto"/>
              <w:rPr>
                <w:rFonts w:hint="eastAsia"/>
                <w:sz w:val="24"/>
                <w:szCs w:val="24"/>
              </w:rPr>
            </w:pPr>
            <w:r>
              <w:rPr>
                <w:rFonts w:hint="eastAsia"/>
                <w:sz w:val="24"/>
                <w:szCs w:val="24"/>
              </w:rPr>
              <w:t>打造集足球学校、球场、训练基地等于一体的</w:t>
            </w:r>
            <w:r>
              <w:rPr>
                <w:rFonts w:hint="eastAsia"/>
                <w:sz w:val="24"/>
                <w:szCs w:val="24"/>
                <w:lang w:val="en-US" w:eastAsia="zh-CN"/>
              </w:rPr>
              <w:t>大型青少年</w:t>
            </w:r>
            <w:r>
              <w:rPr>
                <w:rFonts w:hint="eastAsia"/>
                <w:sz w:val="24"/>
                <w:szCs w:val="24"/>
              </w:rPr>
              <w:t>足球</w:t>
            </w:r>
            <w:r>
              <w:rPr>
                <w:rFonts w:hint="eastAsia"/>
                <w:sz w:val="24"/>
                <w:szCs w:val="24"/>
                <w:lang w:val="en-US" w:eastAsia="zh-CN"/>
              </w:rPr>
              <w:t>训练</w:t>
            </w:r>
            <w:r>
              <w:rPr>
                <w:rFonts w:hint="eastAsia"/>
                <w:sz w:val="24"/>
                <w:szCs w:val="24"/>
              </w:rPr>
              <w:t>基地</w:t>
            </w:r>
          </w:p>
        </w:tc>
        <w:tc>
          <w:tcPr>
            <w:tcW w:w="1883" w:type="dxa"/>
            <w:vAlign w:val="center"/>
          </w:tcPr>
          <w:p w14:paraId="06F92580">
            <w:pPr>
              <w:pStyle w:val="17"/>
              <w:keepNext w:val="0"/>
              <w:keepLines w:val="0"/>
              <w:pageBreakBefore w:val="0"/>
              <w:widowControl w:val="0"/>
              <w:kinsoku/>
              <w:wordWrap/>
              <w:overflowPunct/>
              <w:topLinePunct w:val="0"/>
              <w:autoSpaceDE w:val="0"/>
              <w:autoSpaceDN w:val="0"/>
              <w:bidi w:val="0"/>
              <w:adjustRightInd/>
              <w:spacing w:line="560" w:lineRule="exact"/>
              <w:ind w:left="0" w:leftChars="0"/>
              <w:jc w:val="center"/>
              <w:textAlignment w:val="auto"/>
              <w:rPr>
                <w:rFonts w:hint="eastAsia"/>
                <w:lang w:val="en-US" w:eastAsia="zh-CN"/>
              </w:rPr>
            </w:pPr>
            <w:r>
              <w:rPr>
                <w:rFonts w:hint="eastAsia"/>
                <w:lang w:val="en-US" w:eastAsia="zh-CN"/>
              </w:rPr>
              <w:t>2026-2030年</w:t>
            </w:r>
          </w:p>
        </w:tc>
        <w:tc>
          <w:tcPr>
            <w:tcW w:w="1334" w:type="dxa"/>
            <w:vAlign w:val="center"/>
          </w:tcPr>
          <w:p w14:paraId="1D1A99FD">
            <w:pPr>
              <w:pStyle w:val="17"/>
              <w:keepNext w:val="0"/>
              <w:keepLines w:val="0"/>
              <w:pageBreakBefore w:val="0"/>
              <w:widowControl w:val="0"/>
              <w:kinsoku/>
              <w:wordWrap/>
              <w:overflowPunct/>
              <w:topLinePunct w:val="0"/>
              <w:autoSpaceDE w:val="0"/>
              <w:autoSpaceDN w:val="0"/>
              <w:bidi w:val="0"/>
              <w:adjustRightInd/>
              <w:spacing w:line="560" w:lineRule="exact"/>
              <w:ind w:left="0" w:leftChars="0"/>
              <w:jc w:val="center"/>
              <w:textAlignment w:val="auto"/>
              <w:rPr>
                <w:rFonts w:hint="eastAsia"/>
                <w:lang w:val="en-US" w:eastAsia="zh-CN"/>
              </w:rPr>
            </w:pPr>
            <w:r>
              <w:rPr>
                <w:rFonts w:hint="eastAsia"/>
                <w:lang w:val="en-US" w:eastAsia="zh-CN"/>
              </w:rPr>
              <w:t>8000</w:t>
            </w:r>
          </w:p>
        </w:tc>
        <w:tc>
          <w:tcPr>
            <w:tcW w:w="1650" w:type="dxa"/>
            <w:vAlign w:val="center"/>
          </w:tcPr>
          <w:p w14:paraId="55B4E959">
            <w:pPr>
              <w:pStyle w:val="17"/>
              <w:keepNext w:val="0"/>
              <w:keepLines w:val="0"/>
              <w:pageBreakBefore w:val="0"/>
              <w:widowControl w:val="0"/>
              <w:kinsoku/>
              <w:wordWrap/>
              <w:overflowPunct/>
              <w:topLinePunct w:val="0"/>
              <w:autoSpaceDE w:val="0"/>
              <w:autoSpaceDN w:val="0"/>
              <w:bidi w:val="0"/>
              <w:adjustRightInd/>
              <w:spacing w:line="560" w:lineRule="exact"/>
              <w:ind w:left="0" w:leftChars="0"/>
              <w:jc w:val="center"/>
              <w:textAlignment w:val="auto"/>
              <w:rPr>
                <w:rFonts w:hint="eastAsia"/>
                <w:lang w:val="en-US" w:eastAsia="zh-CN"/>
              </w:rPr>
            </w:pPr>
            <w:r>
              <w:rPr>
                <w:rFonts w:hint="eastAsia"/>
                <w:lang w:val="en-US" w:eastAsia="zh-CN"/>
              </w:rPr>
              <w:t>8000</w:t>
            </w:r>
          </w:p>
        </w:tc>
        <w:tc>
          <w:tcPr>
            <w:tcW w:w="1700" w:type="dxa"/>
            <w:vAlign w:val="center"/>
          </w:tcPr>
          <w:p w14:paraId="5749D4AE">
            <w:pPr>
              <w:pStyle w:val="17"/>
              <w:keepNext w:val="0"/>
              <w:keepLines w:val="0"/>
              <w:pageBreakBefore w:val="0"/>
              <w:widowControl w:val="0"/>
              <w:kinsoku/>
              <w:wordWrap/>
              <w:overflowPunct/>
              <w:topLinePunct w:val="0"/>
              <w:autoSpaceDE w:val="0"/>
              <w:autoSpaceDN w:val="0"/>
              <w:bidi w:val="0"/>
              <w:adjustRightInd/>
              <w:spacing w:line="560" w:lineRule="exact"/>
              <w:ind w:left="0" w:leftChars="0"/>
              <w:jc w:val="center"/>
              <w:textAlignment w:val="auto"/>
              <w:rPr>
                <w:rFonts w:hint="eastAsia"/>
              </w:rPr>
            </w:pPr>
            <w:r>
              <w:rPr>
                <w:rFonts w:hint="eastAsia"/>
              </w:rPr>
              <w:t>储备</w:t>
            </w:r>
          </w:p>
        </w:tc>
      </w:tr>
    </w:tbl>
    <w:p w14:paraId="71D6E65C">
      <w:pPr>
        <w:pStyle w:val="4"/>
        <w:keepNext w:val="0"/>
        <w:keepLines w:val="0"/>
        <w:pageBreakBefore w:val="0"/>
        <w:widowControl w:val="0"/>
        <w:kinsoku/>
        <w:wordWrap/>
        <w:overflowPunct/>
        <w:topLinePunct w:val="0"/>
        <w:autoSpaceDE w:val="0"/>
        <w:autoSpaceDN w:val="0"/>
        <w:bidi w:val="0"/>
        <w:adjustRightInd/>
        <w:snapToGrid w:val="0"/>
        <w:spacing w:line="560" w:lineRule="exact"/>
        <w:ind w:left="0" w:leftChars="0" w:firstLine="0" w:firstLineChars="0"/>
        <w:textAlignment w:val="auto"/>
        <w:outlineLvl w:val="1"/>
        <w:rPr>
          <w:rFonts w:hint="eastAsia" w:ascii="Times New Roman" w:hAnsi="Times New Roman" w:eastAsia="仿宋_GB2312" w:cs="仿宋"/>
          <w:sz w:val="32"/>
          <w:szCs w:val="32"/>
        </w:rPr>
      </w:pPr>
    </w:p>
    <w:sectPr>
      <w:pgSz w:w="16838" w:h="11906" w:orient="landscape"/>
      <w:pgMar w:top="1587" w:right="2098" w:bottom="1474" w:left="1984" w:header="851" w:footer="992" w:gutter="0"/>
      <w:cols w:space="0" w:num="1"/>
      <w:docGrid w:type="linesAndChars" w:linePitch="312" w:charSpace="-18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MS PGothic">
    <w:panose1 w:val="020B0600070205080204"/>
    <w:charset w:val="80"/>
    <w:family w:val="auto"/>
    <w:pitch w:val="default"/>
    <w:sig w:usb0="E00002FF" w:usb1="6AC7FDFB" w:usb2="08000012" w:usb3="00000000" w:csb0="4002009F" w:csb1="DFD7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D28A8">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2BB40BE">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22BB40BE">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1"/>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NmYzcyMjM1OGNkZjEzMzQ0YjE5NWE3MzYyYWYyYjYifQ=="/>
  </w:docVars>
  <w:rsids>
    <w:rsidRoot w:val="0010766B"/>
    <w:rsid w:val="0002174F"/>
    <w:rsid w:val="00063BB1"/>
    <w:rsid w:val="00093978"/>
    <w:rsid w:val="0010766B"/>
    <w:rsid w:val="0014263C"/>
    <w:rsid w:val="00153D0E"/>
    <w:rsid w:val="001B7DFE"/>
    <w:rsid w:val="00210FF8"/>
    <w:rsid w:val="0024101E"/>
    <w:rsid w:val="00284BCC"/>
    <w:rsid w:val="002B1558"/>
    <w:rsid w:val="002B6FCE"/>
    <w:rsid w:val="003027F9"/>
    <w:rsid w:val="0036360E"/>
    <w:rsid w:val="003812B4"/>
    <w:rsid w:val="003A032B"/>
    <w:rsid w:val="003B5073"/>
    <w:rsid w:val="003F6551"/>
    <w:rsid w:val="00431D6A"/>
    <w:rsid w:val="0049082F"/>
    <w:rsid w:val="004952E2"/>
    <w:rsid w:val="004D609C"/>
    <w:rsid w:val="00556B5B"/>
    <w:rsid w:val="00592012"/>
    <w:rsid w:val="005973DA"/>
    <w:rsid w:val="005C2798"/>
    <w:rsid w:val="005C4894"/>
    <w:rsid w:val="0066021A"/>
    <w:rsid w:val="006C1AC6"/>
    <w:rsid w:val="006C5038"/>
    <w:rsid w:val="007718DD"/>
    <w:rsid w:val="00774C7E"/>
    <w:rsid w:val="00831793"/>
    <w:rsid w:val="009033BB"/>
    <w:rsid w:val="00923E3B"/>
    <w:rsid w:val="009259C4"/>
    <w:rsid w:val="009443E8"/>
    <w:rsid w:val="009B13F0"/>
    <w:rsid w:val="009D1754"/>
    <w:rsid w:val="00A0002B"/>
    <w:rsid w:val="00A7236D"/>
    <w:rsid w:val="00AB6CB1"/>
    <w:rsid w:val="00B941F8"/>
    <w:rsid w:val="00B97A1F"/>
    <w:rsid w:val="00C33CA1"/>
    <w:rsid w:val="00C60460"/>
    <w:rsid w:val="00C722EE"/>
    <w:rsid w:val="00C93BDC"/>
    <w:rsid w:val="00C9440E"/>
    <w:rsid w:val="00CF5B72"/>
    <w:rsid w:val="00D10DD3"/>
    <w:rsid w:val="00D11B0B"/>
    <w:rsid w:val="00D3708A"/>
    <w:rsid w:val="00D554AA"/>
    <w:rsid w:val="00D57C65"/>
    <w:rsid w:val="00D905E9"/>
    <w:rsid w:val="00DA7458"/>
    <w:rsid w:val="00DC240D"/>
    <w:rsid w:val="00DF3B61"/>
    <w:rsid w:val="00E0770D"/>
    <w:rsid w:val="00E24F5F"/>
    <w:rsid w:val="00E41144"/>
    <w:rsid w:val="00E502ED"/>
    <w:rsid w:val="00E7487B"/>
    <w:rsid w:val="00F20674"/>
    <w:rsid w:val="00F8265F"/>
    <w:rsid w:val="00FB59DA"/>
    <w:rsid w:val="01462FA1"/>
    <w:rsid w:val="01810928"/>
    <w:rsid w:val="024A7150"/>
    <w:rsid w:val="02615EC8"/>
    <w:rsid w:val="02A16C59"/>
    <w:rsid w:val="02BE6EF8"/>
    <w:rsid w:val="034E596F"/>
    <w:rsid w:val="039F5169"/>
    <w:rsid w:val="03CB2E58"/>
    <w:rsid w:val="046A4825"/>
    <w:rsid w:val="04B22E90"/>
    <w:rsid w:val="04F23DE3"/>
    <w:rsid w:val="055E5701"/>
    <w:rsid w:val="05EB3A51"/>
    <w:rsid w:val="06536215"/>
    <w:rsid w:val="06B66400"/>
    <w:rsid w:val="06BE11D2"/>
    <w:rsid w:val="06BE7ED1"/>
    <w:rsid w:val="072071C7"/>
    <w:rsid w:val="07D21AE8"/>
    <w:rsid w:val="0866371A"/>
    <w:rsid w:val="08DA2CAE"/>
    <w:rsid w:val="093E5F87"/>
    <w:rsid w:val="0A774EE2"/>
    <w:rsid w:val="0A7F2FCC"/>
    <w:rsid w:val="0ABC7D3C"/>
    <w:rsid w:val="0B083954"/>
    <w:rsid w:val="0B142CAB"/>
    <w:rsid w:val="0B7C362D"/>
    <w:rsid w:val="0B930B4A"/>
    <w:rsid w:val="0C220DA2"/>
    <w:rsid w:val="0C23660F"/>
    <w:rsid w:val="0D581CB6"/>
    <w:rsid w:val="0D86022A"/>
    <w:rsid w:val="0DA3748A"/>
    <w:rsid w:val="0E0A7F1A"/>
    <w:rsid w:val="0E496741"/>
    <w:rsid w:val="0E6F3AEC"/>
    <w:rsid w:val="0EBA634C"/>
    <w:rsid w:val="11F26D8C"/>
    <w:rsid w:val="134D37F6"/>
    <w:rsid w:val="137837D5"/>
    <w:rsid w:val="13E034F4"/>
    <w:rsid w:val="143E442E"/>
    <w:rsid w:val="150A3A31"/>
    <w:rsid w:val="15833093"/>
    <w:rsid w:val="168C663B"/>
    <w:rsid w:val="17307C15"/>
    <w:rsid w:val="17EA7E4F"/>
    <w:rsid w:val="17FF42B0"/>
    <w:rsid w:val="1811064D"/>
    <w:rsid w:val="183C4A0A"/>
    <w:rsid w:val="186E50A0"/>
    <w:rsid w:val="193F74C5"/>
    <w:rsid w:val="19EA654E"/>
    <w:rsid w:val="1A112604"/>
    <w:rsid w:val="1A1B0121"/>
    <w:rsid w:val="1BB0763D"/>
    <w:rsid w:val="1BC63395"/>
    <w:rsid w:val="1BC96191"/>
    <w:rsid w:val="1C1600A8"/>
    <w:rsid w:val="1C1F63DE"/>
    <w:rsid w:val="1C705992"/>
    <w:rsid w:val="1CB55162"/>
    <w:rsid w:val="1D7D4290"/>
    <w:rsid w:val="1D845B2A"/>
    <w:rsid w:val="1DCE3EB8"/>
    <w:rsid w:val="1DD821CC"/>
    <w:rsid w:val="1DDE4A92"/>
    <w:rsid w:val="1E203C6F"/>
    <w:rsid w:val="1E89521E"/>
    <w:rsid w:val="1EAE4BB5"/>
    <w:rsid w:val="1F034086"/>
    <w:rsid w:val="1F247838"/>
    <w:rsid w:val="1F711B13"/>
    <w:rsid w:val="20CD7B14"/>
    <w:rsid w:val="20DB4F4F"/>
    <w:rsid w:val="21155A04"/>
    <w:rsid w:val="220965BB"/>
    <w:rsid w:val="222942CB"/>
    <w:rsid w:val="22462A3B"/>
    <w:rsid w:val="235320BC"/>
    <w:rsid w:val="240B00FB"/>
    <w:rsid w:val="24DD09CF"/>
    <w:rsid w:val="257208DB"/>
    <w:rsid w:val="26724B0C"/>
    <w:rsid w:val="26ED4334"/>
    <w:rsid w:val="271567FD"/>
    <w:rsid w:val="286D2D04"/>
    <w:rsid w:val="28BA7BFE"/>
    <w:rsid w:val="2ACE2305"/>
    <w:rsid w:val="2AF71C16"/>
    <w:rsid w:val="2BC91113"/>
    <w:rsid w:val="2D791FC7"/>
    <w:rsid w:val="2DEF6E3B"/>
    <w:rsid w:val="2E6E71B9"/>
    <w:rsid w:val="2F09295F"/>
    <w:rsid w:val="301C0C51"/>
    <w:rsid w:val="309363E0"/>
    <w:rsid w:val="30A72EBF"/>
    <w:rsid w:val="30DF5752"/>
    <w:rsid w:val="31282EF5"/>
    <w:rsid w:val="312B46A9"/>
    <w:rsid w:val="32E751AD"/>
    <w:rsid w:val="33002F77"/>
    <w:rsid w:val="330E309C"/>
    <w:rsid w:val="33980E3A"/>
    <w:rsid w:val="34726BE9"/>
    <w:rsid w:val="34D62DBA"/>
    <w:rsid w:val="35366BF5"/>
    <w:rsid w:val="353E6297"/>
    <w:rsid w:val="35423992"/>
    <w:rsid w:val="35601568"/>
    <w:rsid w:val="35630F10"/>
    <w:rsid w:val="35DD4AC9"/>
    <w:rsid w:val="364B1C8E"/>
    <w:rsid w:val="36B56377"/>
    <w:rsid w:val="379B38BD"/>
    <w:rsid w:val="37FF0F30"/>
    <w:rsid w:val="380F2EF7"/>
    <w:rsid w:val="38192AE5"/>
    <w:rsid w:val="381A7AD7"/>
    <w:rsid w:val="381E3E41"/>
    <w:rsid w:val="38583B8B"/>
    <w:rsid w:val="38C26F76"/>
    <w:rsid w:val="39A36C1E"/>
    <w:rsid w:val="3A1B5EB6"/>
    <w:rsid w:val="3AE61755"/>
    <w:rsid w:val="3B6457D8"/>
    <w:rsid w:val="3B9F7EE4"/>
    <w:rsid w:val="3C590B6E"/>
    <w:rsid w:val="3C7A3836"/>
    <w:rsid w:val="3C822878"/>
    <w:rsid w:val="3D17731A"/>
    <w:rsid w:val="3DAD64A9"/>
    <w:rsid w:val="3EE32EF0"/>
    <w:rsid w:val="3F402F5B"/>
    <w:rsid w:val="3F560FC0"/>
    <w:rsid w:val="3F584CF9"/>
    <w:rsid w:val="3FD23130"/>
    <w:rsid w:val="3FD5416A"/>
    <w:rsid w:val="40503261"/>
    <w:rsid w:val="40F462E2"/>
    <w:rsid w:val="41360D89"/>
    <w:rsid w:val="414D4CD9"/>
    <w:rsid w:val="41EE4934"/>
    <w:rsid w:val="41FC4476"/>
    <w:rsid w:val="431736E3"/>
    <w:rsid w:val="4319757B"/>
    <w:rsid w:val="431C3C1E"/>
    <w:rsid w:val="439174EF"/>
    <w:rsid w:val="43B83730"/>
    <w:rsid w:val="43E82451"/>
    <w:rsid w:val="440C487A"/>
    <w:rsid w:val="45E41552"/>
    <w:rsid w:val="4645445C"/>
    <w:rsid w:val="474D31A4"/>
    <w:rsid w:val="478771AE"/>
    <w:rsid w:val="49AE4537"/>
    <w:rsid w:val="49BC526F"/>
    <w:rsid w:val="4A5725BE"/>
    <w:rsid w:val="4AF02F9F"/>
    <w:rsid w:val="4B6C7756"/>
    <w:rsid w:val="4B6E64F0"/>
    <w:rsid w:val="4B8028A7"/>
    <w:rsid w:val="4BAD6E47"/>
    <w:rsid w:val="4BFC24EE"/>
    <w:rsid w:val="4D2A59E9"/>
    <w:rsid w:val="4E175566"/>
    <w:rsid w:val="4EC03EAC"/>
    <w:rsid w:val="4F0264F5"/>
    <w:rsid w:val="4FBC74A1"/>
    <w:rsid w:val="4FCC082B"/>
    <w:rsid w:val="504F7337"/>
    <w:rsid w:val="50667867"/>
    <w:rsid w:val="507C6041"/>
    <w:rsid w:val="51264E83"/>
    <w:rsid w:val="519E7A26"/>
    <w:rsid w:val="52B23498"/>
    <w:rsid w:val="52EC246B"/>
    <w:rsid w:val="53667143"/>
    <w:rsid w:val="53E65073"/>
    <w:rsid w:val="541015D2"/>
    <w:rsid w:val="547B2DF8"/>
    <w:rsid w:val="547E1088"/>
    <w:rsid w:val="56176A1E"/>
    <w:rsid w:val="56297799"/>
    <w:rsid w:val="56684299"/>
    <w:rsid w:val="56781802"/>
    <w:rsid w:val="5714272E"/>
    <w:rsid w:val="57C80B0F"/>
    <w:rsid w:val="580F2CBA"/>
    <w:rsid w:val="583C075B"/>
    <w:rsid w:val="584A16A4"/>
    <w:rsid w:val="58925D16"/>
    <w:rsid w:val="58D57416"/>
    <w:rsid w:val="58E95B0B"/>
    <w:rsid w:val="59425791"/>
    <w:rsid w:val="5AA9633A"/>
    <w:rsid w:val="5C217C76"/>
    <w:rsid w:val="5DB313D3"/>
    <w:rsid w:val="5DBD6939"/>
    <w:rsid w:val="5DD754F4"/>
    <w:rsid w:val="5F88296C"/>
    <w:rsid w:val="5FB05024"/>
    <w:rsid w:val="5FFC6CD4"/>
    <w:rsid w:val="60276BDB"/>
    <w:rsid w:val="60483A70"/>
    <w:rsid w:val="60AB3BCC"/>
    <w:rsid w:val="612F44D4"/>
    <w:rsid w:val="61674418"/>
    <w:rsid w:val="61B6425F"/>
    <w:rsid w:val="61DF38E0"/>
    <w:rsid w:val="62C75870"/>
    <w:rsid w:val="6332598E"/>
    <w:rsid w:val="63D53029"/>
    <w:rsid w:val="63DF659A"/>
    <w:rsid w:val="63EA1105"/>
    <w:rsid w:val="64D9002D"/>
    <w:rsid w:val="64F56866"/>
    <w:rsid w:val="653F518D"/>
    <w:rsid w:val="65960A1E"/>
    <w:rsid w:val="664D6446"/>
    <w:rsid w:val="67686067"/>
    <w:rsid w:val="68D709D6"/>
    <w:rsid w:val="69E5096A"/>
    <w:rsid w:val="69F010B8"/>
    <w:rsid w:val="6A240E00"/>
    <w:rsid w:val="6A5850AB"/>
    <w:rsid w:val="6B695D2F"/>
    <w:rsid w:val="6B8D6048"/>
    <w:rsid w:val="6BA0016B"/>
    <w:rsid w:val="6BC73B27"/>
    <w:rsid w:val="6CB31215"/>
    <w:rsid w:val="6CC022A5"/>
    <w:rsid w:val="6D0C0F88"/>
    <w:rsid w:val="6E234054"/>
    <w:rsid w:val="6E2878D7"/>
    <w:rsid w:val="6E3B2A5B"/>
    <w:rsid w:val="6E481479"/>
    <w:rsid w:val="6E8A4308"/>
    <w:rsid w:val="6F74771F"/>
    <w:rsid w:val="705051E7"/>
    <w:rsid w:val="71284E37"/>
    <w:rsid w:val="7171764A"/>
    <w:rsid w:val="71855F2E"/>
    <w:rsid w:val="72597942"/>
    <w:rsid w:val="72ED3BA4"/>
    <w:rsid w:val="73526F22"/>
    <w:rsid w:val="73537B35"/>
    <w:rsid w:val="736638BF"/>
    <w:rsid w:val="739961C5"/>
    <w:rsid w:val="73A50C89"/>
    <w:rsid w:val="747D718B"/>
    <w:rsid w:val="755675CB"/>
    <w:rsid w:val="75DC339B"/>
    <w:rsid w:val="76213B81"/>
    <w:rsid w:val="765164F1"/>
    <w:rsid w:val="76A005CF"/>
    <w:rsid w:val="76FE7DA9"/>
    <w:rsid w:val="77434F58"/>
    <w:rsid w:val="774B70A0"/>
    <w:rsid w:val="77C60824"/>
    <w:rsid w:val="77F41310"/>
    <w:rsid w:val="78071FD8"/>
    <w:rsid w:val="781506A3"/>
    <w:rsid w:val="78265757"/>
    <w:rsid w:val="78432F1A"/>
    <w:rsid w:val="78A45C16"/>
    <w:rsid w:val="79507801"/>
    <w:rsid w:val="79FD0154"/>
    <w:rsid w:val="7A843436"/>
    <w:rsid w:val="7B0256AD"/>
    <w:rsid w:val="7CA02447"/>
    <w:rsid w:val="7D515862"/>
    <w:rsid w:val="7E4A0D41"/>
    <w:rsid w:val="7FE30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character" w:default="1" w:styleId="11">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link w:val="15"/>
    <w:autoRedefine/>
    <w:qFormat/>
    <w:uiPriority w:val="0"/>
    <w:pPr>
      <w:jc w:val="left"/>
    </w:pPr>
  </w:style>
  <w:style w:type="paragraph" w:styleId="4">
    <w:name w:val="Body Text"/>
    <w:basedOn w:val="1"/>
    <w:autoRedefine/>
    <w:qFormat/>
    <w:uiPriority w:val="1"/>
    <w:pPr>
      <w:ind w:left="111"/>
    </w:pPr>
    <w:rPr>
      <w:rFonts w:ascii="仿宋_GB2312" w:hAnsi="仿宋_GB2312" w:eastAsia="仿宋_GB2312" w:cs="仿宋_GB2312"/>
      <w:sz w:val="32"/>
      <w:szCs w:val="32"/>
      <w:lang w:val="zh-CN" w:bidi="zh-CN"/>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link w:val="14"/>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autoRedefine/>
    <w:qFormat/>
    <w:uiPriority w:val="0"/>
  </w:style>
  <w:style w:type="paragraph" w:styleId="8">
    <w:name w:val="Normal (Web)"/>
    <w:basedOn w:val="1"/>
    <w:autoRedefine/>
    <w:qFormat/>
    <w:uiPriority w:val="0"/>
    <w:pPr>
      <w:spacing w:beforeAutospacing="1" w:afterAutospacing="1"/>
      <w:jc w:val="left"/>
    </w:pPr>
    <w:rPr>
      <w:rFonts w:cs="Times New Roman"/>
      <w:kern w:val="0"/>
      <w:sz w:val="24"/>
    </w:rPr>
  </w:style>
  <w:style w:type="paragraph" w:styleId="9">
    <w:name w:val="annotation subject"/>
    <w:basedOn w:val="3"/>
    <w:next w:val="3"/>
    <w:link w:val="16"/>
    <w:autoRedefine/>
    <w:qFormat/>
    <w:uiPriority w:val="0"/>
    <w:rPr>
      <w:b/>
      <w:bCs/>
    </w:rPr>
  </w:style>
  <w:style w:type="character" w:styleId="12">
    <w:name w:val="Strong"/>
    <w:basedOn w:val="11"/>
    <w:autoRedefine/>
    <w:qFormat/>
    <w:uiPriority w:val="0"/>
    <w:rPr>
      <w:b/>
    </w:rPr>
  </w:style>
  <w:style w:type="character" w:styleId="13">
    <w:name w:val="annotation reference"/>
    <w:basedOn w:val="11"/>
    <w:autoRedefine/>
    <w:qFormat/>
    <w:uiPriority w:val="0"/>
    <w:rPr>
      <w:sz w:val="21"/>
      <w:szCs w:val="21"/>
    </w:rPr>
  </w:style>
  <w:style w:type="character" w:customStyle="1" w:styleId="14">
    <w:name w:val="页眉 Char"/>
    <w:basedOn w:val="11"/>
    <w:link w:val="6"/>
    <w:autoRedefine/>
    <w:qFormat/>
    <w:uiPriority w:val="0"/>
    <w:rPr>
      <w:rFonts w:asciiTheme="minorHAnsi" w:hAnsiTheme="minorHAnsi" w:eastAsiaTheme="minorEastAsia" w:cstheme="minorBidi"/>
      <w:kern w:val="2"/>
      <w:sz w:val="18"/>
      <w:szCs w:val="18"/>
    </w:rPr>
  </w:style>
  <w:style w:type="character" w:customStyle="1" w:styleId="15">
    <w:name w:val="批注文字 Char"/>
    <w:basedOn w:val="11"/>
    <w:link w:val="3"/>
    <w:autoRedefine/>
    <w:qFormat/>
    <w:uiPriority w:val="0"/>
    <w:rPr>
      <w:rFonts w:asciiTheme="minorHAnsi" w:hAnsiTheme="minorHAnsi" w:eastAsiaTheme="minorEastAsia" w:cstheme="minorBidi"/>
      <w:kern w:val="2"/>
      <w:sz w:val="21"/>
      <w:szCs w:val="24"/>
    </w:rPr>
  </w:style>
  <w:style w:type="character" w:customStyle="1" w:styleId="16">
    <w:name w:val="批注主题 Char"/>
    <w:basedOn w:val="15"/>
    <w:link w:val="9"/>
    <w:autoRedefine/>
    <w:qFormat/>
    <w:uiPriority w:val="0"/>
    <w:rPr>
      <w:rFonts w:asciiTheme="minorHAnsi" w:hAnsiTheme="minorHAnsi" w:eastAsiaTheme="minorEastAsia" w:cstheme="minorBidi"/>
      <w:b/>
      <w:bCs/>
      <w:kern w:val="2"/>
      <w:sz w:val="21"/>
      <w:szCs w:val="24"/>
    </w:rPr>
  </w:style>
  <w:style w:type="paragraph" w:customStyle="1" w:styleId="17">
    <w:name w:val="Compact1"/>
    <w:basedOn w:val="4"/>
    <w:autoRedefine/>
    <w:qFormat/>
    <w:uiPriority w:val="0"/>
    <w:pPr>
      <w:spacing w:before="36" w:after="36"/>
    </w:pPr>
  </w:style>
  <w:style w:type="table" w:customStyle="1" w:styleId="18">
    <w:name w:val="Table"/>
    <w:autoRedefine/>
    <w:semiHidden/>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blStylePr w:type="firstRow">
      <w:tcPr>
        <w:tcBorders>
          <w:bottom w:val="single" w:color="auto" w:sz="0" w:space="0"/>
        </w:tcBorders>
        <w:vAlign w:val="bottom"/>
      </w:tcPr>
    </w:tblStyle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hf</Company>
  <Pages>21</Pages>
  <Words>6018</Words>
  <Characters>6264</Characters>
  <Lines>60</Lines>
  <Paragraphs>17</Paragraphs>
  <TotalTime>19</TotalTime>
  <ScaleCrop>false</ScaleCrop>
  <LinksUpToDate>false</LinksUpToDate>
  <CharactersWithSpaces>6306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2021-05-26T02:09:00Z</dcterms:created>
  <dc:creator>Administrator</dc:creator>
  <cp:lastModifiedBy>林 枫</cp:lastModifiedBy>
  <cp:lastPrinted>2026-07-30T01:25:00Z</cp:lastPrinted>
  <dcterms:modified xsi:type="dcterms:W3CDTF">2026-07-30T01:37:00Z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30E7D6B5467A448487A4291F6FE34F9B_13</vt:lpwstr>
  </property>
  <property fmtid="{D5CDD505-2E9C-101B-9397-08002B2CF9AE}" pid="4" name="KSOTemplateDocerSaveRecord">
    <vt:lpwstr>eyJoZGlkIjoiYWQ4ODU2YjljZWRkZDM0Y2M5MzJkMDFmNDliODU5YmQiLCJ1c2VySWQiOiIxMDg0OTg5MDYzIn0=</vt:lpwstr>
  </property>
</Properties>
</file>