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hint="eastAsia" w:ascii="方正公文小标宋" w:hAnsi="方正公文小标宋" w:eastAsia="方正公文小标宋"/>
          <w:sz w:val="52"/>
          <w:szCs w:val="52"/>
        </w:rPr>
      </w:pPr>
    </w:p>
    <w:p>
      <w:pPr>
        <w:snapToGrid w:val="0"/>
        <w:rPr>
          <w:rFonts w:hint="eastAsia" w:ascii="方正公文小标宋" w:hAnsi="方正公文小标宋" w:eastAsia="方正公文小标宋"/>
          <w:sz w:val="52"/>
          <w:szCs w:val="52"/>
        </w:rPr>
      </w:pPr>
    </w:p>
    <w:p>
      <w:pPr>
        <w:snapToGrid w:val="0"/>
        <w:rPr>
          <w:rFonts w:hint="eastAsia" w:ascii="方正公文小标宋" w:hAnsi="方正公文小标宋" w:eastAsia="方正公文小标宋"/>
          <w:sz w:val="52"/>
          <w:szCs w:val="52"/>
        </w:rPr>
      </w:pPr>
    </w:p>
    <w:p>
      <w:pPr>
        <w:snapToGrid w:val="0"/>
        <w:rPr>
          <w:rFonts w:hint="eastAsia" w:ascii="方正公文小标宋" w:hAnsi="方正公文小标宋" w:eastAsia="方正公文小标宋"/>
          <w:sz w:val="52"/>
          <w:szCs w:val="52"/>
        </w:rPr>
      </w:pPr>
    </w:p>
    <w:p>
      <w:pPr>
        <w:snapToGrid w:val="0"/>
        <w:rPr>
          <w:rFonts w:hint="eastAsia" w:ascii="方正公文小标宋" w:hAnsi="方正公文小标宋" w:eastAsia="方正公文小标宋"/>
          <w:sz w:val="52"/>
          <w:szCs w:val="52"/>
        </w:rPr>
      </w:pPr>
    </w:p>
    <w:p>
      <w:pPr>
        <w:snapToGrid w:val="0"/>
        <w:jc w:val="center"/>
        <w:rPr>
          <w:rFonts w:hint="eastAsia" w:ascii="微软雅黑" w:hAnsi="微软雅黑" w:eastAsia="微软雅黑"/>
          <w:b/>
          <w:bCs/>
          <w:sz w:val="52"/>
          <w:szCs w:val="52"/>
        </w:rPr>
      </w:pPr>
      <w:r>
        <w:rPr>
          <w:rFonts w:ascii="微软雅黑" w:hAnsi="微软雅黑" w:eastAsia="微软雅黑"/>
          <w:b/>
          <w:bCs/>
          <w:sz w:val="52"/>
          <w:szCs w:val="52"/>
        </w:rPr>
        <w:t>梅州市梅县区文化和旅游发展</w:t>
      </w:r>
    </w:p>
    <w:p>
      <w:pPr>
        <w:snapToGrid w:val="0"/>
        <w:jc w:val="center"/>
        <w:rPr>
          <w:rFonts w:hint="eastAsia" w:ascii="微软雅黑" w:hAnsi="微软雅黑" w:eastAsia="微软雅黑"/>
          <w:b/>
          <w:bCs/>
          <w:sz w:val="52"/>
          <w:szCs w:val="52"/>
        </w:rPr>
      </w:pPr>
      <w:r>
        <w:rPr>
          <w:rFonts w:ascii="微软雅黑" w:hAnsi="微软雅黑" w:eastAsia="微软雅黑"/>
          <w:b/>
          <w:bCs/>
          <w:sz w:val="52"/>
          <w:szCs w:val="52"/>
        </w:rPr>
        <w:t>“十</w:t>
      </w:r>
      <w:r>
        <w:rPr>
          <w:rFonts w:hint="eastAsia" w:ascii="微软雅黑" w:hAnsi="微软雅黑" w:eastAsia="微软雅黑"/>
          <w:b/>
          <w:bCs/>
          <w:sz w:val="52"/>
          <w:szCs w:val="52"/>
        </w:rPr>
        <w:t>五</w:t>
      </w:r>
      <w:r>
        <w:rPr>
          <w:rFonts w:ascii="微软雅黑" w:hAnsi="微软雅黑" w:eastAsia="微软雅黑"/>
          <w:b/>
          <w:bCs/>
          <w:sz w:val="52"/>
          <w:szCs w:val="52"/>
        </w:rPr>
        <w:t>五”规划</w:t>
      </w:r>
    </w:p>
    <w:p>
      <w:pPr>
        <w:snapToGrid w:val="0"/>
        <w:jc w:val="center"/>
        <w:rPr>
          <w:rFonts w:hint="eastAsia" w:ascii="微软雅黑" w:hAnsi="微软雅黑" w:eastAsia="微软雅黑"/>
          <w:b/>
          <w:bCs/>
          <w:sz w:val="52"/>
          <w:szCs w:val="52"/>
        </w:rPr>
      </w:pPr>
      <w:r>
        <w:rPr>
          <w:rFonts w:ascii="微软雅黑" w:hAnsi="微软雅黑" w:eastAsia="微软雅黑"/>
          <w:b/>
          <w:bCs/>
          <w:sz w:val="52"/>
          <w:szCs w:val="52"/>
        </w:rPr>
        <w:t>（202</w:t>
      </w:r>
      <w:r>
        <w:rPr>
          <w:rFonts w:hint="eastAsia" w:ascii="微软雅黑" w:hAnsi="微软雅黑" w:eastAsia="微软雅黑"/>
          <w:b/>
          <w:bCs/>
          <w:sz w:val="52"/>
          <w:szCs w:val="52"/>
        </w:rPr>
        <w:t>6—</w:t>
      </w:r>
      <w:r>
        <w:rPr>
          <w:rFonts w:ascii="微软雅黑" w:hAnsi="微软雅黑" w:eastAsia="微软雅黑"/>
          <w:b/>
          <w:bCs/>
          <w:sz w:val="52"/>
          <w:szCs w:val="52"/>
        </w:rPr>
        <w:t>20</w:t>
      </w:r>
      <w:r>
        <w:rPr>
          <w:rFonts w:hint="eastAsia" w:ascii="微软雅黑" w:hAnsi="微软雅黑" w:eastAsia="微软雅黑"/>
          <w:b/>
          <w:bCs/>
          <w:sz w:val="52"/>
          <w:szCs w:val="52"/>
        </w:rPr>
        <w:t>30</w:t>
      </w:r>
      <w:r>
        <w:rPr>
          <w:rFonts w:ascii="微软雅黑" w:hAnsi="微软雅黑" w:eastAsia="微软雅黑"/>
          <w:b/>
          <w:bCs/>
          <w:sz w:val="52"/>
          <w:szCs w:val="52"/>
        </w:rPr>
        <w:t>年）</w:t>
      </w:r>
    </w:p>
    <w:p>
      <w:pPr>
        <w:snapToGrid w:val="0"/>
        <w:jc w:val="center"/>
        <w:rPr>
          <w:rFonts w:hint="eastAsia" w:ascii="仿宋" w:hAnsi="仿宋" w:eastAsia="仿宋"/>
          <w:sz w:val="48"/>
          <w:szCs w:val="48"/>
        </w:rPr>
      </w:pPr>
      <w:r>
        <w:rPr>
          <w:rFonts w:ascii="仿宋" w:hAnsi="仿宋" w:eastAsia="仿宋"/>
          <w:sz w:val="48"/>
          <w:szCs w:val="48"/>
        </w:rPr>
        <w:t>（</w:t>
      </w:r>
      <w:r>
        <w:rPr>
          <w:rFonts w:hint="eastAsia" w:ascii="仿宋" w:hAnsi="仿宋" w:eastAsia="仿宋"/>
          <w:sz w:val="48"/>
          <w:szCs w:val="48"/>
        </w:rPr>
        <w:t>征求意见</w:t>
      </w:r>
      <w:r>
        <w:rPr>
          <w:rFonts w:ascii="仿宋" w:hAnsi="仿宋" w:eastAsia="仿宋"/>
          <w:sz w:val="48"/>
          <w:szCs w:val="48"/>
        </w:rPr>
        <w:t>稿）</w:t>
      </w:r>
    </w:p>
    <w:p>
      <w:pPr>
        <w:snapToGrid w:val="0"/>
        <w:rPr>
          <w:rFonts w:hint="eastAsia" w:ascii="仿宋" w:hAnsi="仿宋" w:eastAsia="仿宋"/>
          <w:sz w:val="52"/>
          <w:szCs w:val="52"/>
        </w:rPr>
      </w:pPr>
    </w:p>
    <w:p>
      <w:pPr>
        <w:snapToGrid w:val="0"/>
        <w:rPr>
          <w:rFonts w:hint="eastAsia" w:ascii="仿宋" w:hAnsi="仿宋" w:eastAsia="仿宋"/>
          <w:sz w:val="52"/>
          <w:szCs w:val="52"/>
        </w:rPr>
      </w:pPr>
    </w:p>
    <w:p>
      <w:pPr>
        <w:snapToGrid w:val="0"/>
        <w:rPr>
          <w:rFonts w:hint="eastAsia" w:ascii="仿宋" w:hAnsi="仿宋" w:eastAsia="仿宋"/>
          <w:sz w:val="52"/>
          <w:szCs w:val="52"/>
        </w:rPr>
      </w:pPr>
    </w:p>
    <w:p>
      <w:pPr>
        <w:snapToGrid w:val="0"/>
        <w:rPr>
          <w:rFonts w:hint="eastAsia" w:ascii="仿宋" w:hAnsi="仿宋" w:eastAsia="仿宋"/>
          <w:sz w:val="52"/>
          <w:szCs w:val="52"/>
        </w:rPr>
      </w:pPr>
    </w:p>
    <w:p>
      <w:pPr>
        <w:snapToGrid w:val="0"/>
        <w:rPr>
          <w:rFonts w:hint="eastAsia" w:ascii="仿宋" w:hAnsi="仿宋" w:eastAsia="仿宋"/>
          <w:sz w:val="52"/>
          <w:szCs w:val="52"/>
        </w:rPr>
      </w:pPr>
    </w:p>
    <w:p>
      <w:pPr>
        <w:snapToGrid w:val="0"/>
        <w:rPr>
          <w:rFonts w:hint="eastAsia" w:ascii="仿宋" w:hAnsi="仿宋" w:eastAsia="仿宋"/>
          <w:sz w:val="52"/>
          <w:szCs w:val="52"/>
        </w:rPr>
      </w:pPr>
    </w:p>
    <w:p>
      <w:pPr>
        <w:snapToGrid w:val="0"/>
        <w:rPr>
          <w:rFonts w:hint="eastAsia" w:ascii="仿宋" w:hAnsi="仿宋" w:eastAsia="仿宋"/>
          <w:sz w:val="52"/>
          <w:szCs w:val="52"/>
        </w:rPr>
      </w:pPr>
    </w:p>
    <w:p>
      <w:pPr>
        <w:snapToGrid w:val="0"/>
        <w:rPr>
          <w:rFonts w:hint="eastAsia" w:ascii="仿宋" w:hAnsi="仿宋" w:eastAsia="仿宋"/>
          <w:sz w:val="36"/>
          <w:szCs w:val="36"/>
        </w:rPr>
      </w:pPr>
    </w:p>
    <w:p>
      <w:pPr>
        <w:snapToGrid w:val="0"/>
        <w:jc w:val="center"/>
        <w:rPr>
          <w:rFonts w:hint="default" w:ascii="仿宋" w:hAnsi="仿宋" w:eastAsia="仿宋"/>
          <w:sz w:val="36"/>
          <w:szCs w:val="36"/>
          <w:lang w:val="en-US" w:eastAsia="zh-CN"/>
        </w:rPr>
      </w:pPr>
      <w:r>
        <w:rPr>
          <w:rFonts w:hint="eastAsia" w:ascii="仿宋" w:hAnsi="仿宋" w:eastAsia="仿宋"/>
          <w:sz w:val="36"/>
          <w:szCs w:val="36"/>
        </w:rPr>
        <w:t>2026年7月</w:t>
      </w:r>
      <w:r>
        <w:rPr>
          <w:rFonts w:hint="eastAsia" w:ascii="仿宋" w:hAnsi="仿宋" w:eastAsia="仿宋"/>
          <w:sz w:val="36"/>
          <w:szCs w:val="36"/>
          <w:lang w:val="en-US" w:eastAsia="zh-CN"/>
        </w:rPr>
        <w:t>30日</w:t>
      </w:r>
    </w:p>
    <w:p/>
    <w:p>
      <w:pPr>
        <w:widowControl/>
        <w:spacing w:after="78" w:afterLines="25" w:line="300" w:lineRule="exact"/>
        <w:jc w:val="center"/>
        <w:rPr>
          <w:rFonts w:hint="eastAsia" w:ascii="仿宋" w:hAnsi="仿宋" w:eastAsia="仿宋"/>
          <w:b/>
          <w:bCs/>
          <w:sz w:val="36"/>
          <w:szCs w:val="36"/>
        </w:rPr>
      </w:pPr>
      <w:r>
        <w:br w:type="page"/>
      </w:r>
      <w:r>
        <w:rPr>
          <w:rFonts w:hint="eastAsia" w:ascii="仿宋" w:hAnsi="仿宋" w:eastAsia="仿宋"/>
          <w:b/>
          <w:bCs/>
          <w:sz w:val="36"/>
          <w:szCs w:val="36"/>
        </w:rPr>
        <w:t>目  录</w:t>
      </w:r>
    </w:p>
    <w:p>
      <w:pPr>
        <w:pStyle w:val="15"/>
        <w:rPr>
          <w:rFonts w:hint="eastAsia" w:asciiTheme="majorEastAsia" w:hAnsiTheme="majorEastAsia" w:eastAsiaTheme="majorEastAsia" w:cstheme="majorEastAsia"/>
          <w:kern w:val="2"/>
          <w:sz w:val="21"/>
          <w:szCs w:val="22"/>
          <w14:ligatures w14:val="standardContextual"/>
        </w:rPr>
      </w:pPr>
      <w:r>
        <w:rPr>
          <w:rFonts w:hint="eastAsia"/>
          <w:sz w:val="36"/>
          <w:szCs w:val="36"/>
        </w:rPr>
        <w:fldChar w:fldCharType="begin"/>
      </w:r>
      <w:r>
        <w:rPr>
          <w:rFonts w:hint="eastAsia"/>
          <w:sz w:val="36"/>
          <w:szCs w:val="36"/>
        </w:rPr>
        <w:instrText xml:space="preserve">TOC \o "1-3" \h \u </w:instrText>
      </w:r>
      <w:r>
        <w:rPr>
          <w:rFonts w:hint="eastAsia"/>
          <w:sz w:val="36"/>
          <w:szCs w:val="36"/>
        </w:rPr>
        <w:fldChar w:fldCharType="separate"/>
      </w:r>
      <w:r>
        <w:fldChar w:fldCharType="begin"/>
      </w:r>
      <w:r>
        <w:instrText xml:space="preserve"> HYPERLINK \l "_Toc235696618" </w:instrText>
      </w:r>
      <w:r>
        <w:fldChar w:fldCharType="separate"/>
      </w:r>
      <w:r>
        <w:rPr>
          <w:rStyle w:val="25"/>
          <w:rFonts w:hint="eastAsia" w:asciiTheme="majorEastAsia" w:hAnsiTheme="majorEastAsia" w:eastAsiaTheme="majorEastAsia" w:cstheme="majorEastAsia"/>
        </w:rPr>
        <w:t>前  言</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_Toc235696618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pPr>
        <w:pStyle w:val="15"/>
        <w:rPr>
          <w:rFonts w:hint="eastAsia" w:asciiTheme="majorEastAsia" w:hAnsiTheme="majorEastAsia" w:eastAsiaTheme="majorEastAsia" w:cstheme="majorEastAsia"/>
          <w:kern w:val="2"/>
          <w:sz w:val="21"/>
          <w:szCs w:val="22"/>
          <w14:ligatures w14:val="standardContextual"/>
        </w:rPr>
      </w:pPr>
      <w:r>
        <w:fldChar w:fldCharType="begin"/>
      </w:r>
      <w:r>
        <w:instrText xml:space="preserve"> HYPERLINK \l "_Toc235696619" </w:instrText>
      </w:r>
      <w:r>
        <w:fldChar w:fldCharType="separate"/>
      </w:r>
      <w:r>
        <w:rPr>
          <w:rStyle w:val="25"/>
          <w:rFonts w:hint="eastAsia" w:asciiTheme="majorEastAsia" w:hAnsiTheme="majorEastAsia" w:eastAsiaTheme="majorEastAsia" w:cstheme="majorEastAsia"/>
        </w:rPr>
        <w:t>第一章 总结回顾</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_Toc235696619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"_Toc235696620" </w:instrText>
      </w:r>
      <w:r>
        <w:fldChar w:fldCharType="separate"/>
      </w:r>
      <w:r>
        <w:rPr>
          <w:rStyle w:val="25"/>
          <w:rFonts w:hint="eastAsia" w:ascii="楷体" w:hAnsi="楷体"/>
        </w:rPr>
        <w:t>第一节 发展成就</w:t>
      </w:r>
      <w:r>
        <w:rPr>
          <w:rFonts w:hint="eastAsia"/>
        </w:rPr>
        <w:tab/>
      </w:r>
      <w:r>
        <w:rPr>
          <w:rFonts w:hint="eastAsia"/>
        </w:rPr>
        <w:fldChar w:fldCharType="begin"/>
      </w:r>
      <w:r>
        <w:rPr>
          <w:rFonts w:hint="eastAsia"/>
        </w:rPr>
        <w:instrText xml:space="preserve"> </w:instrText>
      </w:r>
      <w:r>
        <w:instrText xml:space="preserve">PAGEREF _Toc235696620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"_Toc235696627" </w:instrText>
      </w:r>
      <w:r>
        <w:fldChar w:fldCharType="separate"/>
      </w:r>
      <w:r>
        <w:rPr>
          <w:rStyle w:val="25"/>
          <w:rFonts w:hint="eastAsia" w:ascii="楷体" w:hAnsi="楷体"/>
        </w:rPr>
        <w:t>第二节 存在问题</w:t>
      </w:r>
      <w:r>
        <w:rPr>
          <w:rFonts w:hint="eastAsia"/>
        </w:rPr>
        <w:tab/>
      </w:r>
      <w:r>
        <w:rPr>
          <w:rFonts w:hint="eastAsia"/>
        </w:rPr>
        <w:fldChar w:fldCharType="begin"/>
      </w:r>
      <w:r>
        <w:rPr>
          <w:rFonts w:hint="eastAsia"/>
        </w:rPr>
        <w:instrText xml:space="preserve"> </w:instrText>
      </w:r>
      <w:r>
        <w:instrText xml:space="preserve">PAGEREF _Toc235696627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15"/>
        <w:rPr>
          <w:rFonts w:hint="eastAsia" w:asciiTheme="majorEastAsia" w:hAnsiTheme="majorEastAsia" w:eastAsiaTheme="majorEastAsia" w:cstheme="majorEastAsia"/>
        </w:rPr>
      </w:pPr>
      <w:r>
        <w:fldChar w:fldCharType="begin"/>
      </w:r>
      <w:r>
        <w:instrText xml:space="preserve"> HYPERLINK \l "_Toc235696634" </w:instrText>
      </w:r>
      <w:r>
        <w:fldChar w:fldCharType="separate"/>
      </w:r>
      <w:r>
        <w:rPr>
          <w:rFonts w:hint="eastAsia" w:asciiTheme="majorEastAsia" w:hAnsiTheme="majorEastAsia" w:eastAsiaTheme="majorEastAsia" w:cstheme="majorEastAsia"/>
        </w:rPr>
        <w:t>第二章 发展环境</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_Toc235696634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"_Toc235696635" </w:instrText>
      </w:r>
      <w:r>
        <w:fldChar w:fldCharType="separate"/>
      </w:r>
      <w:r>
        <w:rPr>
          <w:rStyle w:val="25"/>
          <w:rFonts w:hint="eastAsia" w:ascii="楷体" w:hAnsi="楷体"/>
        </w:rPr>
        <w:t>第一节 国际环境——复杂变局中蕴含开放机遇</w:t>
      </w:r>
      <w:r>
        <w:rPr>
          <w:rFonts w:hint="eastAsia"/>
        </w:rPr>
        <w:tab/>
      </w:r>
      <w:r>
        <w:rPr>
          <w:rFonts w:hint="eastAsia"/>
        </w:rPr>
        <w:fldChar w:fldCharType="begin"/>
      </w:r>
      <w:r>
        <w:rPr>
          <w:rFonts w:hint="eastAsia"/>
        </w:rPr>
        <w:instrText xml:space="preserve"> </w:instrText>
      </w:r>
      <w:r>
        <w:instrText xml:space="preserve">PAGEREF _Toc235696635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"_Toc235696636" </w:instrText>
      </w:r>
      <w:r>
        <w:fldChar w:fldCharType="separate"/>
      </w:r>
      <w:r>
        <w:rPr>
          <w:rStyle w:val="25"/>
          <w:rFonts w:hint="eastAsia" w:ascii="楷体" w:hAnsi="楷体"/>
        </w:rPr>
        <w:t>第二节 国家环境——战略引领下政策红利集中释放</w:t>
      </w:r>
      <w:r>
        <w:rPr>
          <w:rFonts w:hint="eastAsia"/>
        </w:rPr>
        <w:tab/>
      </w:r>
      <w:r>
        <w:rPr>
          <w:rFonts w:hint="eastAsia"/>
        </w:rPr>
        <w:fldChar w:fldCharType="begin"/>
      </w:r>
      <w:r>
        <w:rPr>
          <w:rFonts w:hint="eastAsia"/>
        </w:rPr>
        <w:instrText xml:space="preserve"> </w:instrText>
      </w:r>
      <w:r>
        <w:instrText xml:space="preserve">PAGEREF _Toc235696636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"_Toc235696637" </w:instrText>
      </w:r>
      <w:r>
        <w:fldChar w:fldCharType="separate"/>
      </w:r>
      <w:r>
        <w:rPr>
          <w:rStyle w:val="25"/>
          <w:rFonts w:hint="eastAsia" w:ascii="楷体" w:hAnsi="楷体"/>
        </w:rPr>
        <w:t>第三节 省级环境——区域协同中找准发展坐标</w:t>
      </w:r>
      <w:r>
        <w:rPr>
          <w:rFonts w:hint="eastAsia"/>
        </w:rPr>
        <w:tab/>
      </w:r>
      <w:r>
        <w:rPr>
          <w:rFonts w:hint="eastAsia"/>
        </w:rPr>
        <w:fldChar w:fldCharType="begin"/>
      </w:r>
      <w:r>
        <w:rPr>
          <w:rFonts w:hint="eastAsia"/>
        </w:rPr>
        <w:instrText xml:space="preserve"> </w:instrText>
      </w:r>
      <w:r>
        <w:instrText xml:space="preserve">PAGEREF _Toc235696637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"_Toc235696638" </w:instrText>
      </w:r>
      <w:r>
        <w:fldChar w:fldCharType="separate"/>
      </w:r>
      <w:r>
        <w:rPr>
          <w:rStyle w:val="25"/>
          <w:rFonts w:hint="eastAsia" w:ascii="楷体" w:hAnsi="楷体"/>
        </w:rPr>
        <w:t>第四节 市级环境——全域统筹精准指引</w:t>
      </w:r>
      <w:r>
        <w:rPr>
          <w:rFonts w:hint="eastAsia"/>
        </w:rPr>
        <w:tab/>
      </w:r>
      <w:r>
        <w:rPr>
          <w:rFonts w:hint="eastAsia"/>
        </w:rPr>
        <w:fldChar w:fldCharType="begin"/>
      </w:r>
      <w:r>
        <w:rPr>
          <w:rFonts w:hint="eastAsia"/>
        </w:rPr>
        <w:instrText xml:space="preserve"> </w:instrText>
      </w:r>
      <w:r>
        <w:instrText xml:space="preserve">PAGEREF _Toc235696638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15"/>
        <w:rPr>
          <w:rFonts w:hint="eastAsia" w:asciiTheme="majorEastAsia" w:hAnsiTheme="majorEastAsia" w:eastAsiaTheme="majorEastAsia" w:cstheme="majorEastAsia"/>
        </w:rPr>
      </w:pPr>
      <w:r>
        <w:fldChar w:fldCharType="begin"/>
      </w:r>
      <w:r>
        <w:instrText xml:space="preserve"> HYPERLINK \l "_Toc235696639" </w:instrText>
      </w:r>
      <w:r>
        <w:fldChar w:fldCharType="separate"/>
      </w:r>
      <w:r>
        <w:rPr>
          <w:rFonts w:hint="eastAsia" w:asciiTheme="majorEastAsia" w:hAnsiTheme="majorEastAsia" w:eastAsiaTheme="majorEastAsia" w:cstheme="majorEastAsia"/>
        </w:rPr>
        <w:t>第三章 发展蓝图</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_Toc235696639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20</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"_Toc235696640" </w:instrText>
      </w:r>
      <w:r>
        <w:fldChar w:fldCharType="separate"/>
      </w:r>
      <w:r>
        <w:rPr>
          <w:rStyle w:val="25"/>
          <w:rFonts w:hint="eastAsia" w:ascii="楷体" w:hAnsi="楷体"/>
        </w:rPr>
        <w:t>第一节 指导思想</w:t>
      </w:r>
      <w:r>
        <w:rPr>
          <w:rFonts w:hint="eastAsia"/>
        </w:rPr>
        <w:tab/>
      </w:r>
      <w:r>
        <w:rPr>
          <w:rFonts w:hint="eastAsia"/>
        </w:rPr>
        <w:fldChar w:fldCharType="begin"/>
      </w:r>
      <w:r>
        <w:rPr>
          <w:rFonts w:hint="eastAsia"/>
        </w:rPr>
        <w:instrText xml:space="preserve"> </w:instrText>
      </w:r>
      <w:r>
        <w:instrText xml:space="preserve">PAGEREF _Toc235696640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"_Toc235696641" </w:instrText>
      </w:r>
      <w:r>
        <w:fldChar w:fldCharType="separate"/>
      </w:r>
      <w:r>
        <w:rPr>
          <w:rStyle w:val="25"/>
          <w:rFonts w:hint="eastAsia" w:ascii="楷体" w:hAnsi="楷体"/>
        </w:rPr>
        <w:t>第二节 发展路径</w:t>
      </w:r>
      <w:r>
        <w:rPr>
          <w:rFonts w:hint="eastAsia"/>
        </w:rPr>
        <w:tab/>
      </w:r>
      <w:r>
        <w:rPr>
          <w:rFonts w:hint="eastAsia"/>
        </w:rPr>
        <w:fldChar w:fldCharType="begin"/>
      </w:r>
      <w:r>
        <w:rPr>
          <w:rFonts w:hint="eastAsia"/>
        </w:rPr>
        <w:instrText xml:space="preserve"> </w:instrText>
      </w:r>
      <w:r>
        <w:instrText xml:space="preserve">PAGEREF _Toc235696641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"_Toc235696645" </w:instrText>
      </w:r>
      <w:r>
        <w:fldChar w:fldCharType="separate"/>
      </w:r>
      <w:r>
        <w:rPr>
          <w:rStyle w:val="25"/>
          <w:rFonts w:hint="eastAsia" w:ascii="楷体" w:hAnsi="楷体"/>
        </w:rPr>
        <w:t>第三节 发展目标</w:t>
      </w:r>
      <w:r>
        <w:rPr>
          <w:rFonts w:hint="eastAsia"/>
        </w:rPr>
        <w:tab/>
      </w:r>
      <w:r>
        <w:rPr>
          <w:rFonts w:hint="eastAsia"/>
        </w:rPr>
        <w:fldChar w:fldCharType="begin"/>
      </w:r>
      <w:r>
        <w:rPr>
          <w:rFonts w:hint="eastAsia"/>
        </w:rPr>
        <w:instrText xml:space="preserve"> </w:instrText>
      </w:r>
      <w:r>
        <w:instrText xml:space="preserve">PAGEREF _Toc235696645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"_Toc235696649" </w:instrText>
      </w:r>
      <w:r>
        <w:fldChar w:fldCharType="separate"/>
      </w:r>
      <w:r>
        <w:rPr>
          <w:rStyle w:val="25"/>
          <w:rFonts w:hint="eastAsia" w:ascii="楷体" w:hAnsi="楷体"/>
        </w:rPr>
        <w:t>第四节 产业布局</w:t>
      </w:r>
      <w:r>
        <w:rPr>
          <w:rFonts w:hint="eastAsia"/>
        </w:rPr>
        <w:tab/>
      </w:r>
      <w:r>
        <w:rPr>
          <w:rFonts w:hint="eastAsia"/>
        </w:rPr>
        <w:fldChar w:fldCharType="begin"/>
      </w:r>
      <w:r>
        <w:rPr>
          <w:rFonts w:hint="eastAsia"/>
        </w:rPr>
        <w:instrText xml:space="preserve"> </w:instrText>
      </w:r>
      <w:r>
        <w:instrText xml:space="preserve">PAGEREF _Toc235696649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pPr>
        <w:pStyle w:val="15"/>
        <w:rPr>
          <w:rFonts w:hint="eastAsia" w:asciiTheme="majorEastAsia" w:hAnsiTheme="majorEastAsia" w:eastAsiaTheme="majorEastAsia" w:cstheme="majorEastAsia"/>
        </w:rPr>
      </w:pPr>
      <w:r>
        <w:fldChar w:fldCharType="begin"/>
      </w:r>
      <w:r>
        <w:instrText xml:space="preserve"> HYPERLINK \l "_Toc235696653" </w:instrText>
      </w:r>
      <w:r>
        <w:fldChar w:fldCharType="separate"/>
      </w:r>
      <w:r>
        <w:rPr>
          <w:rFonts w:hint="eastAsia" w:asciiTheme="majorEastAsia" w:hAnsiTheme="majorEastAsia" w:eastAsiaTheme="majorEastAsia" w:cstheme="majorEastAsia"/>
        </w:rPr>
        <w:t>第四章 主要任务</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_Toc235696653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29</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"_Toc235696654" </w:instrText>
      </w:r>
      <w:r>
        <w:fldChar w:fldCharType="separate"/>
      </w:r>
      <w:r>
        <w:rPr>
          <w:rStyle w:val="25"/>
          <w:rFonts w:hint="eastAsia" w:ascii="楷体" w:hAnsi="楷体"/>
        </w:rPr>
        <w:t>第一节 铸牢客家文化根脉，推动文化传承高质量发展</w:t>
      </w:r>
      <w:r>
        <w:rPr>
          <w:rFonts w:hint="eastAsia"/>
        </w:rPr>
        <w:tab/>
      </w:r>
      <w:r>
        <w:rPr>
          <w:rFonts w:hint="eastAsia"/>
        </w:rPr>
        <w:fldChar w:fldCharType="begin"/>
      </w:r>
      <w:r>
        <w:rPr>
          <w:rFonts w:hint="eastAsia"/>
        </w:rPr>
        <w:instrText xml:space="preserve"> </w:instrText>
      </w:r>
      <w:r>
        <w:instrText xml:space="preserve">PAGEREF _Toc235696654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"_Toc235696658" </w:instrText>
      </w:r>
      <w:r>
        <w:fldChar w:fldCharType="separate"/>
      </w:r>
      <w:r>
        <w:rPr>
          <w:rStyle w:val="25"/>
          <w:rFonts w:hint="eastAsia" w:ascii="黑体" w:hAnsi="黑体"/>
        </w:rPr>
        <w:t>第二节</w:t>
      </w:r>
      <w:r>
        <w:rPr>
          <w:rStyle w:val="25"/>
          <w:rFonts w:hint="eastAsia" w:ascii="楷体" w:hAnsi="楷体"/>
        </w:rPr>
        <w:t xml:space="preserve"> 做强客家特色旅游产业，打造粤闽赣边文旅目的地</w:t>
      </w:r>
      <w:r>
        <w:rPr>
          <w:rFonts w:hint="eastAsia"/>
        </w:rPr>
        <w:tab/>
      </w:r>
      <w:r>
        <w:rPr>
          <w:rFonts w:hint="eastAsia"/>
        </w:rPr>
        <w:fldChar w:fldCharType="begin"/>
      </w:r>
      <w:r>
        <w:rPr>
          <w:rFonts w:hint="eastAsia"/>
        </w:rPr>
        <w:instrText xml:space="preserve"> </w:instrText>
      </w:r>
      <w:r>
        <w:instrText xml:space="preserve">PAGEREF _Toc235696658 \h</w:instrText>
      </w:r>
      <w:r>
        <w:rPr>
          <w:rFonts w:hint="eastAsia"/>
        </w:rPr>
        <w:instrText xml:space="preserve"> </w:instrText>
      </w:r>
      <w:r>
        <w:rPr>
          <w:rFonts w:hint="eastAsia"/>
        </w:rPr>
        <w:fldChar w:fldCharType="separate"/>
      </w:r>
      <w:r>
        <w:t>36</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"_Toc235696662" </w:instrText>
      </w:r>
      <w:r>
        <w:fldChar w:fldCharType="separate"/>
      </w:r>
      <w:r>
        <w:rPr>
          <w:rStyle w:val="25"/>
          <w:rFonts w:hint="eastAsia" w:ascii="黑体" w:hAnsi="黑体"/>
        </w:rPr>
        <w:t>第三节 深化跨界业态融合，激活产品发展内生动力</w:t>
      </w:r>
      <w:r>
        <w:rPr>
          <w:rFonts w:hint="eastAsia"/>
        </w:rPr>
        <w:tab/>
      </w:r>
      <w:r>
        <w:rPr>
          <w:rFonts w:hint="eastAsia"/>
        </w:rPr>
        <w:fldChar w:fldCharType="begin"/>
      </w:r>
      <w:r>
        <w:rPr>
          <w:rFonts w:hint="eastAsia"/>
        </w:rPr>
        <w:instrText xml:space="preserve"> </w:instrText>
      </w:r>
      <w:r>
        <w:instrText xml:space="preserve">PAGEREF _Toc235696662 \h</w:instrText>
      </w:r>
      <w:r>
        <w:rPr>
          <w:rFonts w:hint="eastAsia"/>
        </w:rPr>
        <w:instrText xml:space="preserve"> </w:instrText>
      </w:r>
      <w:r>
        <w:rPr>
          <w:rFonts w:hint="eastAsia"/>
        </w:rPr>
        <w:fldChar w:fldCharType="separate"/>
      </w:r>
      <w:r>
        <w:t>41</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"_Toc235696668" </w:instrText>
      </w:r>
      <w:r>
        <w:fldChar w:fldCharType="separate"/>
      </w:r>
      <w:r>
        <w:rPr>
          <w:rStyle w:val="25"/>
          <w:rFonts w:hint="eastAsia" w:ascii="楷体" w:hAnsi="楷体"/>
        </w:rPr>
        <w:t>第四节 提升公共服务能级，实现居游一体发展新突破</w:t>
      </w:r>
      <w:r>
        <w:rPr>
          <w:rFonts w:hint="eastAsia"/>
        </w:rPr>
        <w:tab/>
      </w:r>
      <w:r>
        <w:rPr>
          <w:rFonts w:hint="eastAsia"/>
        </w:rPr>
        <w:fldChar w:fldCharType="begin"/>
      </w:r>
      <w:r>
        <w:rPr>
          <w:rFonts w:hint="eastAsia"/>
        </w:rPr>
        <w:instrText xml:space="preserve"> </w:instrText>
      </w:r>
      <w:r>
        <w:instrText xml:space="preserve">PAGEREF _Toc235696668 \h</w:instrText>
      </w:r>
      <w:r>
        <w:rPr>
          <w:rFonts w:hint="eastAsia"/>
        </w:rPr>
        <w:instrText xml:space="preserve"> </w:instrText>
      </w:r>
      <w:r>
        <w:rPr>
          <w:rFonts w:hint="eastAsia"/>
        </w:rPr>
        <w:fldChar w:fldCharType="separate"/>
      </w:r>
      <w:r>
        <w:t>47</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"_Toc235696673" </w:instrText>
      </w:r>
      <w:r>
        <w:fldChar w:fldCharType="separate"/>
      </w:r>
      <w:r>
        <w:rPr>
          <w:rStyle w:val="25"/>
          <w:rFonts w:hint="eastAsia" w:ascii="楷体" w:hAnsi="楷体"/>
        </w:rPr>
        <w:t>第五节 强化文旅品牌塑造，提升梅县客家文旅影响力</w:t>
      </w:r>
      <w:r>
        <w:rPr>
          <w:rFonts w:hint="eastAsia"/>
        </w:rPr>
        <w:tab/>
      </w:r>
      <w:r>
        <w:rPr>
          <w:rFonts w:hint="eastAsia"/>
        </w:rPr>
        <w:fldChar w:fldCharType="begin"/>
      </w:r>
      <w:r>
        <w:rPr>
          <w:rFonts w:hint="eastAsia"/>
        </w:rPr>
        <w:instrText xml:space="preserve"> </w:instrText>
      </w:r>
      <w:r>
        <w:instrText xml:space="preserve">PAGEREF _Toc235696673 \h</w:instrText>
      </w:r>
      <w:r>
        <w:rPr>
          <w:rFonts w:hint="eastAsia"/>
        </w:rPr>
        <w:instrText xml:space="preserve"> </w:instrText>
      </w:r>
      <w:r>
        <w:rPr>
          <w:rFonts w:hint="eastAsia"/>
        </w:rPr>
        <w:fldChar w:fldCharType="separate"/>
      </w:r>
      <w:r>
        <w:t>56</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"_Toc235696680" </w:instrText>
      </w:r>
      <w:r>
        <w:fldChar w:fldCharType="separate"/>
      </w:r>
      <w:r>
        <w:rPr>
          <w:rStyle w:val="25"/>
          <w:rFonts w:hint="eastAsia" w:ascii="楷体" w:hAnsi="楷体"/>
        </w:rPr>
        <w:t>第六节 培育壮大市场主体，增强文旅产业发展活力</w:t>
      </w:r>
      <w:r>
        <w:rPr>
          <w:rFonts w:hint="eastAsia"/>
        </w:rPr>
        <w:tab/>
      </w:r>
      <w:r>
        <w:rPr>
          <w:rFonts w:hint="eastAsia"/>
        </w:rPr>
        <w:fldChar w:fldCharType="begin"/>
      </w:r>
      <w:r>
        <w:rPr>
          <w:rFonts w:hint="eastAsia"/>
        </w:rPr>
        <w:instrText xml:space="preserve"> </w:instrText>
      </w:r>
      <w:r>
        <w:instrText xml:space="preserve">PAGEREF _Toc235696680 \h</w:instrText>
      </w:r>
      <w:r>
        <w:rPr>
          <w:rFonts w:hint="eastAsia"/>
        </w:rPr>
        <w:instrText xml:space="preserve"> </w:instrText>
      </w:r>
      <w:r>
        <w:rPr>
          <w:rFonts w:hint="eastAsia"/>
        </w:rPr>
        <w:fldChar w:fldCharType="separate"/>
      </w:r>
      <w:r>
        <w:t>61</w:t>
      </w:r>
      <w:r>
        <w:rPr>
          <w:rFonts w:hint="eastAsia"/>
        </w:rPr>
        <w:fldChar w:fldCharType="end"/>
      </w:r>
      <w:r>
        <w:rPr>
          <w:rFonts w:hint="eastAsia"/>
        </w:rPr>
        <w:fldChar w:fldCharType="end"/>
      </w:r>
    </w:p>
    <w:p>
      <w:pPr>
        <w:pStyle w:val="15"/>
        <w:rPr>
          <w:rFonts w:hint="eastAsia" w:asciiTheme="majorEastAsia" w:hAnsiTheme="majorEastAsia" w:eastAsiaTheme="majorEastAsia" w:cstheme="majorEastAsia"/>
        </w:rPr>
      </w:pPr>
      <w:r>
        <w:fldChar w:fldCharType="begin"/>
      </w:r>
      <w:r>
        <w:instrText xml:space="preserve"> HYPERLINK \l "_Toc235696685" </w:instrText>
      </w:r>
      <w:r>
        <w:fldChar w:fldCharType="separate"/>
      </w:r>
      <w:r>
        <w:rPr>
          <w:rFonts w:hint="eastAsia" w:asciiTheme="majorEastAsia" w:hAnsiTheme="majorEastAsia" w:eastAsiaTheme="majorEastAsia" w:cstheme="majorEastAsia"/>
        </w:rPr>
        <w:t>第五章 实施保障</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_Toc235696685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64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"_Toc235696686" </w:instrText>
      </w:r>
      <w:r>
        <w:fldChar w:fldCharType="separate"/>
      </w:r>
      <w:r>
        <w:rPr>
          <w:rStyle w:val="25"/>
          <w:rFonts w:hint="eastAsia" w:ascii="楷体" w:hAnsi="楷体"/>
        </w:rPr>
        <w:t>第一节 组织机制保障</w:t>
      </w:r>
      <w:r>
        <w:rPr>
          <w:rFonts w:hint="eastAsia"/>
        </w:rPr>
        <w:tab/>
      </w:r>
      <w:r>
        <w:rPr>
          <w:rFonts w:hint="eastAsia"/>
        </w:rPr>
        <w:fldChar w:fldCharType="begin"/>
      </w:r>
      <w:r>
        <w:rPr>
          <w:rFonts w:hint="eastAsia"/>
        </w:rPr>
        <w:instrText xml:space="preserve"> </w:instrText>
      </w:r>
      <w:r>
        <w:instrText xml:space="preserve">PAGEREF _Toc235696686 \h</w:instrText>
      </w:r>
      <w:r>
        <w:rPr>
          <w:rFonts w:hint="eastAsia"/>
        </w:rPr>
        <w:instrText xml:space="preserve"> </w:instrText>
      </w:r>
      <w:r>
        <w:rPr>
          <w:rFonts w:hint="eastAsia"/>
        </w:rPr>
        <w:fldChar w:fldCharType="separate"/>
      </w:r>
      <w:r>
        <w:t>64</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"_Toc235696687" </w:instrText>
      </w:r>
      <w:r>
        <w:fldChar w:fldCharType="separate"/>
      </w:r>
      <w:r>
        <w:rPr>
          <w:rStyle w:val="25"/>
          <w:rFonts w:hint="eastAsia" w:ascii="楷体" w:hAnsi="楷体"/>
        </w:rPr>
        <w:t>第二节 政策法规保障</w:t>
      </w:r>
      <w:r>
        <w:rPr>
          <w:rFonts w:hint="eastAsia"/>
        </w:rPr>
        <w:tab/>
      </w:r>
      <w:r>
        <w:rPr>
          <w:rFonts w:hint="eastAsia"/>
        </w:rPr>
        <w:fldChar w:fldCharType="begin"/>
      </w:r>
      <w:r>
        <w:rPr>
          <w:rFonts w:hint="eastAsia"/>
        </w:rPr>
        <w:instrText xml:space="preserve"> </w:instrText>
      </w:r>
      <w:r>
        <w:instrText xml:space="preserve">PAGEREF _Toc235696687 \h</w:instrText>
      </w:r>
      <w:r>
        <w:rPr>
          <w:rFonts w:hint="eastAsia"/>
        </w:rPr>
        <w:instrText xml:space="preserve"> </w:instrText>
      </w:r>
      <w:r>
        <w:rPr>
          <w:rFonts w:hint="eastAsia"/>
        </w:rPr>
        <w:fldChar w:fldCharType="separate"/>
      </w:r>
      <w:r>
        <w:t>65</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"_Toc235696690" </w:instrText>
      </w:r>
      <w:r>
        <w:fldChar w:fldCharType="separate"/>
      </w:r>
      <w:r>
        <w:rPr>
          <w:rStyle w:val="25"/>
          <w:rFonts w:hint="eastAsia" w:ascii="楷体" w:hAnsi="楷体"/>
        </w:rPr>
        <w:t>第三节 投融资保障</w:t>
      </w:r>
      <w:r>
        <w:rPr>
          <w:rFonts w:hint="eastAsia"/>
        </w:rPr>
        <w:tab/>
      </w:r>
      <w:r>
        <w:rPr>
          <w:rFonts w:hint="eastAsia"/>
        </w:rPr>
        <w:fldChar w:fldCharType="begin"/>
      </w:r>
      <w:r>
        <w:rPr>
          <w:rFonts w:hint="eastAsia"/>
        </w:rPr>
        <w:instrText xml:space="preserve"> </w:instrText>
      </w:r>
      <w:r>
        <w:instrText xml:space="preserve">PAGEREF _Toc235696690 \h</w:instrText>
      </w:r>
      <w:r>
        <w:rPr>
          <w:rFonts w:hint="eastAsia"/>
        </w:rPr>
        <w:instrText xml:space="preserve"> </w:instrText>
      </w:r>
      <w:r>
        <w:rPr>
          <w:rFonts w:hint="eastAsia"/>
        </w:rPr>
        <w:fldChar w:fldCharType="separate"/>
      </w:r>
      <w:r>
        <w:t>66</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"_Toc235696694" </w:instrText>
      </w:r>
      <w:r>
        <w:fldChar w:fldCharType="separate"/>
      </w:r>
      <w:r>
        <w:rPr>
          <w:rStyle w:val="25"/>
          <w:rFonts w:hint="eastAsia" w:ascii="楷体" w:hAnsi="楷体"/>
        </w:rPr>
        <w:t>第四节 人力资源保障</w:t>
      </w:r>
      <w:r>
        <w:rPr>
          <w:rFonts w:hint="eastAsia"/>
        </w:rPr>
        <w:tab/>
      </w:r>
      <w:r>
        <w:rPr>
          <w:rFonts w:hint="eastAsia"/>
        </w:rPr>
        <w:fldChar w:fldCharType="begin"/>
      </w:r>
      <w:r>
        <w:rPr>
          <w:rFonts w:hint="eastAsia"/>
        </w:rPr>
        <w:instrText xml:space="preserve"> </w:instrText>
      </w:r>
      <w:r>
        <w:instrText xml:space="preserve">PAGEREF _Toc235696694 \h</w:instrText>
      </w:r>
      <w:r>
        <w:rPr>
          <w:rFonts w:hint="eastAsia"/>
        </w:rPr>
        <w:instrText xml:space="preserve"> </w:instrText>
      </w:r>
      <w:r>
        <w:rPr>
          <w:rFonts w:hint="eastAsia"/>
        </w:rPr>
        <w:fldChar w:fldCharType="separate"/>
      </w:r>
      <w:r>
        <w:t>68</w:t>
      </w:r>
      <w:r>
        <w:rPr>
          <w:rFonts w:hint="eastAsia"/>
        </w:rPr>
        <w:fldChar w:fldCharType="end"/>
      </w:r>
      <w:r>
        <w:rPr>
          <w:rFonts w:hint="eastAsia"/>
        </w:rPr>
        <w:fldChar w:fldCharType="end"/>
      </w:r>
    </w:p>
    <w:p>
      <w:pPr>
        <w:pStyle w:val="18"/>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"_Toc235696699" </w:instrText>
      </w:r>
      <w:r>
        <w:fldChar w:fldCharType="separate"/>
      </w:r>
      <w:r>
        <w:rPr>
          <w:rStyle w:val="25"/>
          <w:rFonts w:hint="eastAsia" w:ascii="楷体" w:hAnsi="楷体"/>
        </w:rPr>
        <w:t>第五节 实施管理保障</w:t>
      </w:r>
      <w:r>
        <w:rPr>
          <w:rFonts w:hint="eastAsia"/>
        </w:rPr>
        <w:tab/>
      </w:r>
      <w:r>
        <w:rPr>
          <w:rFonts w:hint="eastAsia"/>
        </w:rPr>
        <w:fldChar w:fldCharType="begin"/>
      </w:r>
      <w:r>
        <w:rPr>
          <w:rFonts w:hint="eastAsia"/>
        </w:rPr>
        <w:instrText xml:space="preserve"> </w:instrText>
      </w:r>
      <w:r>
        <w:instrText xml:space="preserve">PAGEREF _Toc235696699 \h</w:instrText>
      </w:r>
      <w:r>
        <w:rPr>
          <w:rFonts w:hint="eastAsia"/>
        </w:rPr>
        <w:instrText xml:space="preserve"> </w:instrText>
      </w:r>
      <w:r>
        <w:rPr>
          <w:rFonts w:hint="eastAsia"/>
        </w:rPr>
        <w:fldChar w:fldCharType="separate"/>
      </w:r>
      <w:r>
        <w:t>71</w:t>
      </w:r>
      <w:r>
        <w:rPr>
          <w:rFonts w:hint="eastAsia"/>
        </w:rPr>
        <w:fldChar w:fldCharType="end"/>
      </w:r>
      <w:r>
        <w:rPr>
          <w:rFonts w:hint="eastAsia"/>
        </w:rPr>
        <w:fldChar w:fldCharType="end"/>
      </w:r>
    </w:p>
    <w:p>
      <w:pPr>
        <w:pStyle w:val="15"/>
        <w:rPr>
          <w:rFonts w:hint="eastAsia" w:asciiTheme="majorEastAsia" w:hAnsiTheme="majorEastAsia" w:eastAsiaTheme="majorEastAsia" w:cstheme="majorEastAsia"/>
        </w:rPr>
      </w:pPr>
      <w:r>
        <w:fldChar w:fldCharType="begin"/>
      </w:r>
      <w:r>
        <w:instrText xml:space="preserve"> HYPERLINK \l "_Toc235696704" </w:instrText>
      </w:r>
      <w:r>
        <w:fldChar w:fldCharType="separate"/>
      </w:r>
      <w:r>
        <w:rPr>
          <w:rFonts w:hint="eastAsia" w:asciiTheme="majorEastAsia" w:hAnsiTheme="majorEastAsia" w:eastAsiaTheme="majorEastAsia" w:cstheme="majorEastAsia"/>
        </w:rPr>
        <w:t>附录：梅县区文广旅体局发展改革“十五五”重点项目库</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_Toc235696704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74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rPr>
        <w:fldChar w:fldCharType="end"/>
      </w:r>
    </w:p>
    <w:p>
      <w:pPr>
        <w:pStyle w:val="10"/>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"_Toc235696705" </w:instrText>
      </w:r>
      <w:r>
        <w:fldChar w:fldCharType="separate"/>
      </w:r>
      <w:r>
        <w:rPr>
          <w:rStyle w:val="25"/>
          <w:rFonts w:hint="eastAsia" w:ascii="黑体" w:hAnsi="黑体"/>
        </w:rPr>
        <w:t>一、文化重点项目</w:t>
      </w:r>
      <w:r>
        <w:rPr>
          <w:rFonts w:hint="eastAsia"/>
        </w:rPr>
        <w:tab/>
      </w:r>
      <w:r>
        <w:rPr>
          <w:rFonts w:hint="eastAsia"/>
        </w:rPr>
        <w:fldChar w:fldCharType="begin"/>
      </w:r>
      <w:r>
        <w:rPr>
          <w:rFonts w:hint="eastAsia"/>
        </w:rPr>
        <w:instrText xml:space="preserve"> </w:instrText>
      </w:r>
      <w:r>
        <w:instrText xml:space="preserve">PAGEREF _Toc235696705 \h</w:instrText>
      </w:r>
      <w:r>
        <w:rPr>
          <w:rFonts w:hint="eastAsia"/>
        </w:rPr>
        <w:instrText xml:space="preserve"> </w:instrText>
      </w:r>
      <w:r>
        <w:rPr>
          <w:rFonts w:hint="eastAsia"/>
        </w:rPr>
        <w:fldChar w:fldCharType="separate"/>
      </w:r>
      <w:r>
        <w:t>74</w:t>
      </w:r>
      <w:r>
        <w:rPr>
          <w:rFonts w:hint="eastAsia"/>
        </w:rPr>
        <w:fldChar w:fldCharType="end"/>
      </w:r>
      <w:r>
        <w:rPr>
          <w:rFonts w:hint="eastAsia"/>
        </w:rPr>
        <w:fldChar w:fldCharType="end"/>
      </w:r>
    </w:p>
    <w:p>
      <w:pPr>
        <w:pStyle w:val="10"/>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"_Toc235696706" </w:instrText>
      </w:r>
      <w:r>
        <w:fldChar w:fldCharType="separate"/>
      </w:r>
      <w:r>
        <w:rPr>
          <w:rStyle w:val="25"/>
          <w:rFonts w:hint="eastAsia" w:ascii="黑体" w:hAnsi="黑体"/>
        </w:rPr>
        <w:t>二、旅游产业项目</w:t>
      </w:r>
      <w:r>
        <w:rPr>
          <w:rFonts w:hint="eastAsia"/>
        </w:rPr>
        <w:tab/>
      </w:r>
      <w:r>
        <w:rPr>
          <w:rFonts w:hint="eastAsia"/>
        </w:rPr>
        <w:fldChar w:fldCharType="begin"/>
      </w:r>
      <w:r>
        <w:rPr>
          <w:rFonts w:hint="eastAsia"/>
        </w:rPr>
        <w:instrText xml:space="preserve"> </w:instrText>
      </w:r>
      <w:r>
        <w:instrText xml:space="preserve">PAGEREF _Toc235696706 \h</w:instrText>
      </w:r>
      <w:r>
        <w:rPr>
          <w:rFonts w:hint="eastAsia"/>
        </w:rPr>
        <w:instrText xml:space="preserve"> </w:instrText>
      </w:r>
      <w:r>
        <w:rPr>
          <w:rFonts w:hint="eastAsia"/>
        </w:rPr>
        <w:fldChar w:fldCharType="separate"/>
      </w:r>
      <w:r>
        <w:t>75</w:t>
      </w:r>
      <w:r>
        <w:rPr>
          <w:rFonts w:hint="eastAsia"/>
        </w:rPr>
        <w:fldChar w:fldCharType="end"/>
      </w:r>
      <w:r>
        <w:rPr>
          <w:rFonts w:hint="eastAsia"/>
        </w:rPr>
        <w:fldChar w:fldCharType="end"/>
      </w:r>
    </w:p>
    <w:p>
      <w:pPr>
        <w:pStyle w:val="10"/>
        <w:tabs>
          <w:tab w:val="right" w:leader="dot" w:pos="8289"/>
        </w:tabs>
        <w:rPr>
          <w:rFonts w:asciiTheme="minorHAnsi" w:hAnsiTheme="minorHAnsi" w:eastAsiaTheme="minorEastAsia" w:cstheme="minorBidi"/>
          <w:kern w:val="2"/>
          <w:szCs w:val="24"/>
          <w14:ligatures w14:val="standardContextual"/>
        </w:rPr>
      </w:pPr>
      <w:r>
        <w:fldChar w:fldCharType="begin"/>
      </w:r>
      <w:r>
        <w:instrText xml:space="preserve"> HYPERLINK \l "_Toc235696707" </w:instrText>
      </w:r>
      <w:r>
        <w:fldChar w:fldCharType="separate"/>
      </w:r>
      <w:r>
        <w:rPr>
          <w:rStyle w:val="25"/>
          <w:rFonts w:hint="eastAsia" w:ascii="黑体" w:hAnsi="黑体"/>
        </w:rPr>
        <w:t>三、农文旅融合项目</w:t>
      </w:r>
      <w:r>
        <w:rPr>
          <w:rFonts w:hint="eastAsia"/>
        </w:rPr>
        <w:tab/>
      </w:r>
      <w:r>
        <w:rPr>
          <w:rFonts w:hint="eastAsia"/>
        </w:rPr>
        <w:fldChar w:fldCharType="begin"/>
      </w:r>
      <w:r>
        <w:rPr>
          <w:rFonts w:hint="eastAsia"/>
        </w:rPr>
        <w:instrText xml:space="preserve"> </w:instrText>
      </w:r>
      <w:r>
        <w:instrText xml:space="preserve">PAGEREF _Toc235696707 \h</w:instrText>
      </w:r>
      <w:r>
        <w:rPr>
          <w:rFonts w:hint="eastAsia"/>
        </w:rPr>
        <w:instrText xml:space="preserve"> </w:instrText>
      </w:r>
      <w:r>
        <w:rPr>
          <w:rFonts w:hint="eastAsia"/>
        </w:rPr>
        <w:fldChar w:fldCharType="separate"/>
      </w:r>
      <w:r>
        <w:t>77</w:t>
      </w:r>
      <w:r>
        <w:rPr>
          <w:rFonts w:hint="eastAsia"/>
        </w:rPr>
        <w:fldChar w:fldCharType="end"/>
      </w:r>
      <w:r>
        <w:rPr>
          <w:rFonts w:hint="eastAsia"/>
        </w:rPr>
        <w:fldChar w:fldCharType="end"/>
      </w:r>
    </w:p>
    <w:p>
      <w:pPr>
        <w:widowControl/>
        <w:spacing w:after="78" w:afterLines="25" w:line="300" w:lineRule="exact"/>
        <w:rPr>
          <w:rFonts w:hint="eastAsia" w:ascii="仿宋" w:hAnsi="仿宋" w:eastAsia="仿宋"/>
          <w:b/>
          <w:bCs/>
          <w:sz w:val="36"/>
          <w:szCs w:val="36"/>
        </w:rPr>
        <w:sectPr>
          <w:pgSz w:w="11905" w:h="16838"/>
          <w:pgMar w:top="1440" w:right="1803" w:bottom="1440" w:left="1803" w:header="851" w:footer="992" w:gutter="0"/>
          <w:cols w:space="720" w:num="1"/>
          <w:docGrid w:type="lines" w:linePitch="312" w:charSpace="0"/>
        </w:sectPr>
      </w:pPr>
      <w:r>
        <w:rPr>
          <w:rFonts w:hint="eastAsia" w:ascii="仿宋" w:hAnsi="仿宋" w:eastAsia="仿宋"/>
          <w:bCs/>
          <w:szCs w:val="36"/>
        </w:rPr>
        <w:fldChar w:fldCharType="end"/>
      </w:r>
    </w:p>
    <w:p>
      <w:pPr>
        <w:pStyle w:val="2"/>
        <w:snapToGrid w:val="0"/>
        <w:jc w:val="center"/>
        <w:rPr>
          <w:rFonts w:hint="eastAsia" w:ascii="黑体" w:hAnsi="黑体"/>
          <w:color w:val="auto"/>
        </w:rPr>
      </w:pPr>
      <w:bookmarkStart w:id="0" w:name="_Toc18244"/>
      <w:bookmarkStart w:id="1" w:name="_Toc30114"/>
      <w:bookmarkStart w:id="2" w:name="_Toc235696618"/>
      <w:bookmarkStart w:id="3" w:name="_Toc30312"/>
      <w:bookmarkStart w:id="4" w:name="_Toc15871"/>
      <w:bookmarkStart w:id="5" w:name="_Toc23"/>
      <w:bookmarkStart w:id="6" w:name="_Toc4451"/>
      <w:bookmarkStart w:id="7" w:name="_Toc18656"/>
      <w:r>
        <w:rPr>
          <w:rFonts w:ascii="黑体" w:hAnsi="黑体"/>
          <w:color w:val="auto"/>
        </w:rPr>
        <w:t>前  言</w:t>
      </w:r>
      <w:bookmarkEnd w:id="0"/>
      <w:bookmarkEnd w:id="1"/>
      <w:bookmarkEnd w:id="2"/>
      <w:bookmarkEnd w:id="3"/>
      <w:bookmarkEnd w:id="4"/>
      <w:bookmarkEnd w:id="5"/>
      <w:bookmarkEnd w:id="6"/>
      <w:bookmarkEnd w:id="7"/>
    </w:p>
    <w:p>
      <w:pPr>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五五”时期是我国迈向社会主义现代化强国的关键攻坚阶段，也是梅县区深度融入粤港澳大湾区建设、谱写中国式现代化梅县区篇章的战略机遇期。站在新的发展起点，梅县区立足“世界客都”核心区的独特定位，紧扣文化和旅游深度融合的国家战略部署，主动把握文旅产业高质量发展新趋势，以文化赋能经济社会全面进步，奋力争当全市文旅改革发展的排头兵。</w:t>
      </w:r>
    </w:p>
    <w:p>
      <w:pPr>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当前，我国经济社会发展正加速构建“双循环”新发展格局，人民群众对高品质精神文化产品和旅游服务的需求日益增长，文旅产业已成为激活内需潜力、建设文化强国与旅游强国的核心载体。推进文旅深度融合、大力发展文化旅游业，既是党中央立足全局作出的战略决策，也是梅县区发挥资源优势、实现转型升级的必然选择。梅县区坐拥客家文化、红色革命、绿色生态三大核心资源，叠加乡村振兴、革命老区苏区振兴等多重政策红利，具备推动文旅产业跨越式发展的坚实基础。</w:t>
      </w:r>
    </w:p>
    <w:p>
      <w:pPr>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四五”时期，梅县区文旅事业取得显著成效：梅县区作为客家文化生态保护区核心区参与成功创建国家级客家文化生态保护区，文物保护与非遗传承成效斐然，A级旅游景区矩阵持续扩容，农文旅体商融合深度推进，“叶帅故里 大美梅县”品牌影响力稳步提升。但同时，在文化活化利用、智慧文旅建设、市场主体培育、品牌辐射力等方面仍存在短板亟待突破。</w:t>
      </w:r>
    </w:p>
    <w:p>
      <w:pPr>
        <w:spacing w:line="560" w:lineRule="exact"/>
        <w:ind w:firstLine="640" w:firstLineChars="200"/>
        <w:rPr>
          <w:rFonts w:hint="eastAsia" w:ascii="方正仿宋_GB2312" w:hAnsi="方正仿宋_GB2312" w:cs="方正仿宋_GB2312" w:eastAsiaTheme="minorEastAsia"/>
          <w:sz w:val="32"/>
          <w:szCs w:val="32"/>
        </w:rPr>
      </w:pPr>
      <w:r>
        <w:rPr>
          <w:rFonts w:hint="eastAsia" w:ascii="方正仿宋_GB2312" w:hAnsi="方正仿宋_GB2312" w:eastAsia="方正仿宋_GB2312" w:cs="方正仿宋_GB2312"/>
          <w:sz w:val="32"/>
          <w:szCs w:val="32"/>
        </w:rPr>
        <w:t>《梅州市梅县区文化和旅游发展 “十五五” 规划》作为新发展阶段的纲领性文件，以习近平新时代中国特色社会主义思想为指导，依托梅龙高铁融湾优势，紧扣“文旅+百业”融合思路，锚定“体验型客家文化精神家园、生态型康养度假旅游高地、农文旅体商融合发展典型样板”三大目标，系统谋划客家文化传承、特色旅游提质、跨界业态创新、公共服务升级、品牌形象塑造、市场主体培育六大任务。本规划将引领梅县区深挖“红色+客家+侨乡”三脉资源，优化“片区引领、一带联动、多点开花”空间布局，为2035年建成粤闽赣边具有核心竞争力的客家文化文旅目的地筑牢根基，为梅县区经济社会高质量发展注入持久强劲的文旅动能。</w:t>
      </w:r>
    </w:p>
    <w:p>
      <w:pPr>
        <w:widowControl/>
        <w:jc w:val="left"/>
        <w:rPr>
          <w:rFonts w:hint="eastAsia" w:ascii="微软雅黑" w:hAnsi="微软雅黑" w:eastAsia="微软雅黑"/>
          <w:szCs w:val="21"/>
        </w:rPr>
      </w:pPr>
      <w:r>
        <w:rPr>
          <w:rFonts w:hint="eastAsia" w:ascii="微软雅黑" w:hAnsi="微软雅黑" w:eastAsia="微软雅黑"/>
          <w:szCs w:val="21"/>
        </w:rPr>
        <w:br w:type="page"/>
      </w:r>
    </w:p>
    <w:p>
      <w:pPr>
        <w:pStyle w:val="2"/>
        <w:snapToGrid w:val="0"/>
        <w:jc w:val="center"/>
        <w:rPr>
          <w:rFonts w:hint="eastAsia" w:ascii="黑体" w:hAnsi="黑体"/>
          <w:color w:val="auto"/>
        </w:rPr>
      </w:pPr>
      <w:bookmarkStart w:id="8" w:name="_Toc3276"/>
      <w:bookmarkStart w:id="9" w:name="_Toc21527"/>
      <w:bookmarkStart w:id="10" w:name="_Toc7979"/>
      <w:bookmarkStart w:id="11" w:name="_Toc235696619"/>
      <w:bookmarkStart w:id="12" w:name="_Toc5353"/>
      <w:bookmarkStart w:id="13" w:name="_Toc8325"/>
      <w:bookmarkStart w:id="14" w:name="_Toc10485"/>
      <w:bookmarkStart w:id="15" w:name="_Toc20"/>
      <w:r>
        <w:rPr>
          <w:rFonts w:ascii="黑体" w:hAnsi="黑体"/>
          <w:color w:val="auto"/>
        </w:rPr>
        <w:t>第一章 总结回顾</w:t>
      </w:r>
      <w:bookmarkEnd w:id="8"/>
      <w:bookmarkEnd w:id="9"/>
      <w:bookmarkEnd w:id="10"/>
      <w:bookmarkEnd w:id="11"/>
      <w:bookmarkEnd w:id="12"/>
      <w:bookmarkEnd w:id="13"/>
      <w:bookmarkEnd w:id="14"/>
      <w:bookmarkEnd w:id="15"/>
    </w:p>
    <w:p>
      <w:pPr>
        <w:pStyle w:val="3"/>
        <w:snapToGrid w:val="0"/>
        <w:spacing w:before="312" w:after="312"/>
        <w:jc w:val="both"/>
        <w:rPr>
          <w:rFonts w:hint="eastAsia" w:ascii="楷体" w:hAnsi="楷体"/>
          <w:color w:val="auto"/>
          <w:szCs w:val="36"/>
        </w:rPr>
      </w:pPr>
      <w:bookmarkStart w:id="16" w:name="_Toc26752"/>
      <w:bookmarkStart w:id="17" w:name="_Toc235696620"/>
      <w:bookmarkStart w:id="18" w:name="_Toc10824"/>
      <w:bookmarkStart w:id="19" w:name="_Toc32170"/>
      <w:bookmarkStart w:id="20" w:name="_Toc26664"/>
      <w:bookmarkStart w:id="21" w:name="_Toc31841"/>
      <w:bookmarkStart w:id="22" w:name="_Toc32202"/>
      <w:bookmarkStart w:id="23" w:name="_Toc6889"/>
      <w:r>
        <w:rPr>
          <w:rFonts w:ascii="楷体" w:hAnsi="楷体"/>
          <w:color w:val="auto"/>
          <w:szCs w:val="36"/>
        </w:rPr>
        <w:t>第一节 发展成就</w:t>
      </w:r>
      <w:bookmarkEnd w:id="16"/>
      <w:bookmarkEnd w:id="17"/>
      <w:bookmarkEnd w:id="18"/>
      <w:bookmarkEnd w:id="19"/>
      <w:bookmarkEnd w:id="20"/>
      <w:bookmarkEnd w:id="21"/>
      <w:bookmarkEnd w:id="22"/>
      <w:bookmarkEnd w:id="23"/>
    </w:p>
    <w:p>
      <w:pPr>
        <w:pStyle w:val="4"/>
        <w:tabs>
          <w:tab w:val="left" w:pos="0"/>
        </w:tabs>
        <w:adjustRightInd w:val="0"/>
        <w:snapToGrid w:val="0"/>
        <w:spacing w:before="234" w:beforeLines="75"/>
        <w:jc w:val="both"/>
        <w:rPr>
          <w:rFonts w:hint="eastAsia" w:ascii="黑体" w:hAnsi="黑体"/>
          <w:color w:val="auto"/>
        </w:rPr>
      </w:pPr>
      <w:bookmarkStart w:id="24" w:name="_Toc233399940"/>
      <w:bookmarkStart w:id="25" w:name="_Toc7647"/>
      <w:bookmarkStart w:id="26" w:name="_Toc233396430"/>
      <w:bookmarkStart w:id="27" w:name="_Toc30110"/>
      <w:bookmarkStart w:id="28" w:name="_Toc22430"/>
      <w:bookmarkStart w:id="29" w:name="_Toc20756"/>
      <w:bookmarkStart w:id="30" w:name="_Toc21883"/>
      <w:bookmarkStart w:id="31" w:name="_Toc233399549"/>
      <w:bookmarkStart w:id="32" w:name="_Toc32194"/>
      <w:bookmarkStart w:id="33" w:name="_Toc235696621"/>
      <w:r>
        <w:rPr>
          <w:rFonts w:hint="eastAsia" w:ascii="黑体" w:hAnsi="黑体"/>
          <w:color w:val="auto"/>
        </w:rPr>
        <w:t>一</w:t>
      </w:r>
      <w:r>
        <w:rPr>
          <w:rFonts w:ascii="黑体" w:hAnsi="黑体"/>
          <w:color w:val="auto"/>
        </w:rPr>
        <w:t>、</w:t>
      </w:r>
      <w:r>
        <w:rPr>
          <w:rFonts w:hint="eastAsia" w:ascii="黑体" w:hAnsi="黑体"/>
          <w:color w:val="auto"/>
        </w:rPr>
        <w:t>文化事业守正创新，彰显地方文化特色</w:t>
      </w:r>
      <w:bookmarkEnd w:id="24"/>
      <w:bookmarkEnd w:id="25"/>
      <w:bookmarkEnd w:id="26"/>
      <w:bookmarkEnd w:id="27"/>
      <w:bookmarkEnd w:id="28"/>
      <w:bookmarkEnd w:id="29"/>
      <w:bookmarkEnd w:id="30"/>
      <w:bookmarkEnd w:id="31"/>
      <w:bookmarkEnd w:id="32"/>
      <w:bookmarkEnd w:id="33"/>
    </w:p>
    <w:p>
      <w:pPr>
        <w:pStyle w:val="5"/>
        <w:keepNext w:val="0"/>
        <w:keepLines w:val="0"/>
        <w:widowControl/>
        <w:spacing w:before="78" w:after="78"/>
        <w:jc w:val="both"/>
        <w:rPr>
          <w:color w:val="auto"/>
          <w:sz w:val="32"/>
          <w:szCs w:val="32"/>
        </w:rPr>
      </w:pPr>
      <w:r>
        <w:rPr>
          <w:rFonts w:hint="eastAsia"/>
          <w:color w:val="auto"/>
          <w:sz w:val="32"/>
          <w:szCs w:val="32"/>
        </w:rPr>
        <w:t>（</w:t>
      </w:r>
      <w:r>
        <w:rPr>
          <w:color w:val="auto"/>
          <w:sz w:val="32"/>
          <w:szCs w:val="32"/>
        </w:rPr>
        <w:t>一</w:t>
      </w:r>
      <w:r>
        <w:rPr>
          <w:rFonts w:hint="eastAsia"/>
          <w:color w:val="auto"/>
          <w:sz w:val="32"/>
          <w:szCs w:val="32"/>
        </w:rPr>
        <w:t>）文物保护持续推进</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“十四五”期间，梅县区加大文物保护资金投入，多渠道争取各类专项资金，扎实文物普查和文保修缮工作。</w:t>
      </w:r>
    </w:p>
    <w:p>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 w:hAnsi="仿宋" w:eastAsia="仿宋" w:cs="仿宋"/>
          <w:b/>
          <w:bCs/>
          <w:sz w:val="32"/>
          <w:szCs w:val="32"/>
        </w:rPr>
        <w:t>推进文物普查完善名录建设。</w:t>
      </w:r>
      <w:r>
        <w:rPr>
          <w:rFonts w:hint="eastAsia" w:ascii="仿宋_GB2312" w:hAnsi="仿宋_GB2312" w:eastAsia="仿宋_GB2312" w:cs="仿宋_GB2312"/>
          <w:sz w:val="32"/>
          <w:szCs w:val="32"/>
        </w:rPr>
        <w:t>2023年11月以来积极开展第四次全国文物普查，复查380处不可移动文物、调查34处新发现文物；2021年至2023年分别新增1处县级、4处省级、4处市级文物保护单位，2025年5月补充公布一般不可移动文物110处。截至2025年底，全区拥有各级文物保护单位75处、不可移动文物362处；登记在册国有博物馆1家、非国有博物馆6家，其中国有博物馆藏品达7136件/套，含珍贵文物703件（一级5件、二级140件、三级558件）。</w:t>
      </w:r>
    </w:p>
    <w:p>
      <w:pPr>
        <w:pStyle w:val="8"/>
        <w:ind w:firstLine="643"/>
        <w:rPr>
          <w:rFonts w:hint="eastAsia"/>
        </w:rPr>
      </w:pPr>
      <w:r>
        <w:rPr>
          <w:rFonts w:hint="eastAsia" w:ascii="仿宋" w:hAnsi="仿宋" w:eastAsia="仿宋" w:cs="仿宋"/>
          <w:b/>
          <w:bCs/>
        </w:rPr>
        <w:t>加大资金投入，开展文物修缮。</w:t>
      </w:r>
      <w:r>
        <w:rPr>
          <w:rFonts w:hint="eastAsia" w:ascii="仿宋_GB2312" w:hAnsi="仿宋_GB2312" w:eastAsia="仿宋_GB2312" w:cs="仿宋_GB2312"/>
        </w:rPr>
        <w:t>梅县区累计争取各级文物保护专项资金1260万元，完成邓仲元旧居、仲元小学旧址、蔡蒙吉故居等7处文物保护单位修缮工程。同时指导多个乡镇利用各个渠道资金，完成萧向荣故居、蒲风故居、来安楼等10多处文物保护单位修缮。为做好可移动文物的保护，梅县区博物馆争取国家文物保护资金392.59万元，开展了馆藏珍贵文物保护修复项目。此外本级财政投入近1500万元，推进博物馆新馆选址勘察设计工作。</w:t>
      </w:r>
    </w:p>
    <w:p>
      <w:pPr>
        <w:pStyle w:val="5"/>
        <w:keepNext w:val="0"/>
        <w:keepLines w:val="0"/>
        <w:widowControl/>
        <w:spacing w:before="78" w:after="78"/>
        <w:jc w:val="both"/>
        <w:rPr>
          <w:color w:val="auto"/>
          <w:sz w:val="32"/>
          <w:szCs w:val="32"/>
        </w:rPr>
      </w:pPr>
      <w:r>
        <w:rPr>
          <w:rFonts w:hint="eastAsia"/>
          <w:color w:val="auto"/>
          <w:sz w:val="32"/>
          <w:szCs w:val="32"/>
        </w:rPr>
        <w:t>（</w:t>
      </w:r>
      <w:r>
        <w:rPr>
          <w:color w:val="auto"/>
          <w:sz w:val="32"/>
          <w:szCs w:val="32"/>
        </w:rPr>
        <w:t>二</w:t>
      </w:r>
      <w:r>
        <w:rPr>
          <w:rFonts w:hint="eastAsia"/>
          <w:color w:val="auto"/>
          <w:sz w:val="32"/>
          <w:szCs w:val="32"/>
        </w:rPr>
        <w:t>）</w:t>
      </w:r>
      <w:r>
        <w:rPr>
          <w:color w:val="auto"/>
          <w:sz w:val="32"/>
          <w:szCs w:val="32"/>
        </w:rPr>
        <w:t>红色基因有效传承</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梅县区立足苏区优势，重点推进革命文物保护与活化利用，充分发挥其宣传教育功能。</w:t>
      </w:r>
    </w:p>
    <w:p>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 w:hAnsi="仿宋" w:eastAsia="仿宋" w:cs="仿宋"/>
          <w:b/>
          <w:bCs/>
          <w:sz w:val="32"/>
          <w:szCs w:val="32"/>
        </w:rPr>
        <w:t>健全革命文物名录体系。</w:t>
      </w:r>
      <w:r>
        <w:rPr>
          <w:rFonts w:hint="eastAsia" w:ascii="仿宋_GB2312" w:hAnsi="仿宋_GB2312" w:eastAsia="仿宋_GB2312" w:cs="仿宋_GB2312"/>
          <w:sz w:val="32"/>
          <w:szCs w:val="32"/>
        </w:rPr>
        <w:t>全区不可移动文物中有26处列入革命文物名录，9处列入爱国主义教育基地。推动革命遗址提质升级。积极申报广东省革命遗址保护名录，力争11处革命遗址实现提级保护，进一步激活红色文化生命力。</w:t>
      </w:r>
    </w:p>
    <w:p>
      <w:pPr>
        <w:spacing w:line="560" w:lineRule="exact"/>
        <w:ind w:firstLine="643" w:firstLineChars="200"/>
        <w:rPr>
          <w:rFonts w:hint="eastAsia" w:ascii="方正仿宋_GB2312" w:hAnsi="方正仿宋_GB2312" w:eastAsia="方正仿宋_GB2312" w:cs="方正仿宋_GB2312"/>
          <w:sz w:val="32"/>
          <w:szCs w:val="32"/>
        </w:rPr>
      </w:pPr>
      <w:r>
        <w:rPr>
          <w:rFonts w:hint="eastAsia" w:ascii="仿宋" w:hAnsi="仿宋" w:eastAsia="仿宋" w:cs="仿宋"/>
          <w:b/>
          <w:bCs/>
          <w:sz w:val="32"/>
          <w:szCs w:val="32"/>
        </w:rPr>
        <w:t>推进革命文物修缮与升级。</w:t>
      </w:r>
      <w:r>
        <w:rPr>
          <w:rFonts w:hint="eastAsia" w:ascii="仿宋_GB2312" w:hAnsi="仿宋_GB2312" w:eastAsia="仿宋_GB2312" w:cs="仿宋_GB2312"/>
          <w:sz w:val="32"/>
          <w:szCs w:val="32"/>
        </w:rPr>
        <w:t>“十四五”期间，完成同怀别墅、萧向荣故居、仪园、蒲风故居4处革命文物的保护修缮工作。2024年完成叶剑英纪念馆的布展内容全面升级，利用科技设备提高展陈互动性，全面、准确、生动展示了叶剑英元帅伟大光荣的革命历程，发挥革命文物重要的宣传教育作用。</w:t>
      </w:r>
    </w:p>
    <w:p>
      <w:pPr>
        <w:pStyle w:val="5"/>
        <w:keepNext w:val="0"/>
        <w:keepLines w:val="0"/>
        <w:widowControl/>
        <w:spacing w:before="78" w:after="78"/>
        <w:jc w:val="both"/>
        <w:rPr>
          <w:color w:val="auto"/>
          <w:sz w:val="32"/>
          <w:szCs w:val="32"/>
        </w:rPr>
      </w:pPr>
      <w:r>
        <w:rPr>
          <w:rFonts w:hint="eastAsia"/>
          <w:color w:val="auto"/>
          <w:sz w:val="32"/>
          <w:szCs w:val="32"/>
        </w:rPr>
        <w:t>（</w:t>
      </w:r>
      <w:r>
        <w:rPr>
          <w:color w:val="auto"/>
          <w:sz w:val="32"/>
          <w:szCs w:val="32"/>
        </w:rPr>
        <w:t>三</w:t>
      </w:r>
      <w:r>
        <w:rPr>
          <w:rFonts w:hint="eastAsia"/>
          <w:color w:val="auto"/>
          <w:sz w:val="32"/>
          <w:szCs w:val="32"/>
        </w:rPr>
        <w:t>）</w:t>
      </w:r>
      <w:r>
        <w:rPr>
          <w:color w:val="auto"/>
          <w:sz w:val="32"/>
          <w:szCs w:val="32"/>
        </w:rPr>
        <w:t>非遗传承成效显著</w:t>
      </w:r>
    </w:p>
    <w:p>
      <w:pPr>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作为客家文化（梅州）生态保护实验区核心区域，梅县区加大客家文化生态保护区建设投入，推动非物质文化遗产活态传承。</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完善保护区建设。</w:t>
      </w:r>
      <w:r>
        <w:rPr>
          <w:rFonts w:hint="eastAsia" w:ascii="仿宋_GB2312" w:hAnsi="方正仿宋_GB2312" w:eastAsia="仿宋_GB2312" w:cs="方正仿宋_GB2312"/>
          <w:sz w:val="32"/>
          <w:szCs w:val="32"/>
        </w:rPr>
        <w:t>2023年3月，客家文化（梅州）生态保护实验区通过</w:t>
      </w:r>
      <w:r>
        <w:rPr>
          <w:rFonts w:hint="eastAsia" w:ascii="仿宋_GB2312" w:hAnsi="方正仿宋_GB2312" w:eastAsia="仿宋_GB2312" w:cs="方正仿宋_GB2312"/>
          <w:sz w:val="32"/>
          <w:szCs w:val="32"/>
          <w:lang w:eastAsia="zh-CN"/>
        </w:rPr>
        <w:t>文化和旅游部</w:t>
      </w:r>
      <w:r>
        <w:rPr>
          <w:rFonts w:hint="eastAsia" w:ascii="仿宋_GB2312" w:hAnsi="方正仿宋_GB2312" w:eastAsia="仿宋_GB2312" w:cs="方正仿宋_GB2312"/>
          <w:sz w:val="32"/>
          <w:szCs w:val="32"/>
        </w:rPr>
        <w:t>验收，正式列入国家级文化生态保护区；</w:t>
      </w:r>
      <w:r>
        <w:rPr>
          <w:rFonts w:hint="eastAsia" w:ascii="仿宋_GB2312" w:hAnsi="仿宋_GB2312" w:eastAsia="仿宋_GB2312" w:cs="仿宋_GB2312"/>
          <w:sz w:val="32"/>
          <w:szCs w:val="32"/>
        </w:rPr>
        <w:t>作为客家文化（梅州）生态保护实验区的核心区域，</w:t>
      </w:r>
      <w:r>
        <w:rPr>
          <w:rFonts w:hint="eastAsia" w:ascii="仿宋_GB2312" w:hAnsi="方正仿宋_GB2312" w:eastAsia="仿宋_GB2312" w:cs="方正仿宋_GB2312"/>
          <w:sz w:val="32"/>
          <w:szCs w:val="32"/>
        </w:rPr>
        <w:t>“十四五”期间梅县区累计投入建设资金19.56亿元，本级财政投入约1523.86万元，用于名人故居修缮、文物“四有”建设、文化惠民等相关工作。</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强化非遗保护与传承。</w:t>
      </w:r>
      <w:r>
        <w:rPr>
          <w:rFonts w:hint="eastAsia" w:ascii="仿宋_GB2312" w:hAnsi="方正仿宋_GB2312" w:eastAsia="仿宋_GB2312" w:cs="方正仿宋_GB2312"/>
          <w:sz w:val="32"/>
          <w:szCs w:val="32"/>
        </w:rPr>
        <w:t>“十四五”期间争取国家非遗资金312.6万元、中国传统村落文化修复资金141.1万元，用于非遗保护开发；新增2项市级、12项区级非遗项目，7名市级、39名区级非遗传承人；截至2025年底，全区拥有省级非遗项目4项、市级13项、区级46项，省级传承人4人、市级10人、区级78人。</w:t>
      </w:r>
    </w:p>
    <w:p>
      <w:pPr>
        <w:spacing w:line="560" w:lineRule="exact"/>
        <w:ind w:firstLine="643" w:firstLineChars="200"/>
        <w:rPr>
          <w:rFonts w:hint="eastAsia" w:ascii="方正仿宋_GB2312" w:hAnsi="方正仿宋_GB2312" w:eastAsia="方正仿宋_GB2312" w:cs="方正仿宋_GB2312"/>
          <w:sz w:val="32"/>
          <w:szCs w:val="32"/>
        </w:rPr>
      </w:pPr>
      <w:r>
        <w:rPr>
          <w:rFonts w:hint="eastAsia" w:ascii="仿宋" w:hAnsi="仿宋" w:eastAsia="仿宋" w:cs="仿宋"/>
          <w:b/>
          <w:bCs/>
          <w:sz w:val="32"/>
          <w:szCs w:val="32"/>
        </w:rPr>
        <w:t>拓宽非遗传播与转化渠道。</w:t>
      </w:r>
      <w:r>
        <w:rPr>
          <w:rFonts w:hint="eastAsia" w:ascii="仿宋_GB2312" w:hAnsi="方正仿宋_GB2312" w:eastAsia="仿宋_GB2312" w:cs="方正仿宋_GB2312"/>
          <w:sz w:val="32"/>
          <w:szCs w:val="32"/>
        </w:rPr>
        <w:t>编撰印刷梅县非遗专刊，开展非遗推广、巡展、展演等活动；建成梅州西站中国传统村落文化遗产展厅、雁洋镇桥溪村非遗展厅等传承体验设施；“十四五”期间，非遗文化产品（畲江工艺品）出口额达12.5亿元，实现文化价值与经济价值双赢。</w:t>
      </w:r>
    </w:p>
    <w:p>
      <w:pPr>
        <w:pStyle w:val="5"/>
        <w:keepNext w:val="0"/>
        <w:keepLines w:val="0"/>
        <w:widowControl/>
        <w:spacing w:before="78" w:after="78"/>
        <w:jc w:val="both"/>
        <w:rPr>
          <w:color w:val="auto"/>
          <w:sz w:val="32"/>
          <w:szCs w:val="32"/>
        </w:rPr>
      </w:pPr>
      <w:r>
        <w:rPr>
          <w:rFonts w:hint="eastAsia"/>
          <w:color w:val="auto"/>
          <w:sz w:val="32"/>
          <w:szCs w:val="32"/>
        </w:rPr>
        <w:t>（</w:t>
      </w:r>
      <w:r>
        <w:rPr>
          <w:color w:val="auto"/>
          <w:sz w:val="32"/>
          <w:szCs w:val="32"/>
        </w:rPr>
        <w:t>四</w:t>
      </w:r>
      <w:r>
        <w:rPr>
          <w:rFonts w:hint="eastAsia"/>
          <w:color w:val="auto"/>
          <w:sz w:val="32"/>
          <w:szCs w:val="32"/>
        </w:rPr>
        <w:t>）</w:t>
      </w:r>
      <w:r>
        <w:rPr>
          <w:color w:val="auto"/>
          <w:sz w:val="32"/>
          <w:szCs w:val="32"/>
        </w:rPr>
        <w:t>文艺成果硕果累累</w:t>
      </w:r>
    </w:p>
    <w:p>
      <w:pPr>
        <w:spacing w:line="5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梅县区坚持打造特色文艺精品，聚焦红色题材与客家元素，在各类文艺赛事中斩获多项荣誉。</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红色题材精品出圈。</w:t>
      </w:r>
      <w:r>
        <w:rPr>
          <w:rFonts w:hint="eastAsia" w:ascii="仿宋_GB2312" w:hAnsi="方正仿宋_GB2312" w:eastAsia="仿宋_GB2312" w:cs="方正仿宋_GB2312"/>
          <w:sz w:val="32"/>
          <w:szCs w:val="32"/>
        </w:rPr>
        <w:t>重点打造的大型红色题材山歌剧《血蝴蝶》（原名《九龙烽火》）荣获第十五届广东省艺术节大型舞台艺术作品二等奖，主演获“十佳舞台新秀”称号，线上线下观演总人次达66.6万。</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各类文艺精品多点开花。</w:t>
      </w:r>
      <w:r>
        <w:rPr>
          <w:rFonts w:hint="eastAsia" w:ascii="仿宋_GB2312" w:hAnsi="方正仿宋_GB2312" w:eastAsia="仿宋_GB2312" w:cs="方正仿宋_GB2312"/>
          <w:sz w:val="32"/>
          <w:szCs w:val="32"/>
        </w:rPr>
        <w:t>大型山歌剧《春闹》获广东省第十二届精神文明建设“五个一工程”奖等荣誉。表演唱《待嫁彩礼》获“中华颂”第十五届全国小戏小品曲艺大展“优秀剧目奖”；山歌小戏《甜苦瓜》获广东省第十一届群众戏剧曲艺花会“曲艺类银奖”；儿童音乐剧《I LOVE柚》获广东省第十三届少儿艺术花会“戏剧类银奖”；绘画《我们的家园》获2022广东省群众艺术花会（少儿艺术）美术类三等奖；舞蹈《金扁担》获2023广东省群众艺术花会（音乐舞蹈）舞蹈类铜奖。</w:t>
      </w:r>
    </w:p>
    <w:p>
      <w:pPr>
        <w:spacing w:line="560" w:lineRule="exact"/>
        <w:ind w:firstLine="643" w:firstLineChars="200"/>
        <w:rPr>
          <w:rFonts w:hint="eastAsia" w:ascii="方正仿宋_GB2312" w:hAnsi="方正仿宋_GB2312" w:eastAsia="方正仿宋_GB2312" w:cs="方正仿宋_GB2312"/>
          <w:sz w:val="32"/>
          <w:szCs w:val="32"/>
        </w:rPr>
      </w:pPr>
      <w:r>
        <w:rPr>
          <w:rFonts w:hint="eastAsia" w:ascii="仿宋" w:hAnsi="仿宋" w:eastAsia="仿宋" w:cs="仿宋"/>
          <w:b/>
          <w:bCs/>
          <w:sz w:val="32"/>
          <w:szCs w:val="32"/>
        </w:rPr>
        <w:t>非遗文艺传承提质。</w:t>
      </w:r>
      <w:r>
        <w:rPr>
          <w:rFonts w:hint="eastAsia" w:ascii="仿宋_GB2312" w:hAnsi="方正仿宋_GB2312" w:eastAsia="仿宋_GB2312" w:cs="方正仿宋_GB2312"/>
          <w:sz w:val="32"/>
          <w:szCs w:val="32"/>
        </w:rPr>
        <w:t>木偶戏《蓝继子：探监》《忆青春》等作品在省级中青年戏剧演艺大赛中获奖，</w:t>
      </w:r>
      <w:r>
        <w:rPr>
          <w:rFonts w:hint="eastAsia" w:ascii="仿宋_GB2312" w:hAnsi="仿宋_GB2312" w:eastAsia="仿宋_GB2312" w:cs="仿宋_GB2312"/>
          <w:sz w:val="32"/>
          <w:szCs w:val="32"/>
        </w:rPr>
        <w:t>《县官升堂》《猴趣》《蓝继子》等</w:t>
      </w:r>
      <w:r>
        <w:rPr>
          <w:rFonts w:hint="eastAsia" w:ascii="仿宋_GB2312" w:hAnsi="方正仿宋_GB2312" w:eastAsia="仿宋_GB2312" w:cs="方正仿宋_GB2312"/>
          <w:sz w:val="32"/>
          <w:szCs w:val="32"/>
        </w:rPr>
        <w:t>多个木偶节目获评广东省优秀木偶皮影剧（节）目展演优秀节目，区木偶传习所获评2021年度广东省省级非遗代表性项目保护单位履职评估优秀等次。</w:t>
      </w:r>
    </w:p>
    <w:p>
      <w:pPr>
        <w:pStyle w:val="5"/>
        <w:keepNext w:val="0"/>
        <w:keepLines w:val="0"/>
        <w:widowControl/>
        <w:spacing w:before="78" w:after="78"/>
        <w:jc w:val="both"/>
        <w:rPr>
          <w:color w:val="auto"/>
          <w:sz w:val="32"/>
          <w:szCs w:val="32"/>
        </w:rPr>
      </w:pPr>
      <w:r>
        <w:rPr>
          <w:rFonts w:hint="eastAsia"/>
          <w:color w:val="auto"/>
          <w:sz w:val="32"/>
          <w:szCs w:val="32"/>
        </w:rPr>
        <w:t>（五）</w:t>
      </w:r>
      <w:r>
        <w:rPr>
          <w:color w:val="auto"/>
          <w:sz w:val="32"/>
          <w:szCs w:val="32"/>
        </w:rPr>
        <w:t>文化惠民工程深入推进</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 xml:space="preserve"> 公共文化服务水平进一步提升。</w:t>
      </w:r>
      <w:r>
        <w:rPr>
          <w:rFonts w:hint="eastAsia" w:ascii="仿宋_GB2312" w:hAnsi="方正仿宋_GB2312" w:eastAsia="仿宋_GB2312" w:cs="方正仿宋_GB2312"/>
          <w:sz w:val="32"/>
          <w:szCs w:val="32"/>
        </w:rPr>
        <w:t>“十四五”期间，梅县区第5次获授2021-2023年度“中国民间文化艺术之乡”。大力实施梅县区行政村（社区）综合性文化服务中心提质增效建设项目，项目涵盖17个乡镇、70个行政村，农村基层文化基础设施进一步完善。 “十四五”时期，全区19个乡镇文化站有7个特级文化站、6个一级文化站、6个二级文化站。持续深化总分馆制建设，梅县区图书馆增设5个流动站并更新图书资源，拓展服务半径；通过采购、社会捐赠、征集地方文献、馆校合作等方式，馆藏图书从24.6万册增长至71.8万册，人均藏书量1.3册，有效弥补资源缺口。雁南飞、灵光寺、南寿峰等旅游景区共有36座被评为Ⅱ类以上旅游厕所，建成1个游客服务中心专业站（梅州雁洋文化旅游服务中心），有效提升旅游公共服务水平。在高铁梅州西站、景区民宿等地打造了7个以“粤书吧”为主的公共文化新空间，推动文旅融合，打通公共文化服务“最后一公里”。</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文化惠民落实到位。</w:t>
      </w:r>
      <w:r>
        <w:rPr>
          <w:rFonts w:hint="eastAsia" w:ascii="仿宋_GB2312" w:hAnsi="方正仿宋_GB2312" w:eastAsia="仿宋_GB2312" w:cs="方正仿宋_GB2312"/>
          <w:sz w:val="32"/>
          <w:szCs w:val="32"/>
        </w:rPr>
        <w:t>“十四五”期间，梅县区图书馆接入“新语听书”小程序（含18万集有声书），推出“数字阅读专栏”；打造智慧阅读体验区，提供有声书、数字图书、电子期刊等丰富资源；推出AI未来学习舱，打造专属学习小世界，满足多元阅读需求。打造“悦读悦享”“趣味课堂”“暑期公益课堂”等品牌活动，举办多元主题线上线下阅读活动年均超百场，参与人次从2.9万增长至10万人次，覆盖全年龄段读者。松口图书馆新增湖畔书房，配置自助借还一体机，为读者提供智慧化全场景服务，2024年3月评为“优秀新型阅读空间”。“经典著作系列阅读分享会”被评为“优秀阅读推广项目”。梅县区文化馆开展农村业余文艺汇演、群众文艺汇演、非遗公益讲堂等演出180场、培训358场、展览253场，多部小品、曲艺作品荣获广东省级奖项。</w:t>
      </w:r>
    </w:p>
    <w:p>
      <w:pPr>
        <w:pStyle w:val="4"/>
        <w:tabs>
          <w:tab w:val="left" w:pos="0"/>
        </w:tabs>
        <w:adjustRightInd w:val="0"/>
        <w:snapToGrid w:val="0"/>
        <w:spacing w:before="234" w:beforeLines="75"/>
        <w:jc w:val="both"/>
        <w:rPr>
          <w:rFonts w:hint="eastAsia" w:ascii="黑体" w:hAnsi="黑体"/>
          <w:color w:val="auto"/>
        </w:rPr>
      </w:pPr>
      <w:bookmarkStart w:id="34" w:name="_Toc7565"/>
      <w:bookmarkStart w:id="35" w:name="_Toc233399942"/>
      <w:bookmarkStart w:id="36" w:name="_Toc235696622"/>
      <w:bookmarkStart w:id="37" w:name="_Toc12039"/>
      <w:bookmarkStart w:id="38" w:name="_Toc17073"/>
      <w:bookmarkStart w:id="39" w:name="_Toc18819"/>
      <w:bookmarkStart w:id="40" w:name="_Toc14480"/>
      <w:bookmarkStart w:id="41" w:name="_Toc233399551"/>
      <w:bookmarkStart w:id="42" w:name="_Toc233396432"/>
      <w:bookmarkStart w:id="43" w:name="_Toc21411"/>
      <w:r>
        <w:rPr>
          <w:rFonts w:hint="eastAsia" w:ascii="黑体" w:hAnsi="黑体"/>
          <w:color w:val="auto"/>
        </w:rPr>
        <w:t>二、广电事业提质增效，传播覆盖能力全面增强</w:t>
      </w:r>
      <w:bookmarkEnd w:id="34"/>
      <w:bookmarkEnd w:id="35"/>
      <w:bookmarkEnd w:id="36"/>
      <w:bookmarkEnd w:id="37"/>
      <w:bookmarkEnd w:id="38"/>
      <w:bookmarkEnd w:id="39"/>
      <w:bookmarkEnd w:id="40"/>
      <w:bookmarkEnd w:id="41"/>
      <w:bookmarkEnd w:id="42"/>
      <w:bookmarkEnd w:id="43"/>
    </w:p>
    <w:p>
      <w:pPr>
        <w:spacing w:line="560" w:lineRule="exact"/>
        <w:ind w:firstLine="643" w:firstLineChars="200"/>
        <w:rPr>
          <w:rFonts w:hint="eastAsia" w:ascii="仿宋_GB2312" w:hAnsi="方正仿宋_GB2312" w:eastAsia="仿宋_GB2312" w:cs="方正仿宋_GB2312"/>
          <w:sz w:val="32"/>
          <w:szCs w:val="32"/>
        </w:rPr>
      </w:pPr>
      <w:r>
        <w:rPr>
          <w:rFonts w:hint="eastAsia" w:ascii="方正仿宋_GB2312" w:hAnsi="方正仿宋_GB2312" w:eastAsia="方正仿宋_GB2312" w:cs="方正仿宋_GB2312"/>
          <w:b/>
          <w:sz w:val="32"/>
          <w:szCs w:val="32"/>
        </w:rPr>
        <w:t>广播电视意识形态安全实现“零事故”。</w:t>
      </w:r>
      <w:r>
        <w:rPr>
          <w:rFonts w:hint="eastAsia" w:ascii="仿宋_GB2312" w:hAnsi="方正仿宋_GB2312" w:eastAsia="仿宋_GB2312" w:cs="方正仿宋_GB2312"/>
          <w:sz w:val="32"/>
          <w:szCs w:val="32"/>
        </w:rPr>
        <w:t>圆满完成全国两会、迎接中国共产党成立100周年、党的二十大、新中国成立75周年等重要时间节点广播电视安全播出工作。</w:t>
      </w:r>
    </w:p>
    <w:p>
      <w:pPr>
        <w:spacing w:line="560" w:lineRule="exact"/>
        <w:ind w:firstLine="643" w:firstLineChars="200"/>
        <w:rPr>
          <w:rFonts w:hint="eastAsia" w:ascii="仿宋_GB2312" w:hAnsi="方正仿宋_GB2312" w:eastAsia="仿宋_GB2312" w:cs="方正仿宋_GB2312"/>
          <w:sz w:val="32"/>
          <w:szCs w:val="32"/>
        </w:rPr>
      </w:pPr>
      <w:r>
        <w:rPr>
          <w:rFonts w:hint="eastAsia" w:ascii="方正仿宋_GB2312" w:hAnsi="方正仿宋_GB2312" w:eastAsia="方正仿宋_GB2312" w:cs="方正仿宋_GB2312"/>
          <w:b/>
          <w:sz w:val="32"/>
          <w:szCs w:val="32"/>
        </w:rPr>
        <w:t>广播电视公共服务进一步加强。</w:t>
      </w:r>
      <w:r>
        <w:rPr>
          <w:rFonts w:hint="eastAsia" w:ascii="仿宋_GB2312" w:hAnsi="方正仿宋_GB2312" w:eastAsia="仿宋_GB2312" w:cs="方正仿宋_GB2312"/>
          <w:sz w:val="32"/>
          <w:szCs w:val="32"/>
        </w:rPr>
        <w:t>城乡有线数字电视网络基础设施建设不断完善，合理增加大容量传输光缆和大容量落地光交箱建设；积极配合推进美丽圩镇建设、老旧城区网络线路的整治改造、“百千万工程”典型镇村电视线路的整治；积极推进应急广播系统建设及有线电视网络整合。</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广播电视新闻类作品颇有成果。</w:t>
      </w:r>
      <w:r>
        <w:rPr>
          <w:rFonts w:hint="eastAsia" w:ascii="仿宋_GB2312" w:hAnsi="方正仿宋_GB2312" w:eastAsia="仿宋_GB2312" w:cs="方正仿宋_GB2312"/>
          <w:sz w:val="32"/>
          <w:szCs w:val="32"/>
        </w:rPr>
        <w:t>梅县区融媒体中心“十四五”期间共有25篇作品在省、市级各类评比中荣获一、二、三等奖，其中，电视长消息《梅州东线今天正式开通 记者带你体验“梅县最美高速”》、电视新闻专题《让青春在山区支教中绽放——美丽中国支教项目在梅县》《“产业村长”杨扬：青春逐梦乡村 田园耕耘希望》、广播消息《婚礼延期，幸福不延期》、新媒体新闻融合传播作品《AI特效！让老照片里的梅州“动起来”！》等5篇作品在广东省县（市、区）广播电视新闻评比、广东省县级广电融媒新闻奖评奖中荣获一等奖。</w:t>
      </w:r>
    </w:p>
    <w:p>
      <w:pPr>
        <w:pStyle w:val="4"/>
        <w:tabs>
          <w:tab w:val="left" w:pos="0"/>
        </w:tabs>
        <w:adjustRightInd w:val="0"/>
        <w:snapToGrid w:val="0"/>
        <w:spacing w:before="234" w:beforeLines="75"/>
        <w:jc w:val="both"/>
        <w:rPr>
          <w:rFonts w:hint="eastAsia" w:ascii="黑体" w:hAnsi="黑体"/>
          <w:color w:val="auto"/>
        </w:rPr>
      </w:pPr>
      <w:bookmarkStart w:id="44" w:name="_Toc235696623"/>
      <w:bookmarkStart w:id="45" w:name="_Toc8900"/>
      <w:bookmarkStart w:id="46" w:name="_Toc21201"/>
      <w:bookmarkStart w:id="47" w:name="_Toc27380"/>
      <w:bookmarkStart w:id="48" w:name="_Toc11361"/>
      <w:bookmarkStart w:id="49" w:name="_Toc32015"/>
      <w:bookmarkStart w:id="50" w:name="_Toc17058"/>
      <w:bookmarkStart w:id="51" w:name="_Toc233396433"/>
      <w:bookmarkStart w:id="52" w:name="_Toc233399943"/>
      <w:bookmarkStart w:id="53" w:name="_Toc233399552"/>
      <w:r>
        <w:rPr>
          <w:rFonts w:hint="eastAsia" w:ascii="黑体" w:hAnsi="黑体"/>
          <w:color w:val="auto"/>
        </w:rPr>
        <w:t>三</w:t>
      </w:r>
      <w:r>
        <w:rPr>
          <w:rFonts w:ascii="黑体" w:hAnsi="黑体"/>
          <w:color w:val="auto"/>
        </w:rPr>
        <w:t>、</w:t>
      </w:r>
      <w:r>
        <w:rPr>
          <w:rFonts w:hint="eastAsia" w:ascii="黑体" w:hAnsi="黑体"/>
          <w:color w:val="auto"/>
        </w:rPr>
        <w:t>旅游产业提质升级，夯实文旅高质量发展根基</w:t>
      </w:r>
      <w:bookmarkEnd w:id="44"/>
      <w:bookmarkEnd w:id="45"/>
      <w:bookmarkEnd w:id="46"/>
      <w:bookmarkEnd w:id="47"/>
      <w:bookmarkEnd w:id="48"/>
      <w:bookmarkEnd w:id="49"/>
      <w:bookmarkEnd w:id="50"/>
      <w:bookmarkEnd w:id="51"/>
      <w:bookmarkEnd w:id="52"/>
      <w:bookmarkEnd w:id="53"/>
    </w:p>
    <w:p>
      <w:pPr>
        <w:pStyle w:val="5"/>
        <w:keepNext w:val="0"/>
        <w:keepLines w:val="0"/>
        <w:widowControl/>
        <w:spacing w:before="78" w:after="78"/>
        <w:ind w:firstLine="643" w:firstLineChars="200"/>
        <w:jc w:val="both"/>
        <w:rPr>
          <w:rFonts w:hint="eastAsia" w:ascii="仿宋_GB2312" w:hAnsi="方正仿宋_GB2312" w:eastAsia="仿宋_GB2312" w:cs="方正仿宋_GB2312"/>
          <w:b w:val="0"/>
          <w:bCs w:val="0"/>
          <w:color w:val="auto"/>
          <w:sz w:val="32"/>
          <w:szCs w:val="32"/>
        </w:rPr>
      </w:pPr>
      <w:r>
        <w:rPr>
          <w:rFonts w:hint="eastAsia" w:ascii="仿宋" w:hAnsi="仿宋" w:cs="仿宋"/>
          <w:color w:val="auto"/>
          <w:sz w:val="32"/>
          <w:szCs w:val="32"/>
        </w:rPr>
        <w:t>旅游资源普查全面完成，底数清晰可查。</w:t>
      </w:r>
      <w:r>
        <w:rPr>
          <w:rFonts w:hint="eastAsia" w:ascii="仿宋_GB2312" w:hAnsi="方正仿宋_GB2312" w:eastAsia="仿宋_GB2312" w:cs="方正仿宋_GB2312"/>
          <w:b w:val="0"/>
          <w:bCs w:val="0"/>
          <w:color w:val="auto"/>
          <w:sz w:val="32"/>
          <w:szCs w:val="32"/>
        </w:rPr>
        <w:t>响应国家、省、市文旅部门要求，梅县区于2023年5月启动全区旅游资源普查工作，2024年11月顺利通过省级评审验收。本次普查明确全区共有旅游资源1010个，其中等级旅游资源854个，涵盖五级旅游资源18个、四级旅游资源60个，全面摸清了区域旅游资源家底，为后续旅游产业规划、开发和发展奠定了坚实基础。</w:t>
      </w:r>
    </w:p>
    <w:p>
      <w:pPr>
        <w:pStyle w:val="5"/>
        <w:keepNext w:val="0"/>
        <w:keepLines w:val="0"/>
        <w:widowControl/>
        <w:spacing w:before="78" w:after="78"/>
        <w:ind w:firstLine="643" w:firstLineChars="200"/>
        <w:jc w:val="both"/>
        <w:rPr>
          <w:rFonts w:hint="eastAsia" w:ascii="仿宋_GB2312" w:hAnsi="方正仿宋_GB2312" w:eastAsia="仿宋_GB2312" w:cs="方正仿宋_GB2312"/>
          <w:b w:val="0"/>
          <w:bCs w:val="0"/>
          <w:color w:val="auto"/>
          <w:sz w:val="32"/>
          <w:szCs w:val="32"/>
        </w:rPr>
      </w:pPr>
      <w:r>
        <w:rPr>
          <w:rFonts w:hint="eastAsia" w:ascii="仿宋" w:hAnsi="仿宋" w:cs="仿宋"/>
          <w:color w:val="auto"/>
          <w:sz w:val="32"/>
          <w:szCs w:val="32"/>
        </w:rPr>
        <w:t>A级旅游景区提档升级，品牌影响力提升。</w:t>
      </w:r>
      <w:r>
        <w:rPr>
          <w:rFonts w:hint="eastAsia" w:ascii="仿宋_GB2312" w:hAnsi="方正仿宋_GB2312" w:eastAsia="仿宋_GB2312" w:cs="方正仿宋_GB2312"/>
          <w:b w:val="0"/>
          <w:bCs w:val="0"/>
          <w:color w:val="auto"/>
          <w:sz w:val="32"/>
          <w:szCs w:val="32"/>
        </w:rPr>
        <w:t>“十四五”期间，梅县区持续推动A级旅游景区提质增效，实现景区品质与品牌竞争力双提升。客都人家文化旅游区获评国家3A级旅游景区，南寿峰旅游景区成功创建国家4A级旅游景区，雁南飞茶田景区顺利通过5A复核。截至目前，全区已形成1家国家5A级、4家4A级、2家3A级的A级旅游景区矩阵。各核心景区特色发展成效显著：雁南飞茶田景区立足农文旅融合，深度挖掘茶文化与客家文化，开发多元化体验产品并开展特色表演，吸引大量游客打卡；灵光寺旅游区打造千亩茶园、万株樱花网红打卡地，连续举办阴那山樱花节，2025年登上国家级媒体平台，成为粤东地区旅游热点，进一步擦亮“叶帅故里·大美梅县”旅游品牌。</w:t>
      </w:r>
    </w:p>
    <w:p>
      <w:pPr>
        <w:pStyle w:val="5"/>
        <w:keepNext w:val="0"/>
        <w:keepLines w:val="0"/>
        <w:widowControl/>
        <w:spacing w:before="78" w:after="78"/>
        <w:ind w:firstLine="643" w:firstLineChars="200"/>
        <w:jc w:val="both"/>
        <w:rPr>
          <w:rFonts w:hint="eastAsia" w:ascii="仿宋_GB2312" w:hAnsi="方正仿宋_GB2312" w:eastAsia="仿宋_GB2312" w:cs="方正仿宋_GB2312"/>
          <w:b w:val="0"/>
          <w:bCs w:val="0"/>
          <w:color w:val="auto"/>
          <w:sz w:val="32"/>
          <w:szCs w:val="32"/>
        </w:rPr>
      </w:pPr>
      <w:r>
        <w:rPr>
          <w:color w:val="auto"/>
          <w:sz w:val="32"/>
          <w:szCs w:val="32"/>
        </w:rPr>
        <w:t>乡村旅游民宿量质齐升，业态不断丰富</w:t>
      </w:r>
      <w:r>
        <w:rPr>
          <w:rFonts w:hint="eastAsia"/>
          <w:color w:val="auto"/>
          <w:sz w:val="32"/>
          <w:szCs w:val="32"/>
        </w:rPr>
        <w:t>。</w:t>
      </w:r>
      <w:r>
        <w:rPr>
          <w:rFonts w:hint="eastAsia" w:ascii="仿宋_GB2312" w:hAnsi="方正仿宋_GB2312" w:eastAsia="仿宋_GB2312" w:cs="方正仿宋_GB2312"/>
          <w:b w:val="0"/>
          <w:bCs w:val="0"/>
          <w:color w:val="auto"/>
          <w:sz w:val="32"/>
          <w:szCs w:val="32"/>
        </w:rPr>
        <w:t>以2021年首届广东民宿大会举办为契机，梅县区大力扶持民宿产业发展，推动古民居活化利用与民宿改造结合，持续提升民宿品质和经营管理水平。“十四五”期间，民宿产业取得突破性发展：2021年雁洋镇志睦楼民宿获评首批全国乙级民宿；2024年三舍综艺民宿获评全国甲级旅游民宿，实现梅州民宿全国甲级称号零的突破，标志着区域民宿产业迈入新阶段。同时，引入广东省旅游控股集团投资建设“松口印象”项目，盘活松口港务所等场所，打造集展陈与客家风情体验于一体的特色民宿综合体，丰富了住宿业态。截至2025年底，全区已登记旅游民宿16家，其中国家甲、乙级民宿各1家，4家民宿入选首批广东省乡村民宿示范点，民宿产业成为乡村旅游发展的重要支撑。</w:t>
      </w:r>
    </w:p>
    <w:p>
      <w:pPr>
        <w:pStyle w:val="5"/>
        <w:keepNext w:val="0"/>
        <w:keepLines w:val="0"/>
        <w:widowControl/>
        <w:spacing w:before="78" w:after="78"/>
        <w:ind w:firstLine="643" w:firstLineChars="200"/>
        <w:jc w:val="both"/>
        <w:rPr>
          <w:rFonts w:hint="eastAsia" w:ascii="仿宋_GB2312" w:hAnsi="方正仿宋_GB2312" w:eastAsia="仿宋_GB2312" w:cs="方正仿宋_GB2312"/>
          <w:b w:val="0"/>
          <w:bCs w:val="0"/>
          <w:color w:val="auto"/>
          <w:sz w:val="32"/>
          <w:szCs w:val="32"/>
        </w:rPr>
      </w:pPr>
      <w:r>
        <w:rPr>
          <w:color w:val="auto"/>
          <w:sz w:val="32"/>
          <w:szCs w:val="32"/>
        </w:rPr>
        <w:t>精品旅游线路精准打造，聚客引流成效显著</w:t>
      </w:r>
      <w:r>
        <w:rPr>
          <w:rFonts w:hint="eastAsia"/>
          <w:color w:val="auto"/>
          <w:sz w:val="32"/>
          <w:szCs w:val="32"/>
        </w:rPr>
        <w:t>。</w:t>
      </w:r>
      <w:r>
        <w:rPr>
          <w:rFonts w:hint="eastAsia" w:ascii="仿宋_GB2312" w:hAnsi="方正仿宋_GB2312" w:eastAsia="仿宋_GB2312" w:cs="方正仿宋_GB2312"/>
          <w:b w:val="0"/>
          <w:bCs w:val="0"/>
          <w:color w:val="auto"/>
          <w:sz w:val="32"/>
          <w:szCs w:val="32"/>
        </w:rPr>
        <w:t>梅县区聚焦资源整合，精心打造特色精品旅游线路，持续扩大旅游吸引力和影响力。“十四五”期间，多条线路斩获各级荣誉：2023年“探古道、赏春花、品茶韵——梅县区赏花踏春古镇游”入选</w:t>
      </w:r>
      <w:r>
        <w:rPr>
          <w:rFonts w:hint="eastAsia" w:ascii="仿宋_GB2312" w:hAnsi="方正仿宋_GB2312" w:eastAsia="仿宋_GB2312" w:cs="方正仿宋_GB2312"/>
          <w:b w:val="0"/>
          <w:bCs w:val="0"/>
          <w:color w:val="auto"/>
          <w:sz w:val="32"/>
          <w:szCs w:val="32"/>
          <w:lang w:eastAsia="zh-CN"/>
        </w:rPr>
        <w:t>文化和旅游部</w:t>
      </w:r>
      <w:r>
        <w:rPr>
          <w:rFonts w:hint="eastAsia" w:ascii="仿宋_GB2312" w:hAnsi="方正仿宋_GB2312" w:eastAsia="仿宋_GB2312" w:cs="方正仿宋_GB2312"/>
          <w:b w:val="0"/>
          <w:bCs w:val="0"/>
          <w:color w:val="auto"/>
          <w:sz w:val="32"/>
          <w:szCs w:val="32"/>
        </w:rPr>
        <w:t>“乡村四时好风光”全国乡村旅游精品线路；2024年“南洋古道·品味客韵——梅县区冬季美食之旅”入选梅州市四季美食旅游精品线路（冬季主题）；2025年1月“梅州乡村非遗研学之旅”入选2024全国非遗特色旅游线路，线路涵盖叶剑英纪念园、雁南飞茶田景区、侨乡村等核心点位，实现“串点成线、连线成片”，有效带动游客量增长，推动旅游产业高质量发展。</w:t>
      </w:r>
    </w:p>
    <w:p>
      <w:pPr>
        <w:pStyle w:val="4"/>
        <w:tabs>
          <w:tab w:val="left" w:pos="0"/>
        </w:tabs>
        <w:adjustRightInd w:val="0"/>
        <w:snapToGrid w:val="0"/>
        <w:spacing w:before="234" w:beforeLines="75"/>
        <w:jc w:val="both"/>
        <w:rPr>
          <w:rFonts w:hint="eastAsia" w:ascii="黑体" w:hAnsi="黑体"/>
          <w:color w:val="auto"/>
        </w:rPr>
      </w:pPr>
      <w:bookmarkStart w:id="54" w:name="_Toc233396434"/>
      <w:bookmarkStart w:id="55" w:name="_Toc233399944"/>
      <w:bookmarkStart w:id="56" w:name="_Toc17614"/>
      <w:bookmarkStart w:id="57" w:name="_Toc19146"/>
      <w:bookmarkStart w:id="58" w:name="_Toc19803"/>
      <w:bookmarkStart w:id="59" w:name="_Toc235696624"/>
      <w:bookmarkStart w:id="60" w:name="_Toc233399553"/>
      <w:bookmarkStart w:id="61" w:name="_Toc16559"/>
      <w:bookmarkStart w:id="62" w:name="_Toc17482"/>
      <w:bookmarkStart w:id="63" w:name="_Toc2953"/>
      <w:r>
        <w:rPr>
          <w:rFonts w:hint="eastAsia" w:ascii="黑体" w:hAnsi="黑体"/>
          <w:color w:val="auto"/>
        </w:rPr>
        <w:t>四、产业融合深度推进，产业发展动能持续激活</w:t>
      </w:r>
      <w:bookmarkEnd w:id="54"/>
      <w:bookmarkEnd w:id="55"/>
      <w:bookmarkEnd w:id="56"/>
      <w:bookmarkEnd w:id="57"/>
      <w:bookmarkEnd w:id="58"/>
      <w:bookmarkEnd w:id="59"/>
      <w:bookmarkEnd w:id="60"/>
      <w:bookmarkEnd w:id="61"/>
      <w:bookmarkEnd w:id="62"/>
      <w:bookmarkEnd w:id="63"/>
    </w:p>
    <w:p>
      <w:pPr>
        <w:pStyle w:val="5"/>
        <w:keepNext w:val="0"/>
        <w:keepLines w:val="0"/>
        <w:widowControl/>
        <w:spacing w:before="78" w:after="78"/>
        <w:ind w:firstLine="643" w:firstLineChars="200"/>
        <w:jc w:val="both"/>
        <w:rPr>
          <w:rFonts w:hint="eastAsia" w:ascii="仿宋_GB2312" w:hAnsi="方正仿宋_GB2312" w:eastAsia="仿宋_GB2312" w:cs="方正仿宋_GB2312"/>
          <w:b w:val="0"/>
          <w:bCs w:val="0"/>
          <w:color w:val="auto"/>
          <w:sz w:val="32"/>
          <w:szCs w:val="32"/>
        </w:rPr>
      </w:pPr>
      <w:r>
        <w:rPr>
          <w:rFonts w:hint="eastAsia"/>
          <w:color w:val="auto"/>
          <w:sz w:val="32"/>
          <w:szCs w:val="32"/>
        </w:rPr>
        <w:t>深化机构改革，筑牢融合发展组织根基。</w:t>
      </w:r>
      <w:r>
        <w:rPr>
          <w:rFonts w:hint="eastAsia" w:ascii="仿宋_GB2312" w:hAnsi="方正仿宋_GB2312" w:eastAsia="仿宋_GB2312" w:cs="方正仿宋_GB2312"/>
          <w:b w:val="0"/>
          <w:bCs w:val="0"/>
          <w:color w:val="auto"/>
          <w:sz w:val="32"/>
          <w:szCs w:val="32"/>
        </w:rPr>
        <w:t>“十四五”时期，深化政府机构改革，完成区文化广电旅游体育局组建，实现文化、广电、旅游、体育领域行政资源优化整合、管理职能一体统筹，打破领域发展壁垒，凝聚起协同发展合力，成为全区重点领域改革的标志性成果。依托新机构统筹引领，为文广旅体产业高质量融合发展奠定了坚实的组织基础和实践基础，推动文体事业产业呈现蓬勃发展态势。</w:t>
      </w:r>
    </w:p>
    <w:p>
      <w:pPr>
        <w:pStyle w:val="5"/>
        <w:keepNext w:val="0"/>
        <w:keepLines w:val="0"/>
        <w:widowControl/>
        <w:spacing w:before="78" w:after="78"/>
        <w:ind w:firstLine="643" w:firstLineChars="200"/>
        <w:jc w:val="both"/>
        <w:rPr>
          <w:rFonts w:hint="eastAsia" w:ascii="仿宋_GB2312" w:hAnsi="方正仿宋_GB2312" w:eastAsia="仿宋_GB2312" w:cs="方正仿宋_GB2312"/>
          <w:b w:val="0"/>
          <w:bCs w:val="0"/>
          <w:color w:val="auto"/>
          <w:sz w:val="32"/>
          <w:szCs w:val="32"/>
        </w:rPr>
      </w:pPr>
      <w:r>
        <w:rPr>
          <w:rFonts w:hint="eastAsia"/>
          <w:color w:val="auto"/>
          <w:sz w:val="32"/>
          <w:szCs w:val="32"/>
        </w:rPr>
        <w:t>聚焦农文旅融合，打造特色发展标杆。</w:t>
      </w:r>
      <w:r>
        <w:rPr>
          <w:rFonts w:hint="eastAsia" w:ascii="仿宋_GB2312" w:hAnsi="方正仿宋_GB2312" w:eastAsia="仿宋_GB2312" w:cs="方正仿宋_GB2312"/>
          <w:b w:val="0"/>
          <w:bCs w:val="0"/>
          <w:color w:val="auto"/>
          <w:sz w:val="32"/>
          <w:szCs w:val="32"/>
        </w:rPr>
        <w:t>农文旅融合发展成效突出，培育打造了一批特色标杆点位和品牌：雁洋镇获评全国乡村旅游重点镇、广东省旅游度假区、广东乡村民宿示范镇，入选首批文化产业赋能乡村振兴省级试点名单；松口镇入选广东省文化和旅游特色镇（创先级）名单；大黄村入选省级休闲农业与乡村旅游示范点、创建为广东省文化和旅游特色村；打造梅南镇水美村红色旅游基地、水车镇茶山村古村落、南口镇侨乡村细柚大草坪等多个乡村旅游点；推出乡村非遗研学等全国性文旅品牌，文艺创作斩获国家级、省级奖项。</w:t>
      </w:r>
    </w:p>
    <w:p>
      <w:pPr>
        <w:pStyle w:val="4"/>
        <w:tabs>
          <w:tab w:val="left" w:pos="0"/>
        </w:tabs>
        <w:adjustRightInd w:val="0"/>
        <w:snapToGrid w:val="0"/>
        <w:spacing w:before="234" w:beforeLines="75"/>
        <w:jc w:val="both"/>
        <w:rPr>
          <w:rFonts w:hint="eastAsia" w:ascii="黑体" w:hAnsi="黑体"/>
          <w:color w:val="auto"/>
        </w:rPr>
      </w:pPr>
      <w:bookmarkStart w:id="64" w:name="_Toc18365"/>
      <w:bookmarkStart w:id="65" w:name="_Toc233399945"/>
      <w:bookmarkStart w:id="66" w:name="_Toc29059"/>
      <w:bookmarkStart w:id="67" w:name="_Toc235696625"/>
      <w:bookmarkStart w:id="68" w:name="_Toc31776"/>
      <w:bookmarkStart w:id="69" w:name="_Toc30186"/>
      <w:bookmarkStart w:id="70" w:name="_Toc6202"/>
      <w:bookmarkStart w:id="71" w:name="_Toc233399554"/>
      <w:bookmarkStart w:id="72" w:name="_Toc233396435"/>
      <w:bookmarkStart w:id="73" w:name="_Toc3664"/>
      <w:r>
        <w:rPr>
          <w:rFonts w:hint="eastAsia" w:ascii="黑体" w:hAnsi="黑体"/>
          <w:color w:val="auto"/>
        </w:rPr>
        <w:t>五、品牌宣传多点发力，区域文旅影响力显著提升</w:t>
      </w:r>
      <w:bookmarkEnd w:id="64"/>
      <w:bookmarkEnd w:id="65"/>
      <w:bookmarkEnd w:id="66"/>
      <w:bookmarkEnd w:id="67"/>
      <w:bookmarkEnd w:id="68"/>
      <w:bookmarkEnd w:id="69"/>
      <w:bookmarkEnd w:id="70"/>
      <w:bookmarkEnd w:id="71"/>
      <w:bookmarkEnd w:id="72"/>
      <w:bookmarkEnd w:id="73"/>
    </w:p>
    <w:p>
      <w:pPr>
        <w:spacing w:line="560" w:lineRule="exact"/>
        <w:ind w:firstLine="643" w:firstLineChars="200"/>
        <w:outlineLvl w:val="3"/>
        <w:rPr>
          <w:rFonts w:hint="eastAsia" w:ascii="仿宋_GB2312" w:hAnsi="方正仿宋_GB2312" w:eastAsia="仿宋_GB2312" w:cs="方正仿宋_GB2312"/>
          <w:sz w:val="32"/>
          <w:szCs w:val="32"/>
        </w:rPr>
      </w:pPr>
      <w:r>
        <w:rPr>
          <w:rFonts w:hint="eastAsia" w:ascii="Cambria" w:hAnsi="Cambria" w:eastAsia="仿宋"/>
          <w:b/>
          <w:bCs/>
          <w:sz w:val="32"/>
          <w:szCs w:val="32"/>
        </w:rPr>
        <w:t>城乡文旅风情营造成效初显。</w:t>
      </w:r>
      <w:r>
        <w:rPr>
          <w:rFonts w:hint="eastAsia" w:ascii="仿宋_GB2312" w:hAnsi="方正仿宋_GB2312" w:eastAsia="仿宋_GB2312" w:cs="方正仿宋_GB2312"/>
          <w:sz w:val="32"/>
          <w:szCs w:val="32"/>
        </w:rPr>
        <w:t>立足本地特色资源，强化文旅场景具象化呈现，组织辖区文旅企业参与各类展会，精心布置主题展区，同步开展非遗展演、文创发放、宣传推送等活动，全方位、多角度推介梅县文旅特色，有效提升了区域文旅辨识度。</w:t>
      </w:r>
    </w:p>
    <w:p>
      <w:pPr>
        <w:spacing w:line="560" w:lineRule="exact"/>
        <w:ind w:firstLine="643" w:firstLineChars="200"/>
        <w:outlineLvl w:val="3"/>
        <w:rPr>
          <w:rFonts w:hint="eastAsia" w:ascii="仿宋_GB2312" w:hAnsi="方正仿宋_GB2312" w:eastAsia="仿宋_GB2312" w:cs="方正仿宋_GB2312"/>
          <w:sz w:val="32"/>
          <w:szCs w:val="32"/>
        </w:rPr>
      </w:pPr>
      <w:r>
        <w:rPr>
          <w:rFonts w:hint="eastAsia" w:ascii="Cambria" w:hAnsi="Cambria" w:eastAsia="仿宋"/>
          <w:b/>
          <w:bCs/>
          <w:sz w:val="32"/>
          <w:szCs w:val="32"/>
        </w:rPr>
        <w:t>特色节庆活动赋能品牌传播。</w:t>
      </w:r>
      <w:r>
        <w:rPr>
          <w:rFonts w:hint="eastAsia" w:ascii="仿宋_GB2312" w:hAnsi="方正仿宋_GB2312" w:eastAsia="仿宋_GB2312" w:cs="方正仿宋_GB2312"/>
          <w:sz w:val="32"/>
          <w:szCs w:val="32"/>
        </w:rPr>
        <w:t>以节庆活动为传播载体，深度挖掘客家文化内涵，举办“请到中国·松口过大年”等主题活动，通过年俗展示、文艺展演等形式，诠释地方历史文化底蕴，营造浓厚节庆氛围，推动沉浸式体验落地，带动周边关联产业发展，实现文化传播与经济收益双赢。</w:t>
      </w:r>
    </w:p>
    <w:p>
      <w:pPr>
        <w:spacing w:line="560" w:lineRule="exact"/>
        <w:ind w:firstLine="643" w:firstLineChars="200"/>
        <w:outlineLvl w:val="3"/>
        <w:rPr>
          <w:rFonts w:hint="eastAsia" w:ascii="仿宋_GB2312" w:hAnsi="方正仿宋_GB2312" w:eastAsia="仿宋_GB2312" w:cs="方正仿宋_GB2312"/>
          <w:sz w:val="32"/>
          <w:szCs w:val="32"/>
        </w:rPr>
      </w:pPr>
      <w:r>
        <w:rPr>
          <w:rFonts w:hint="eastAsia" w:ascii="Cambria" w:hAnsi="Cambria" w:eastAsia="仿宋"/>
          <w:b/>
          <w:bCs/>
          <w:sz w:val="32"/>
          <w:szCs w:val="32"/>
        </w:rPr>
        <w:t>营销宣传模式实现创意升级。</w:t>
      </w:r>
      <w:r>
        <w:rPr>
          <w:rFonts w:hint="eastAsia" w:ascii="仿宋_GB2312" w:hAnsi="方正仿宋_GB2312" w:eastAsia="仿宋_GB2312" w:cs="方正仿宋_GB2312"/>
          <w:sz w:val="32"/>
          <w:szCs w:val="32"/>
        </w:rPr>
        <w:t>坚持“走出去”推介策略，持续组织辖区重点文旅企业、非遗商家，积极参与广东国际旅游产业博览会、中国—东盟博览会等各类高水平文旅展会，搭建多元宣传平台，不断拓宽梅县文旅品牌传播渠道，显著提升了品牌知名度与影响力。</w:t>
      </w:r>
    </w:p>
    <w:p>
      <w:pPr>
        <w:spacing w:line="560" w:lineRule="exact"/>
        <w:ind w:firstLine="643" w:firstLineChars="200"/>
        <w:outlineLvl w:val="3"/>
        <w:rPr>
          <w:rFonts w:hint="eastAsia" w:ascii="仿宋_GB2312" w:hAnsi="方正仿宋_GB2312" w:eastAsia="仿宋_GB2312" w:cs="方正仿宋_GB2312"/>
          <w:sz w:val="32"/>
          <w:szCs w:val="32"/>
        </w:rPr>
      </w:pPr>
      <w:r>
        <w:rPr>
          <w:rFonts w:hint="eastAsia" w:ascii="Cambria" w:hAnsi="Cambria" w:eastAsia="仿宋"/>
          <w:b/>
          <w:bCs/>
          <w:sz w:val="32"/>
          <w:szCs w:val="32"/>
        </w:rPr>
        <w:t>沉浸式文旅体验持续打造。</w:t>
      </w:r>
      <w:r>
        <w:rPr>
          <w:rFonts w:hint="eastAsia" w:ascii="仿宋_GB2312" w:hAnsi="方正仿宋_GB2312" w:eastAsia="仿宋_GB2312" w:cs="方正仿宋_GB2312"/>
          <w:sz w:val="32"/>
          <w:szCs w:val="32"/>
        </w:rPr>
        <w:t>聚焦游客体验提升，丰富文旅产品供给，打造多元化沉浸式演艺场景，推出实景互动演艺秀、客乡电音秀、儿童剧、群星演唱会等各类特色文旅活动，完善文旅产品矩阵，充分彰显了梅县文旅品牌的活力与吸引力。</w:t>
      </w:r>
    </w:p>
    <w:p>
      <w:pPr>
        <w:pStyle w:val="4"/>
        <w:tabs>
          <w:tab w:val="left" w:pos="0"/>
        </w:tabs>
        <w:adjustRightInd w:val="0"/>
        <w:snapToGrid w:val="0"/>
        <w:spacing w:before="234" w:beforeLines="75"/>
        <w:jc w:val="both"/>
        <w:rPr>
          <w:rFonts w:hint="eastAsia" w:ascii="黑体" w:hAnsi="黑体"/>
          <w:color w:val="auto"/>
        </w:rPr>
      </w:pPr>
      <w:bookmarkStart w:id="74" w:name="_Toc12985"/>
      <w:bookmarkStart w:id="75" w:name="_Toc233396436"/>
      <w:bookmarkStart w:id="76" w:name="_Toc24296"/>
      <w:bookmarkStart w:id="77" w:name="_Toc235696626"/>
      <w:bookmarkStart w:id="78" w:name="_Toc1912"/>
      <w:bookmarkStart w:id="79" w:name="_Toc5100"/>
      <w:bookmarkStart w:id="80" w:name="_Toc233399555"/>
      <w:bookmarkStart w:id="81" w:name="_Toc14557"/>
      <w:bookmarkStart w:id="82" w:name="_Toc233399946"/>
      <w:bookmarkStart w:id="83" w:name="_Toc32698"/>
      <w:r>
        <w:rPr>
          <w:rFonts w:hint="eastAsia" w:ascii="黑体" w:hAnsi="黑体"/>
          <w:color w:val="auto"/>
        </w:rPr>
        <w:t>六</w:t>
      </w:r>
      <w:r>
        <w:rPr>
          <w:rFonts w:ascii="黑体" w:hAnsi="黑体"/>
          <w:color w:val="auto"/>
        </w:rPr>
        <w:t>、</w:t>
      </w:r>
      <w:r>
        <w:rPr>
          <w:rFonts w:hint="eastAsia" w:ascii="黑体" w:hAnsi="黑体"/>
          <w:color w:val="auto"/>
        </w:rPr>
        <w:t>市场治理规范有序，行业发展环境持续优化</w:t>
      </w:r>
      <w:bookmarkEnd w:id="74"/>
      <w:bookmarkEnd w:id="75"/>
      <w:bookmarkEnd w:id="76"/>
      <w:bookmarkEnd w:id="77"/>
      <w:bookmarkEnd w:id="78"/>
      <w:bookmarkEnd w:id="79"/>
      <w:bookmarkEnd w:id="80"/>
      <w:bookmarkEnd w:id="81"/>
      <w:bookmarkEnd w:id="82"/>
      <w:bookmarkEnd w:id="83"/>
    </w:p>
    <w:p>
      <w:pPr>
        <w:spacing w:line="560" w:lineRule="exact"/>
        <w:ind w:firstLine="643" w:firstLineChars="200"/>
        <w:rPr>
          <w:rFonts w:hint="eastAsia" w:ascii="仿宋_GB2312" w:hAnsi="方正仿宋_GB2312" w:eastAsia="仿宋_GB2312" w:cs="方正仿宋_GB2312"/>
          <w:sz w:val="32"/>
          <w:szCs w:val="32"/>
        </w:rPr>
      </w:pPr>
      <w:r>
        <w:rPr>
          <w:rFonts w:hint="eastAsia" w:ascii="Cambria" w:hAnsi="Cambria" w:eastAsia="仿宋"/>
          <w:b/>
          <w:bCs/>
          <w:sz w:val="32"/>
          <w:szCs w:val="32"/>
        </w:rPr>
        <w:t>文旅监管效能持续增强。</w:t>
      </w:r>
      <w:r>
        <w:rPr>
          <w:rFonts w:hint="eastAsia" w:ascii="仿宋_GB2312" w:hAnsi="方正仿宋_GB2312" w:eastAsia="仿宋_GB2312" w:cs="方正仿宋_GB2312"/>
          <w:sz w:val="32"/>
          <w:szCs w:val="32"/>
        </w:rPr>
        <w:t>“十四五”时期，依法依规办理行政审批事项共174宗，包括经营高危险性体育项目许可、申请从事互联网上网服务经营活动审批、文物保护单位保护范围内进行其他建设工程设计方案审核、国内文艺表演团体延续等多个事项。积极使用“文网卫士”网吧监管平台等远程监管系统，梳理涉企行政检查事项，优化“综合查一次”“双随机、一公开”检查工作，严格行政检查标准、程序，规范涉企行政执法检查。</w:t>
      </w:r>
    </w:p>
    <w:p>
      <w:pPr>
        <w:spacing w:line="560" w:lineRule="exact"/>
        <w:ind w:firstLine="643" w:firstLineChars="200"/>
        <w:rPr>
          <w:rFonts w:hint="eastAsia" w:ascii="仿宋_GB2312" w:hAnsi="方正仿宋_GB2312" w:eastAsia="仿宋_GB2312" w:cs="方正仿宋_GB2312"/>
          <w:sz w:val="32"/>
          <w:szCs w:val="32"/>
        </w:rPr>
      </w:pPr>
      <w:r>
        <w:rPr>
          <w:rFonts w:hint="eastAsia" w:ascii="Cambria" w:hAnsi="Cambria" w:eastAsia="仿宋"/>
          <w:b/>
          <w:bCs/>
          <w:sz w:val="32"/>
          <w:szCs w:val="32"/>
        </w:rPr>
        <w:t>强化文旅市场秩序整治。</w:t>
      </w:r>
      <w:r>
        <w:rPr>
          <w:rFonts w:hint="eastAsia" w:ascii="仿宋_GB2312" w:hAnsi="方正仿宋_GB2312" w:eastAsia="仿宋_GB2312" w:cs="方正仿宋_GB2312"/>
          <w:sz w:val="32"/>
          <w:szCs w:val="32"/>
        </w:rPr>
        <w:t>加大未成年人保护力度，严查互联网上网服务场所、歌舞娱乐场所违规接纳未成年人等行为，依法处置剧本娱乐、游艺娱乐、电竞酒店等场所涉未成年人违规经营活动，围绕旅游市场等重点领域，依托信用分级分类监管，规范市场秩序。</w:t>
      </w:r>
    </w:p>
    <w:p>
      <w:pPr>
        <w:spacing w:line="560" w:lineRule="exact"/>
        <w:ind w:firstLine="640" w:firstLineChars="200"/>
        <w:rPr>
          <w:rFonts w:hint="eastAsia" w:ascii="方正仿宋_GB2312" w:hAnsi="方正仿宋_GB2312" w:eastAsia="方正仿宋_GB2312" w:cs="方正仿宋_GB2312"/>
          <w:sz w:val="32"/>
          <w:szCs w:val="32"/>
        </w:rPr>
      </w:pPr>
    </w:p>
    <w:p>
      <w:pPr>
        <w:pStyle w:val="3"/>
        <w:snapToGrid w:val="0"/>
        <w:spacing w:before="312" w:after="312"/>
        <w:jc w:val="both"/>
        <w:rPr>
          <w:rFonts w:hint="eastAsia" w:ascii="楷体" w:hAnsi="楷体"/>
          <w:color w:val="auto"/>
          <w:szCs w:val="36"/>
        </w:rPr>
      </w:pPr>
      <w:bookmarkStart w:id="84" w:name="_Toc20170"/>
      <w:bookmarkStart w:id="85" w:name="_Toc19773"/>
      <w:bookmarkStart w:id="86" w:name="_Toc10493"/>
      <w:bookmarkStart w:id="87" w:name="_Toc32074"/>
      <w:bookmarkStart w:id="88" w:name="_Toc14837"/>
      <w:bookmarkStart w:id="89" w:name="_Toc235696627"/>
      <w:bookmarkStart w:id="90" w:name="_Toc20397"/>
      <w:bookmarkStart w:id="91" w:name="_Toc10639"/>
      <w:r>
        <w:rPr>
          <w:rFonts w:ascii="楷体" w:hAnsi="楷体"/>
          <w:color w:val="auto"/>
          <w:szCs w:val="36"/>
        </w:rPr>
        <w:t>第二节 存在问题</w:t>
      </w:r>
      <w:bookmarkEnd w:id="84"/>
      <w:bookmarkEnd w:id="85"/>
      <w:bookmarkEnd w:id="86"/>
      <w:bookmarkEnd w:id="87"/>
      <w:bookmarkEnd w:id="88"/>
      <w:bookmarkEnd w:id="89"/>
      <w:bookmarkEnd w:id="90"/>
      <w:bookmarkEnd w:id="91"/>
    </w:p>
    <w:p>
      <w:pPr>
        <w:pStyle w:val="4"/>
        <w:snapToGrid w:val="0"/>
        <w:spacing w:before="78"/>
        <w:ind w:left="420"/>
        <w:jc w:val="both"/>
        <w:rPr>
          <w:rFonts w:hint="eastAsia" w:ascii="黑体" w:hAnsi="黑体"/>
          <w:color w:val="auto"/>
        </w:rPr>
      </w:pPr>
      <w:bookmarkStart w:id="92" w:name="_Toc235696628"/>
      <w:bookmarkStart w:id="93" w:name="_Toc2364"/>
      <w:bookmarkStart w:id="94" w:name="_Toc835"/>
      <w:bookmarkStart w:id="95" w:name="_Toc233399557"/>
      <w:bookmarkStart w:id="96" w:name="_Toc9386"/>
      <w:bookmarkStart w:id="97" w:name="_Toc233399948"/>
      <w:bookmarkStart w:id="98" w:name="_Toc5916"/>
      <w:bookmarkStart w:id="99" w:name="_Toc21200"/>
      <w:bookmarkStart w:id="100" w:name="_Toc233396438"/>
      <w:bookmarkStart w:id="101" w:name="_Toc5541"/>
      <w:r>
        <w:rPr>
          <w:rFonts w:hint="eastAsia" w:ascii="黑体" w:hAnsi="黑体"/>
          <w:color w:val="auto"/>
        </w:rPr>
        <w:t>一、文化活化利用深度不足</w:t>
      </w:r>
      <w:bookmarkEnd w:id="92"/>
      <w:bookmarkEnd w:id="93"/>
      <w:bookmarkEnd w:id="94"/>
      <w:bookmarkEnd w:id="95"/>
      <w:bookmarkEnd w:id="96"/>
      <w:bookmarkEnd w:id="97"/>
      <w:bookmarkEnd w:id="98"/>
      <w:bookmarkEnd w:id="99"/>
      <w:bookmarkEnd w:id="100"/>
      <w:bookmarkEnd w:id="10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尽管产品供给数量不断增加，但高质量、高端化、差异化的核心产品仍然缺乏；部分景区产品老化，体验性、沉浸式不足，难以吸引游客长时间停留；文旅产品创新性不够，缺乏具有客家特色、梅县标识的精品文体项目和活动；非遗活化利用形式较为单一，未能充分挖掘客家文化的核心内涵，产品附加值不高。</w:t>
      </w:r>
    </w:p>
    <w:p>
      <w:pPr>
        <w:pStyle w:val="4"/>
        <w:snapToGrid w:val="0"/>
        <w:spacing w:before="78"/>
        <w:jc w:val="both"/>
        <w:rPr>
          <w:rFonts w:hint="eastAsia" w:ascii="黑体" w:hAnsi="黑体"/>
          <w:color w:val="auto"/>
        </w:rPr>
      </w:pPr>
      <w:bookmarkStart w:id="102" w:name="_Toc15797"/>
      <w:bookmarkStart w:id="103" w:name="_Toc17926"/>
      <w:bookmarkStart w:id="104" w:name="_Toc65"/>
      <w:bookmarkStart w:id="105" w:name="_Toc29510"/>
      <w:bookmarkStart w:id="106" w:name="_Toc13264"/>
      <w:bookmarkStart w:id="107" w:name="_Toc14280"/>
      <w:bookmarkStart w:id="108" w:name="_Toc233396439"/>
      <w:bookmarkStart w:id="109" w:name="_Toc235696629"/>
      <w:bookmarkStart w:id="110" w:name="_Toc233399558"/>
      <w:bookmarkStart w:id="111" w:name="_Toc233399949"/>
      <w:r>
        <w:rPr>
          <w:rFonts w:hint="eastAsia" w:ascii="黑体" w:hAnsi="黑体"/>
          <w:color w:val="auto"/>
        </w:rPr>
        <w:t>二</w:t>
      </w:r>
      <w:r>
        <w:rPr>
          <w:rFonts w:ascii="黑体" w:hAnsi="黑体"/>
          <w:color w:val="auto"/>
        </w:rPr>
        <w:t>、</w:t>
      </w:r>
      <w:bookmarkEnd w:id="102"/>
      <w:bookmarkEnd w:id="103"/>
      <w:bookmarkEnd w:id="104"/>
      <w:bookmarkEnd w:id="105"/>
      <w:bookmarkEnd w:id="106"/>
      <w:bookmarkEnd w:id="107"/>
      <w:r>
        <w:rPr>
          <w:rFonts w:ascii="黑体" w:hAnsi="黑体"/>
          <w:color w:val="auto"/>
        </w:rPr>
        <w:t>公共服务体系</w:t>
      </w:r>
      <w:r>
        <w:rPr>
          <w:rFonts w:hint="eastAsia" w:ascii="黑体" w:hAnsi="黑体"/>
          <w:color w:val="auto"/>
        </w:rPr>
        <w:t>仍需</w:t>
      </w:r>
      <w:r>
        <w:rPr>
          <w:rFonts w:ascii="黑体" w:hAnsi="黑体"/>
          <w:color w:val="auto"/>
        </w:rPr>
        <w:t>优化</w:t>
      </w:r>
      <w:bookmarkEnd w:id="108"/>
      <w:bookmarkEnd w:id="109"/>
      <w:bookmarkEnd w:id="110"/>
      <w:bookmarkEnd w:id="11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尽管梅龙高铁已开通，但部分乡村旅游点、景区周边的交通路网仍不够完善，通达性、便捷性不足；景区基础设施（如停车场、卫生间、游客服务中心）配套不够齐全，智慧化水平不高，缺乏完善的智慧导览、线上预约、智能服务系统；文体场馆设施分布不均，乡镇、农村地区文体设施覆盖率较低，部分设施老化、功能单一，难以满足群众多样化需求。</w:t>
      </w:r>
    </w:p>
    <w:p>
      <w:pPr>
        <w:pStyle w:val="4"/>
        <w:snapToGrid w:val="0"/>
        <w:spacing w:before="78"/>
        <w:jc w:val="both"/>
        <w:rPr>
          <w:rFonts w:hint="eastAsia" w:ascii="黑体" w:hAnsi="黑体"/>
          <w:color w:val="auto"/>
        </w:rPr>
      </w:pPr>
      <w:bookmarkStart w:id="112" w:name="_Toc233399950"/>
      <w:bookmarkStart w:id="113" w:name="_Toc17883"/>
      <w:bookmarkStart w:id="114" w:name="_Toc6558"/>
      <w:bookmarkStart w:id="115" w:name="_Toc10566"/>
      <w:bookmarkStart w:id="116" w:name="_Toc235696630"/>
      <w:bookmarkStart w:id="117" w:name="_Toc233396440"/>
      <w:bookmarkStart w:id="118" w:name="_Toc30768"/>
      <w:bookmarkStart w:id="119" w:name="_Toc18776"/>
      <w:bookmarkStart w:id="120" w:name="_Toc26940"/>
      <w:bookmarkStart w:id="121" w:name="_Toc233399559"/>
      <w:r>
        <w:rPr>
          <w:rFonts w:hint="eastAsia" w:ascii="黑体" w:hAnsi="黑体"/>
          <w:color w:val="auto"/>
        </w:rPr>
        <w:t>三</w:t>
      </w:r>
      <w:r>
        <w:rPr>
          <w:rFonts w:ascii="黑体" w:hAnsi="黑体"/>
          <w:color w:val="auto"/>
        </w:rPr>
        <w:t>、</w:t>
      </w:r>
      <w:r>
        <w:rPr>
          <w:rFonts w:hint="eastAsia" w:ascii="黑体" w:hAnsi="黑体"/>
          <w:color w:val="auto"/>
        </w:rPr>
        <w:t>文旅产业主体培育不足</w:t>
      </w:r>
      <w:bookmarkEnd w:id="112"/>
      <w:bookmarkEnd w:id="113"/>
      <w:bookmarkEnd w:id="114"/>
      <w:bookmarkEnd w:id="115"/>
      <w:bookmarkEnd w:id="116"/>
      <w:bookmarkEnd w:id="117"/>
      <w:bookmarkEnd w:id="118"/>
      <w:bookmarkEnd w:id="119"/>
      <w:bookmarkEnd w:id="120"/>
      <w:bookmarkEnd w:id="12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梅县区文广旅体市场主体以中小微企业为主，大型龙头企业数量较少，企业资金实力、研发能力、运营能力有限，难以承担大型文旅体项目的投资、建设和运营；部分企业缺乏品牌意识和创新意识，产品同质化严重，抗风险能力较弱，难以适应“十五五”时期产业高质量发展的要求。</w:t>
      </w:r>
    </w:p>
    <w:p>
      <w:pPr>
        <w:pStyle w:val="4"/>
        <w:snapToGrid w:val="0"/>
        <w:spacing w:before="78"/>
        <w:ind w:left="420"/>
        <w:jc w:val="both"/>
        <w:rPr>
          <w:rFonts w:hint="eastAsia" w:ascii="黑体" w:hAnsi="黑体"/>
          <w:color w:val="auto"/>
        </w:rPr>
      </w:pPr>
      <w:bookmarkStart w:id="122" w:name="_Toc9268"/>
      <w:bookmarkStart w:id="123" w:name="_Toc1819"/>
      <w:bookmarkStart w:id="124" w:name="_Toc235696631"/>
      <w:bookmarkStart w:id="125" w:name="_Toc16840"/>
      <w:bookmarkStart w:id="126" w:name="_Toc233399951"/>
      <w:bookmarkStart w:id="127" w:name="_Toc16288"/>
      <w:bookmarkStart w:id="128" w:name="_Toc233396441"/>
      <w:bookmarkStart w:id="129" w:name="_Toc19147"/>
      <w:bookmarkStart w:id="130" w:name="_Toc3591"/>
      <w:bookmarkStart w:id="131" w:name="_Toc233399560"/>
      <w:r>
        <w:rPr>
          <w:rFonts w:hint="eastAsia" w:ascii="黑体" w:hAnsi="黑体"/>
          <w:color w:val="auto"/>
        </w:rPr>
        <w:t>四</w:t>
      </w:r>
      <w:r>
        <w:rPr>
          <w:rFonts w:ascii="黑体" w:hAnsi="黑体"/>
          <w:color w:val="auto"/>
        </w:rPr>
        <w:t>、</w:t>
      </w:r>
      <w:r>
        <w:rPr>
          <w:rFonts w:hint="eastAsia" w:ascii="黑体" w:hAnsi="黑体"/>
          <w:color w:val="auto"/>
        </w:rPr>
        <w:t>产业融合协同有待加强</w:t>
      </w:r>
      <w:bookmarkEnd w:id="122"/>
      <w:bookmarkEnd w:id="123"/>
      <w:bookmarkEnd w:id="124"/>
      <w:bookmarkEnd w:id="125"/>
      <w:bookmarkEnd w:id="126"/>
      <w:bookmarkEnd w:id="127"/>
      <w:bookmarkEnd w:id="128"/>
      <w:bookmarkEnd w:id="129"/>
      <w:bookmarkEnd w:id="130"/>
      <w:bookmarkEnd w:id="13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文广旅产业与工农商教等相关产业融合仍处于初级阶段，“文旅+”模式较为单一，多为资源要素的简单叠加，科技要素集聚能力与新质生产力结合欠缺，缺乏深层次创新融合。客家文化等核心IP与旅游产品融合不够深入，现代旅游消费链条的融合效能有待进一步提升；非遗资源活化利用形式单一，多以展示为主，体验性、互动性不足；体育产业与文旅产业结合不紧密，体育赛事的文旅带动效应未充分发挥，未形成完整的融合产业链条；智慧文旅水平、数字化体验、科技场景应用等新兴产业方向的结合和应用有待进一步加强。</w:t>
      </w:r>
    </w:p>
    <w:p>
      <w:pPr>
        <w:pStyle w:val="4"/>
        <w:snapToGrid w:val="0"/>
        <w:spacing w:before="78"/>
        <w:ind w:left="420"/>
        <w:jc w:val="both"/>
        <w:rPr>
          <w:rFonts w:hint="eastAsia" w:ascii="黑体" w:hAnsi="黑体"/>
          <w:color w:val="auto"/>
        </w:rPr>
      </w:pPr>
      <w:bookmarkStart w:id="132" w:name="_Toc26148"/>
      <w:bookmarkStart w:id="133" w:name="_Toc233399561"/>
      <w:bookmarkStart w:id="134" w:name="_Toc233396442"/>
      <w:bookmarkStart w:id="135" w:name="_Toc4167"/>
      <w:bookmarkStart w:id="136" w:name="_Toc233399952"/>
      <w:bookmarkStart w:id="137" w:name="_Toc2755"/>
      <w:bookmarkStart w:id="138" w:name="_Toc28577"/>
      <w:bookmarkStart w:id="139" w:name="_Toc235696632"/>
      <w:bookmarkStart w:id="140" w:name="_Toc18119"/>
      <w:bookmarkStart w:id="141" w:name="_Toc8329"/>
      <w:r>
        <w:rPr>
          <w:rFonts w:hint="eastAsia" w:ascii="黑体" w:hAnsi="黑体"/>
          <w:color w:val="auto"/>
        </w:rPr>
        <w:t>五</w:t>
      </w:r>
      <w:r>
        <w:rPr>
          <w:rFonts w:ascii="黑体" w:hAnsi="黑体"/>
          <w:color w:val="auto"/>
        </w:rPr>
        <w:t>、</w:t>
      </w:r>
      <w:r>
        <w:rPr>
          <w:rFonts w:hint="eastAsia" w:ascii="黑体" w:hAnsi="黑体"/>
          <w:color w:val="auto"/>
        </w:rPr>
        <w:t>品牌宣传推广力度不足</w:t>
      </w:r>
      <w:bookmarkEnd w:id="132"/>
      <w:bookmarkEnd w:id="133"/>
      <w:bookmarkEnd w:id="134"/>
      <w:bookmarkEnd w:id="135"/>
      <w:bookmarkEnd w:id="136"/>
      <w:bookmarkEnd w:id="137"/>
      <w:bookmarkEnd w:id="138"/>
      <w:bookmarkEnd w:id="139"/>
      <w:bookmarkEnd w:id="140"/>
      <w:bookmarkEnd w:id="14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梅县区文旅品牌虽有一定基础，但相较于粤港澳大湾区核心城市、省内知名文旅目的地，品牌辨识度、影响力仍有差距，</w:t>
      </w:r>
      <w:bookmarkStart w:id="142" w:name="OLE_LINK1"/>
      <w:r>
        <w:rPr>
          <w:rFonts w:hint="eastAsia" w:ascii="仿宋_GB2312" w:hAnsi="方正仿宋_GB2312" w:eastAsia="仿宋_GB2312" w:cs="方正仿宋_GB2312"/>
          <w:sz w:val="32"/>
          <w:szCs w:val="32"/>
        </w:rPr>
        <w:t>“三色文旅”品牌</w:t>
      </w:r>
      <w:bookmarkEnd w:id="142"/>
      <w:r>
        <w:rPr>
          <w:rFonts w:hint="eastAsia" w:ascii="仿宋_GB2312" w:hAnsi="方正仿宋_GB2312" w:eastAsia="仿宋_GB2312" w:cs="方正仿宋_GB2312"/>
          <w:sz w:val="32"/>
          <w:szCs w:val="32"/>
        </w:rPr>
        <w:t>的全国知名度不高；文旅产品同质化较为明显，缺乏高端化、定制化、差异化产品，核心吸引物不够突出；对外宣传推广力度不足，宣传渠道较为传统，新媒体运用不够充分，未能有效借助小红书、抖音等平台扩大品牌影响力。</w:t>
      </w:r>
    </w:p>
    <w:p>
      <w:pPr>
        <w:pStyle w:val="4"/>
        <w:snapToGrid w:val="0"/>
        <w:spacing w:before="78"/>
        <w:ind w:left="420"/>
        <w:jc w:val="both"/>
        <w:rPr>
          <w:rFonts w:hint="eastAsia" w:ascii="黑体" w:hAnsi="黑体"/>
          <w:color w:val="auto"/>
        </w:rPr>
      </w:pPr>
      <w:bookmarkStart w:id="143" w:name="_Toc233396443"/>
      <w:bookmarkStart w:id="144" w:name="_Toc233399562"/>
      <w:bookmarkStart w:id="145" w:name="_Toc10504"/>
      <w:bookmarkStart w:id="146" w:name="_Toc235696633"/>
      <w:bookmarkStart w:id="147" w:name="_Toc28956"/>
      <w:bookmarkStart w:id="148" w:name="_Toc21334"/>
      <w:bookmarkStart w:id="149" w:name="_Toc5165"/>
      <w:bookmarkStart w:id="150" w:name="_Toc233399953"/>
      <w:bookmarkStart w:id="151" w:name="_Toc7612"/>
      <w:bookmarkStart w:id="152" w:name="_Toc10525"/>
      <w:r>
        <w:rPr>
          <w:rFonts w:hint="eastAsia" w:ascii="黑体" w:hAnsi="黑体"/>
          <w:color w:val="auto"/>
        </w:rPr>
        <w:t>六、专业人才队伍建设滞后</w:t>
      </w:r>
      <w:bookmarkEnd w:id="143"/>
      <w:bookmarkEnd w:id="144"/>
      <w:bookmarkEnd w:id="145"/>
      <w:bookmarkEnd w:id="146"/>
      <w:bookmarkEnd w:id="147"/>
      <w:bookmarkEnd w:id="148"/>
      <w:bookmarkEnd w:id="149"/>
      <w:bookmarkEnd w:id="150"/>
      <w:bookmarkEnd w:id="151"/>
      <w:bookmarkEnd w:id="152"/>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缺乏一支高素质、专业化的文广旅体人才队伍，尤其是在文旅策划、品牌推广、数字运营、体育赛事组织、非遗传承等领域，人才缺口较大；本土人才培养不足，外来人才吸引力不强，人才流失现象较为突出；人才培养与市场需求脱节，部分从业人员专业技能不高，服务意识不强，难以满足群众高品质、个性化的消费需求和产业发展需求。</w:t>
      </w:r>
      <w:bookmarkStart w:id="153" w:name="_Toc32505"/>
      <w:bookmarkStart w:id="154" w:name="_Toc15408"/>
      <w:bookmarkStart w:id="155" w:name="_Toc26280"/>
      <w:bookmarkStart w:id="156" w:name="_Toc27652"/>
      <w:bookmarkStart w:id="157" w:name="_Toc8155"/>
      <w:bookmarkStart w:id="158" w:name="_Toc19174"/>
      <w:bookmarkStart w:id="159" w:name="_Toc28082"/>
    </w:p>
    <w:p>
      <w:pPr>
        <w:pStyle w:val="2"/>
        <w:snapToGrid w:val="0"/>
        <w:spacing w:before="312" w:after="312"/>
        <w:jc w:val="center"/>
        <w:rPr>
          <w:rFonts w:hint="eastAsia" w:ascii="楷体" w:hAnsi="楷体"/>
          <w:color w:val="auto"/>
          <w:szCs w:val="36"/>
        </w:rPr>
      </w:pPr>
      <w:bookmarkStart w:id="160" w:name="_Toc235696634"/>
      <w:r>
        <w:rPr>
          <w:rFonts w:ascii="楷体" w:hAnsi="楷体"/>
          <w:color w:val="auto"/>
          <w:szCs w:val="36"/>
        </w:rPr>
        <w:t>第</w:t>
      </w:r>
      <w:r>
        <w:rPr>
          <w:rFonts w:hint="eastAsia" w:ascii="楷体" w:hAnsi="楷体"/>
          <w:color w:val="auto"/>
          <w:szCs w:val="36"/>
        </w:rPr>
        <w:t>二章</w:t>
      </w:r>
      <w:r>
        <w:rPr>
          <w:rFonts w:ascii="楷体" w:hAnsi="楷体"/>
          <w:color w:val="auto"/>
          <w:szCs w:val="36"/>
        </w:rPr>
        <w:t xml:space="preserve"> 发展环境</w:t>
      </w:r>
      <w:bookmarkEnd w:id="153"/>
      <w:bookmarkEnd w:id="154"/>
      <w:bookmarkEnd w:id="155"/>
      <w:bookmarkEnd w:id="156"/>
      <w:bookmarkEnd w:id="157"/>
      <w:bookmarkEnd w:id="158"/>
      <w:bookmarkEnd w:id="159"/>
      <w:bookmarkEnd w:id="160"/>
    </w:p>
    <w:p>
      <w:pPr>
        <w:pStyle w:val="3"/>
        <w:snapToGrid w:val="0"/>
        <w:spacing w:before="312" w:after="312"/>
        <w:jc w:val="both"/>
        <w:rPr>
          <w:rFonts w:hint="eastAsia" w:ascii="楷体" w:hAnsi="楷体"/>
          <w:color w:val="auto"/>
          <w:szCs w:val="36"/>
        </w:rPr>
      </w:pPr>
      <w:bookmarkStart w:id="161" w:name="heading_1"/>
      <w:bookmarkStart w:id="162" w:name="_Toc235696635"/>
      <w:bookmarkStart w:id="163" w:name="_Toc20165"/>
      <w:bookmarkStart w:id="164" w:name="_Toc14169"/>
      <w:bookmarkStart w:id="165" w:name="_Toc22473"/>
      <w:bookmarkStart w:id="166" w:name="_Toc6912"/>
      <w:bookmarkStart w:id="167" w:name="_Toc26692"/>
      <w:bookmarkStart w:id="168" w:name="_Toc22168"/>
      <w:r>
        <w:rPr>
          <w:rFonts w:hint="eastAsia" w:ascii="楷体" w:hAnsi="楷体"/>
          <w:color w:val="auto"/>
          <w:szCs w:val="36"/>
        </w:rPr>
        <w:t>第一节 国际环境——复杂变局中蕴含开放机遇</w:t>
      </w:r>
      <w:bookmarkEnd w:id="161"/>
      <w:bookmarkEnd w:id="162"/>
      <w:bookmarkEnd w:id="163"/>
      <w:bookmarkEnd w:id="164"/>
      <w:bookmarkEnd w:id="165"/>
      <w:bookmarkEnd w:id="166"/>
      <w:bookmarkEnd w:id="167"/>
      <w:bookmarkEnd w:id="16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十五五”时期，全球经济处于深度调整与缓慢复苏叠加期，不稳定性不确定性显著增多，但亚太新兴市场崛起、全球旅游格局重构、文化文明互鉴深化的趋势未变，为梅县区文广旅体产业提供了双向开放的发展机遇。</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全球旅游“三足鼎立”格局持续优化，亚太地区成为全球旅游增长核心，梅县区可依托粤港澳大湾区辐射优势，借力港澳“联通世界”的平台作用，对接东南亚、欧美等国际市场，推动客家文化、生态旅游资源走向世界，拓展入境旅游与文化交流空间。</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新一轮科技革命与人口老龄化趋势加速，数字文旅、康养旅游成为全球产业热点，与梅县区生态康养、客家文化等核心资源高度契合，为产业业态创新、服务模式升级提供了国际借鉴。同时，全球经济重心向中等收入国家转移，也为梅县区吸引国际资本、引进先进文旅运营理念、培育国际化文旅品牌创造了有利条件。</w:t>
      </w:r>
    </w:p>
    <w:p>
      <w:pPr>
        <w:pStyle w:val="3"/>
        <w:snapToGrid w:val="0"/>
        <w:spacing w:before="312" w:after="312"/>
        <w:jc w:val="both"/>
        <w:rPr>
          <w:rFonts w:hint="eastAsia" w:ascii="楷体" w:hAnsi="楷体"/>
          <w:color w:val="auto"/>
          <w:szCs w:val="36"/>
        </w:rPr>
      </w:pPr>
      <w:bookmarkStart w:id="169" w:name="_Toc2864"/>
      <w:bookmarkStart w:id="170" w:name="_Toc32682"/>
      <w:bookmarkStart w:id="171" w:name="_Toc14401"/>
      <w:bookmarkStart w:id="172" w:name="_Toc6461"/>
      <w:bookmarkStart w:id="173" w:name="_Toc26897"/>
      <w:bookmarkStart w:id="174" w:name="_Toc235696636"/>
      <w:bookmarkStart w:id="175" w:name="heading_2"/>
      <w:bookmarkStart w:id="176" w:name="_Toc19744"/>
      <w:r>
        <w:rPr>
          <w:rFonts w:hint="eastAsia" w:ascii="楷体" w:hAnsi="楷体"/>
          <w:color w:val="auto"/>
          <w:szCs w:val="36"/>
        </w:rPr>
        <w:t>第二节 国家环境——战略引领下政策红利集中释放</w:t>
      </w:r>
      <w:bookmarkEnd w:id="169"/>
      <w:bookmarkEnd w:id="170"/>
      <w:bookmarkEnd w:id="171"/>
      <w:bookmarkEnd w:id="172"/>
      <w:bookmarkEnd w:id="173"/>
      <w:bookmarkEnd w:id="174"/>
      <w:bookmarkEnd w:id="175"/>
      <w:bookmarkEnd w:id="176"/>
    </w:p>
    <w:p>
      <w:pPr>
        <w:spacing w:line="560" w:lineRule="exact"/>
        <w:ind w:firstLine="643" w:firstLineChars="200"/>
        <w:rPr>
          <w:rFonts w:hint="eastAsia" w:ascii="仿宋_GB2312" w:hAnsi="方正仿宋_GB2312" w:eastAsia="仿宋_GB2312" w:cs="方正仿宋_GB2312"/>
          <w:sz w:val="32"/>
          <w:szCs w:val="32"/>
        </w:rPr>
      </w:pPr>
      <w:r>
        <w:rPr>
          <w:rFonts w:hint="eastAsia" w:ascii="Cambria" w:hAnsi="Cambria" w:eastAsia="仿宋"/>
          <w:b/>
          <w:bCs/>
          <w:sz w:val="32"/>
          <w:szCs w:val="32"/>
        </w:rPr>
        <w:t>国家战略叠加赋能，发展定位持续提升。</w:t>
      </w:r>
      <w:r>
        <w:rPr>
          <w:rFonts w:hint="eastAsia" w:ascii="仿宋_GB2312" w:hAnsi="方正仿宋_GB2312" w:eastAsia="仿宋_GB2312" w:cs="方正仿宋_GB2312"/>
          <w:sz w:val="32"/>
          <w:szCs w:val="32"/>
        </w:rPr>
        <w:t>“十五五”时期是我国全面建成社会主义现代化强国的关键阶段，也是旅游强国建设落地实施的核心攻坚期。《旅游强国建设“十五五”规划》正式印发实施，明确旅游业为</w:t>
      </w:r>
      <w:r>
        <w:rPr>
          <w:rFonts w:hint="eastAsia" w:ascii="仿宋_GB2312" w:hAnsi="方正仿宋_GB2312" w:eastAsia="仿宋_GB2312" w:cs="方正仿宋_GB2312"/>
          <w:sz w:val="32"/>
          <w:szCs w:val="32"/>
          <w:lang w:eastAsia="zh-CN"/>
        </w:rPr>
        <w:t>战略性新兴</w:t>
      </w:r>
      <w:r>
        <w:rPr>
          <w:rFonts w:hint="eastAsia" w:ascii="仿宋_GB2312" w:hAnsi="方正仿宋_GB2312" w:eastAsia="仿宋_GB2312" w:cs="方正仿宋_GB2312"/>
          <w:sz w:val="32"/>
          <w:szCs w:val="32"/>
        </w:rPr>
        <w:t>支柱产业、民生产业、幸福产业，确立</w:t>
      </w:r>
      <w:r>
        <w:rPr>
          <w:rFonts w:hint="eastAsia" w:ascii="仿宋_GB2312" w:hAnsi="方正仿宋_GB2312" w:eastAsia="仿宋_GB2312" w:cs="方正仿宋_GB2312"/>
          <w:sz w:val="32"/>
          <w:szCs w:val="32"/>
          <w:lang w:eastAsia="zh-CN"/>
        </w:rPr>
        <w:t>以推动高质量发展为主题</w:t>
      </w:r>
      <w:r>
        <w:rPr>
          <w:rFonts w:hint="eastAsia" w:ascii="仿宋_GB2312" w:hAnsi="方正仿宋_GB2312" w:eastAsia="仿宋_GB2312" w:cs="方正仿宋_GB2312"/>
          <w:sz w:val="32"/>
          <w:szCs w:val="32"/>
        </w:rPr>
        <w:t>、文旅深度融合为主线，统筹政府与市场、供给与需求、保护与开发、国内与国际、发展与安全五大关系，推动旅游业向智能化、绿色化、融合化转型，持续完善现代旅游业体系。与此同时，旅游强国、文化强国、体育强国等多项国家战略协同纵深推进，文广旅体产业的战略地位持续凸显，与梅县区“生态立区、文化兴区”的核心发展定位高度契合。全国旅游发展大会部署要求与“十五五”旅游强国建设规划同向发力，为梅县区文广旅体产业规范化建设、标准化发展、品质化升级提供了顶层战略指引。此外，国家纵深推进“四化同步”发展、高水平制度型开放，加快构建新发展格局，配套旅游强国建设的产业融合、业态创新、要素流通相关政策，为梅县区推动文广旅体与农业、科技、康养等产业深度融合，打通“资源－产品－市场”全链条转化通道，提供了坚实的政策依据与发展路径。</w:t>
      </w:r>
    </w:p>
    <w:p>
      <w:pPr>
        <w:spacing w:line="560" w:lineRule="exact"/>
        <w:ind w:firstLine="643" w:firstLineChars="200"/>
        <w:rPr>
          <w:rFonts w:hint="eastAsia" w:ascii="仿宋_GB2312" w:hAnsi="方正仿宋_GB2312" w:eastAsia="仿宋_GB2312" w:cs="方正仿宋_GB2312"/>
          <w:sz w:val="32"/>
          <w:szCs w:val="32"/>
        </w:rPr>
      </w:pPr>
      <w:r>
        <w:rPr>
          <w:rFonts w:hint="eastAsia" w:ascii="Cambria" w:hAnsi="Cambria" w:eastAsia="仿宋"/>
          <w:b/>
          <w:bCs/>
          <w:sz w:val="32"/>
          <w:szCs w:val="32"/>
        </w:rPr>
        <w:t>政策支撑持续加码，发展保障更加坚实。</w:t>
      </w:r>
      <w:r>
        <w:rPr>
          <w:rFonts w:hint="eastAsia" w:ascii="仿宋_GB2312" w:hAnsi="方正仿宋_GB2312" w:eastAsia="仿宋_GB2312" w:cs="方正仿宋_GB2312"/>
          <w:sz w:val="32"/>
          <w:szCs w:val="32"/>
        </w:rPr>
        <w:t>国家层面持续聚焦文旅产业提质增效、消费扩容升级，不断释放重磅政策红利。2025 年两会明确提出“释放文化、旅游、体育等消费潜力”，国务院政府工作报告重点部署“文旅+百业”融合发展模式，着力提升文旅产业链价值链水平，助力县域经济培育新的增长极。结合旅游强国“十五五”规划部署，国家从优化旅游空间布局、培育产业新动能、丰富高品质产品供给、完善公共服务、优化营商环境、深化产业治理六大维度系统施策，明确到2030年国内出游、文旅消费规模实现大幅跃升，文旅产业综合实力、核心竞争力全面增强。文化和旅游部锚定十万亿级产业发展目标，聚焦规划引领、基建提质、业态培育、环境优化四大关键领域精准发力，为梅县区积极争取上级项目资金、补齐文旅基础设施短板、孵化培育数字文旅、康养文旅、研学文旅等新兴业态提供了强有力的政策支撑。同时，国家乡村振兴、数字中国、绿美中国等重大战略，与旅游强国建设县域落地要求深度衔接，精准匹配梅县区农文旅融合、绿美生态旅游、数字文旅创新的发展需求，持续拓宽文广旅体产业的发展边界与成长空间。</w:t>
      </w:r>
    </w:p>
    <w:p>
      <w:pPr>
        <w:spacing w:line="560" w:lineRule="exact"/>
        <w:ind w:firstLine="643" w:firstLineChars="200"/>
        <w:rPr>
          <w:rFonts w:hint="eastAsia" w:ascii="仿宋_GB2312" w:hAnsi="方正仿宋_GB2312" w:eastAsia="仿宋_GB2312" w:cs="方正仿宋_GB2312"/>
          <w:sz w:val="32"/>
          <w:szCs w:val="32"/>
        </w:rPr>
      </w:pPr>
      <w:r>
        <w:rPr>
          <w:rFonts w:hint="eastAsia" w:ascii="Cambria" w:hAnsi="Cambria" w:eastAsia="仿宋"/>
          <w:b/>
          <w:bCs/>
          <w:sz w:val="32"/>
          <w:szCs w:val="32"/>
        </w:rPr>
        <w:t>消费需求迭代升级，市场空间持续拓宽。</w:t>
      </w:r>
      <w:r>
        <w:rPr>
          <w:rFonts w:hint="eastAsia" w:ascii="仿宋_GB2312" w:hAnsi="方正仿宋_GB2312" w:eastAsia="仿宋_GB2312" w:cs="方正仿宋_GB2312"/>
          <w:sz w:val="32"/>
          <w:szCs w:val="32"/>
        </w:rPr>
        <w:t>在旅游强国“十五五”建设的大背景下，我国居民收入稳步提升、消费理念深度革新，文广旅体消费结构加速迭代，呈现多元化、数智化、绿色化、个性化全新发展趋势，彻底实现从传统“观光型消费”向沉浸式体验、品质休闲、深度康养的体验型消费转型。短途微度假、近郊休闲游、乡村生态游、红色研学游、康养旅居游成为文旅消费主流热点，与梅县区优质的生态资源、深厚的客家文化底蕴、独特的红色资源禀赋、秀美的乡村风貌高度契合、精准匹配。同时，人口老龄化持续加深，银发经济蓬勃发展，康养旅游、体育健身、文化休闲等特色消费需求持续激增，契合旅游强国规划中普惠性、品质化文旅服务的建设要求。伴随数字技术全面普及，智慧导览、线上文旅体验、数字文创开发、智能预约服务等新业态、新场景加速落地，成为文旅消费新增长点，完全贴合“十五五”旅游强国建设智能化、数字化升级的发展导向，为梅县区精准优化文旅产品供给、全面提升智慧服务水平、持续激活文旅消费潜能，开辟了广阔的市场空间与发展赛道。</w:t>
      </w:r>
    </w:p>
    <w:p>
      <w:pPr>
        <w:pStyle w:val="3"/>
        <w:snapToGrid w:val="0"/>
        <w:spacing w:before="312" w:after="312"/>
        <w:jc w:val="both"/>
        <w:rPr>
          <w:rFonts w:hint="eastAsia" w:ascii="楷体" w:hAnsi="楷体"/>
          <w:color w:val="auto"/>
          <w:szCs w:val="36"/>
        </w:rPr>
      </w:pPr>
      <w:bookmarkStart w:id="177" w:name="_Toc19805"/>
      <w:bookmarkStart w:id="178" w:name="_Toc15508"/>
      <w:bookmarkStart w:id="179" w:name="_Toc17381"/>
      <w:bookmarkStart w:id="180" w:name="_Toc15109"/>
      <w:bookmarkStart w:id="181" w:name="_Toc23338"/>
      <w:bookmarkStart w:id="182" w:name="_Toc16752"/>
      <w:bookmarkStart w:id="183" w:name="_Toc235696637"/>
      <w:bookmarkStart w:id="184" w:name="heading_3"/>
      <w:r>
        <w:rPr>
          <w:rFonts w:hint="eastAsia" w:ascii="楷体" w:hAnsi="楷体"/>
          <w:color w:val="auto"/>
          <w:szCs w:val="36"/>
        </w:rPr>
        <w:t>第三节 省级环境——区域协同中找准发展坐标</w:t>
      </w:r>
      <w:bookmarkEnd w:id="177"/>
      <w:bookmarkEnd w:id="178"/>
      <w:bookmarkEnd w:id="179"/>
      <w:bookmarkEnd w:id="180"/>
      <w:bookmarkEnd w:id="181"/>
      <w:bookmarkEnd w:id="182"/>
      <w:bookmarkEnd w:id="183"/>
      <w:bookmarkEnd w:id="18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广东省加快推进粤港澳大湾区新发展格局构建，推动大湾区“一程多站”世界级旅游线路建设，梅县区作为梅州融入大湾区的重要节点，依托梅龙高铁等交通枢纽，可深度对接大湾区文旅市场，承接大湾区客流、资本、产业外溢，打造大湾区“后花园”和生态康养、文化体验目的地。</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广东省深入推进“百县千镇万村高质量发展工程”，加快建设文化强省、旅游强省，推动粤港澳大湾区文旅一体化发展，为梅县区文广旅体产业发展提供了省级平台与政策支撑。梅县区作为原中央苏区县、全国最美县域，可借力“百千万工程”政策红利，推动乡村文旅提质升级，打造县域文旅发展标杆。</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此外，广东省推进绿美广东生态建设与梅县区75.58%的森林覆盖率优势相契合，为梅县区发展绿色生态旅游、森林康养等业态提供了政策支撑与发展契机。</w:t>
      </w:r>
    </w:p>
    <w:p>
      <w:pPr>
        <w:pStyle w:val="3"/>
        <w:snapToGrid w:val="0"/>
        <w:spacing w:before="312" w:after="312"/>
        <w:jc w:val="both"/>
        <w:rPr>
          <w:rFonts w:hint="eastAsia" w:ascii="楷体" w:hAnsi="楷体"/>
          <w:color w:val="auto"/>
          <w:szCs w:val="36"/>
        </w:rPr>
      </w:pPr>
      <w:bookmarkStart w:id="185" w:name="_Toc3362"/>
      <w:bookmarkStart w:id="186" w:name="_Toc410"/>
      <w:bookmarkStart w:id="187" w:name="_Toc22460"/>
      <w:bookmarkStart w:id="188" w:name="_Toc13754"/>
      <w:bookmarkStart w:id="189" w:name="_Toc16361"/>
      <w:bookmarkStart w:id="190" w:name="_Toc25219"/>
      <w:bookmarkStart w:id="191" w:name="_Toc235696638"/>
      <w:r>
        <w:rPr>
          <w:rFonts w:hint="eastAsia" w:ascii="楷体" w:hAnsi="楷体"/>
          <w:color w:val="auto"/>
          <w:szCs w:val="36"/>
        </w:rPr>
        <w:t>第四节 市级环境——全域统筹精准指引</w:t>
      </w:r>
      <w:bookmarkEnd w:id="185"/>
      <w:bookmarkEnd w:id="186"/>
      <w:bookmarkEnd w:id="187"/>
      <w:bookmarkEnd w:id="188"/>
      <w:bookmarkEnd w:id="189"/>
      <w:bookmarkEnd w:id="190"/>
      <w:bookmarkEnd w:id="19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梅州市立足“全国革命老区重点城市”“粤北生态发展区建设先行示范市”“苏区融湾先行区”三大核心定位，以“文化兴市、生态立市”为发展导向，将文旅产业作为推动高质量发展的核心引擎和富民强市的重要支撑，为梅县区文旅发展提供了精准的战略指引和坚实的市级保障。</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梅龙高铁开通的交通红利，梅州市全力构建融入粤港澳大湾区的“1小时文旅交通圈”，明确提出“打造粤港澳大湾区生态康养后花园、全球客家人的精神家园、粤闽赣边区域性文旅中心”的发展目标，将文旅融合作为贯穿区域发展的主线，出台《梅州市推进文化和旅游深度融合发展实施方案》等系列政策文件，从资源整合、项目建设、品牌塑造、政策扶持等多维度发力，推动全市文旅产业从“资源优势”向“产业优势”转化。在市级战略统筹下，梅县区作为主城区和文旅资源核心聚集区，被定位为全市文旅发展的“领头雁”，承担着核心吸引物打造、产业集群培育、品牌形象展示的关键职能，获得市级层面在项目审批、资金倾斜、资源调配等方面的重点支持。</w:t>
      </w:r>
    </w:p>
    <w:p>
      <w:pPr>
        <w:widowControl/>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br w:type="page"/>
      </w:r>
    </w:p>
    <w:p>
      <w:pPr>
        <w:pStyle w:val="2"/>
        <w:snapToGrid w:val="0"/>
        <w:spacing w:before="312" w:after="312"/>
        <w:jc w:val="center"/>
        <w:rPr>
          <w:rFonts w:hint="eastAsia" w:ascii="楷体" w:hAnsi="楷体"/>
          <w:color w:val="auto"/>
          <w:szCs w:val="36"/>
        </w:rPr>
      </w:pPr>
      <w:bookmarkStart w:id="192" w:name="_Toc13907"/>
      <w:bookmarkStart w:id="193" w:name="_Toc13523"/>
      <w:bookmarkStart w:id="194" w:name="_Toc4113"/>
      <w:bookmarkStart w:id="195" w:name="_Toc3166"/>
      <w:bookmarkStart w:id="196" w:name="_Toc18201"/>
      <w:bookmarkStart w:id="197" w:name="_Toc23917"/>
      <w:bookmarkStart w:id="198" w:name="_Toc235696639"/>
      <w:bookmarkStart w:id="199" w:name="_Toc21673"/>
      <w:r>
        <w:rPr>
          <w:rFonts w:ascii="楷体" w:hAnsi="楷体"/>
          <w:color w:val="auto"/>
          <w:szCs w:val="36"/>
        </w:rPr>
        <w:t>第</w:t>
      </w:r>
      <w:r>
        <w:rPr>
          <w:rFonts w:hint="eastAsia" w:ascii="楷体" w:hAnsi="楷体"/>
          <w:color w:val="auto"/>
          <w:szCs w:val="36"/>
        </w:rPr>
        <w:t>三</w:t>
      </w:r>
      <w:r>
        <w:rPr>
          <w:rFonts w:ascii="楷体" w:hAnsi="楷体"/>
          <w:color w:val="auto"/>
          <w:szCs w:val="36"/>
        </w:rPr>
        <w:t>章 发展蓝图</w:t>
      </w:r>
      <w:bookmarkEnd w:id="192"/>
      <w:bookmarkEnd w:id="193"/>
      <w:bookmarkEnd w:id="194"/>
      <w:bookmarkEnd w:id="195"/>
      <w:bookmarkEnd w:id="196"/>
      <w:bookmarkEnd w:id="197"/>
      <w:bookmarkEnd w:id="198"/>
      <w:bookmarkEnd w:id="199"/>
    </w:p>
    <w:p>
      <w:pPr>
        <w:pStyle w:val="3"/>
        <w:snapToGrid w:val="0"/>
        <w:spacing w:before="312" w:after="312"/>
        <w:jc w:val="both"/>
        <w:rPr>
          <w:rFonts w:hint="eastAsia" w:ascii="楷体" w:hAnsi="楷体"/>
          <w:color w:val="auto"/>
          <w:szCs w:val="36"/>
        </w:rPr>
      </w:pPr>
      <w:bookmarkStart w:id="200" w:name="_Toc2844"/>
      <w:bookmarkStart w:id="201" w:name="_Toc28231"/>
      <w:bookmarkStart w:id="202" w:name="_Toc4236"/>
      <w:bookmarkStart w:id="203" w:name="_Toc235696640"/>
      <w:bookmarkStart w:id="204" w:name="_Toc4303"/>
      <w:bookmarkStart w:id="205" w:name="_Toc23631"/>
      <w:bookmarkStart w:id="206" w:name="_Toc21755"/>
      <w:bookmarkStart w:id="207" w:name="_Toc18942"/>
      <w:r>
        <w:rPr>
          <w:rFonts w:hint="eastAsia" w:ascii="楷体" w:hAnsi="楷体"/>
          <w:color w:val="auto"/>
          <w:szCs w:val="36"/>
        </w:rPr>
        <w:t>第一节 指导思想</w:t>
      </w:r>
      <w:bookmarkEnd w:id="200"/>
      <w:bookmarkEnd w:id="201"/>
      <w:bookmarkEnd w:id="202"/>
      <w:bookmarkEnd w:id="203"/>
      <w:bookmarkEnd w:id="204"/>
      <w:bookmarkEnd w:id="205"/>
      <w:bookmarkEnd w:id="206"/>
      <w:bookmarkEnd w:id="207"/>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深入学习实践习近平</w:t>
      </w:r>
      <w:bookmarkStart w:id="208" w:name="_Hlk235523124"/>
      <w:r>
        <w:rPr>
          <w:rFonts w:hint="eastAsia" w:ascii="仿宋_GB2312" w:hAnsi="仿宋_GB2312" w:eastAsia="仿宋_GB2312" w:cs="仿宋_GB2312"/>
          <w:sz w:val="32"/>
          <w:szCs w:val="32"/>
          <w:lang w:bidi="ar"/>
        </w:rPr>
        <w:t>文化思想</w:t>
      </w:r>
      <w:bookmarkEnd w:id="208"/>
      <w:r>
        <w:rPr>
          <w:rFonts w:hint="eastAsia" w:ascii="仿宋_GB2312" w:hAnsi="方正仿宋_GB2312" w:eastAsia="仿宋_GB2312" w:cs="方正仿宋_GB2312"/>
          <w:sz w:val="32"/>
          <w:szCs w:val="32"/>
        </w:rPr>
        <w:t>，全面贯彻党的二十大和二十届历次全会精神，深入落实习近平总书记对广东系列重要讲话和重要指示精神，锚定高质量发展首要任务，紧密对接广东省更高水平文化强省、旅游强省建设部署，精准契合梅州市“全国革命老区重点城市”“粤北生态发展区建设先行示范市”“苏区融湾先行区”三大定位要求。立足梅县区作为客家文化核心区、国家级客家文化生态保护区重要组成部分的独特资源禀赋，坚持以“文化铸魂、生态为基、旅游赋能、融合发展”为核心导向，深入落实省委“1310”具体部署，以“百千万工程”为总抓手，以苏区融湾先行区建设为重要突破口，坚持以人民为中心的发展思想，深耕客家优秀传统文化、红色革命文化传承弘扬，推动文化、广电、旅游与生态、农业、体育、商贸等相关产业深度融合、协同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可持续发展理念与“经济效益”思维并重，将农文旅体商深度融合发展作为构建现代化产业体系、推动城乡区域协调发展的核心路径，丰富高品质文旅产品供给，培育文旅新业态、打造消费新场景，强化文旅品牌塑造与市场推广，着力破解发展短板、激发产业内生动力，推动文广旅产业提质增效、转型升级，全力打造特色鲜明的客家文化文旅目的地、生态优美的休闲康养胜地，助力梅县区加快振兴发展、实现共同富裕，为开创梅县现代化建设新局面注入强劲的文广旅动能。</w:t>
      </w:r>
    </w:p>
    <w:p>
      <w:pPr>
        <w:widowControl/>
        <w:ind w:firstLine="640" w:firstLineChars="200"/>
        <w:rPr>
          <w:rFonts w:hint="eastAsia" w:ascii="方正仿宋_GB2312" w:hAnsi="方正仿宋_GB2312" w:eastAsia="方正仿宋_GB2312" w:cs="方正仿宋_GB2312"/>
          <w:sz w:val="32"/>
          <w:szCs w:val="32"/>
        </w:rPr>
      </w:pPr>
    </w:p>
    <w:p>
      <w:pPr>
        <w:pStyle w:val="3"/>
        <w:snapToGrid w:val="0"/>
        <w:spacing w:before="312" w:after="312"/>
        <w:jc w:val="both"/>
        <w:rPr>
          <w:rFonts w:hint="eastAsia" w:ascii="楷体" w:hAnsi="楷体"/>
          <w:color w:val="auto"/>
          <w:szCs w:val="36"/>
        </w:rPr>
      </w:pPr>
      <w:bookmarkStart w:id="209" w:name="_Toc22238"/>
      <w:bookmarkStart w:id="210" w:name="_Toc23281"/>
      <w:bookmarkStart w:id="211" w:name="_Toc235696641"/>
      <w:bookmarkStart w:id="212" w:name="_Toc32587"/>
      <w:bookmarkStart w:id="213" w:name="_Toc20667"/>
      <w:bookmarkStart w:id="214" w:name="_Toc15959"/>
      <w:bookmarkStart w:id="215" w:name="_Toc3234"/>
      <w:bookmarkStart w:id="216" w:name="_Toc30718"/>
      <w:r>
        <w:rPr>
          <w:rFonts w:ascii="楷体" w:hAnsi="楷体"/>
          <w:color w:val="auto"/>
          <w:szCs w:val="36"/>
        </w:rPr>
        <w:t>第二节 发展</w:t>
      </w:r>
      <w:r>
        <w:rPr>
          <w:rFonts w:hint="eastAsia" w:ascii="楷体" w:hAnsi="楷体"/>
          <w:color w:val="auto"/>
          <w:szCs w:val="36"/>
        </w:rPr>
        <w:t>路径</w:t>
      </w:r>
      <w:bookmarkEnd w:id="209"/>
      <w:bookmarkEnd w:id="210"/>
      <w:bookmarkEnd w:id="211"/>
      <w:bookmarkEnd w:id="212"/>
      <w:bookmarkEnd w:id="213"/>
      <w:bookmarkEnd w:id="214"/>
      <w:bookmarkEnd w:id="215"/>
      <w:bookmarkEnd w:id="216"/>
    </w:p>
    <w:p>
      <w:pPr>
        <w:pStyle w:val="4"/>
        <w:adjustRightInd w:val="0"/>
        <w:snapToGrid w:val="0"/>
        <w:spacing w:before="234" w:beforeLines="75"/>
        <w:ind w:left="420"/>
        <w:jc w:val="both"/>
        <w:rPr>
          <w:rFonts w:hint="eastAsia" w:ascii="黑体" w:hAnsi="黑体"/>
          <w:color w:val="auto"/>
        </w:rPr>
      </w:pPr>
      <w:bookmarkStart w:id="217" w:name="_Toc233396452"/>
      <w:bookmarkStart w:id="218" w:name="_Toc233399962"/>
      <w:bookmarkStart w:id="219" w:name="_Toc233399571"/>
      <w:bookmarkStart w:id="220" w:name="_Toc235696642"/>
      <w:bookmarkStart w:id="221" w:name="_Toc32437"/>
      <w:bookmarkStart w:id="222" w:name="_Toc25666"/>
      <w:bookmarkStart w:id="223" w:name="_Toc30373"/>
      <w:bookmarkStart w:id="224" w:name="_Toc17722"/>
      <w:bookmarkStart w:id="225" w:name="_Toc28526"/>
      <w:bookmarkStart w:id="226" w:name="_Toc11990"/>
      <w:r>
        <w:rPr>
          <w:rFonts w:hint="eastAsia" w:ascii="黑体" w:hAnsi="黑体"/>
          <w:color w:val="auto"/>
        </w:rPr>
        <w:t>一</w:t>
      </w:r>
      <w:r>
        <w:rPr>
          <w:rFonts w:ascii="黑体" w:hAnsi="黑体"/>
          <w:color w:val="auto"/>
        </w:rPr>
        <w:t>、</w:t>
      </w:r>
      <w:r>
        <w:rPr>
          <w:rFonts w:hint="eastAsia" w:ascii="黑体" w:hAnsi="黑体"/>
          <w:color w:val="auto"/>
        </w:rPr>
        <w:t>融入粤港澳大湾区，借力湾区动能</w:t>
      </w:r>
      <w:bookmarkEnd w:id="217"/>
      <w:bookmarkEnd w:id="218"/>
      <w:bookmarkEnd w:id="219"/>
      <w:bookmarkEnd w:id="220"/>
      <w:bookmarkEnd w:id="221"/>
      <w:bookmarkEnd w:id="222"/>
      <w:bookmarkEnd w:id="223"/>
      <w:bookmarkEnd w:id="224"/>
      <w:bookmarkEnd w:id="225"/>
      <w:bookmarkEnd w:id="226"/>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粤港澳大湾区“十五五”时期构建“全域协同、文商旅融、开放互联、科技赋能”的文旅新发展格局，打造世界级旅游目的地，为梅县区提供了广阔的联动发展空间。</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梅县区作为梅州融入大湾区的前沿阵地，依托梅龙高铁开通后梅州至广州、深圳最快91分钟、108分钟的交通优势，深度融入大湾区“2小时经济生活圈”，实现“暮辞大湾区，晚食客家菜，夜宿雁南飞，朝饮湾区茶”的便捷旅游体验。承接大湾区短途游、微度假、康养旅游等消费需求；同时，借力港澳国际品牌优势与大湾区文旅运营经验，推动客家文化与湾区中西文化交流融合，拓展入境旅游市场，打造大湾区文旅辐射延伸的重要节点。此外，梅县区依托大湾区“文旅+百业”融合试点经验，推动自身产业融合升级，培育新质生产力应用场景。</w:t>
      </w:r>
    </w:p>
    <w:p>
      <w:pPr>
        <w:pStyle w:val="4"/>
        <w:adjustRightInd w:val="0"/>
        <w:snapToGrid w:val="0"/>
        <w:spacing w:before="234" w:beforeLines="75"/>
        <w:ind w:left="420"/>
        <w:jc w:val="both"/>
        <w:rPr>
          <w:rFonts w:hint="eastAsia" w:ascii="黑体" w:hAnsi="黑体"/>
          <w:color w:val="auto"/>
        </w:rPr>
      </w:pPr>
      <w:bookmarkStart w:id="227" w:name="_Toc233396453"/>
      <w:bookmarkStart w:id="228" w:name="_Toc19981"/>
      <w:bookmarkStart w:id="229" w:name="_Toc233399572"/>
      <w:bookmarkStart w:id="230" w:name="_Toc163"/>
      <w:bookmarkStart w:id="231" w:name="_Toc2865"/>
      <w:bookmarkStart w:id="232" w:name="_Toc235696643"/>
      <w:bookmarkStart w:id="233" w:name="_Toc233399963"/>
      <w:bookmarkStart w:id="234" w:name="_Toc29154"/>
      <w:bookmarkStart w:id="235" w:name="_Toc7304"/>
      <w:bookmarkStart w:id="236" w:name="_Toc5924"/>
      <w:r>
        <w:rPr>
          <w:rFonts w:hint="eastAsia" w:ascii="黑体" w:hAnsi="黑体"/>
          <w:color w:val="auto"/>
        </w:rPr>
        <w:t>二、联动梅州全市，强化核心引领</w:t>
      </w:r>
      <w:bookmarkEnd w:id="227"/>
      <w:bookmarkEnd w:id="228"/>
      <w:bookmarkEnd w:id="229"/>
      <w:bookmarkEnd w:id="230"/>
      <w:bookmarkEnd w:id="231"/>
      <w:bookmarkEnd w:id="232"/>
      <w:bookmarkEnd w:id="233"/>
      <w:bookmarkEnd w:id="234"/>
      <w:bookmarkEnd w:id="235"/>
      <w:bookmarkEnd w:id="236"/>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梅州市将文旅产业作为推动高质量发展的重要抓手，着力打造农文旅融合发展“广东样板”，加快推进梅县“丙村-雁洋-松口”片区省级农文旅融合发展试点建设，为梅县区文旅产业发展提供了市级统筹支撑。</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梅县区作为梅州市主城区，是全市文旅资源的核心聚集区，拥有叶剑英纪念园、雁南飞、雁山湖、松口古镇等优质资源，可联动兴宁、平远、蕉岭等周边县区，整合红色资源、生态资源、客家文化资源，打造跨县域精品旅游线路，实现资源共享、客源互送、优势互补；同时，承接全市文旅产业布局，强化“三色文旅”（红色、绿色、古色）+三脉文化（客家+红色+侨乡）品牌引领，打造全市文广旅体产业高质量发展的核心引擎与示范标杆。</w:t>
      </w:r>
    </w:p>
    <w:p>
      <w:pPr>
        <w:pStyle w:val="4"/>
        <w:adjustRightInd w:val="0"/>
        <w:snapToGrid w:val="0"/>
        <w:spacing w:before="234" w:beforeLines="75"/>
        <w:ind w:left="420"/>
        <w:jc w:val="both"/>
        <w:rPr>
          <w:rFonts w:hint="eastAsia" w:ascii="黑体" w:hAnsi="黑体"/>
          <w:color w:val="auto"/>
        </w:rPr>
      </w:pPr>
      <w:bookmarkStart w:id="237" w:name="_Toc26923"/>
      <w:bookmarkStart w:id="238" w:name="_Toc9648"/>
      <w:bookmarkStart w:id="239" w:name="_Toc235696644"/>
      <w:bookmarkStart w:id="240" w:name="_Toc8460"/>
      <w:bookmarkStart w:id="241" w:name="_Toc233399573"/>
      <w:bookmarkStart w:id="242" w:name="_Toc233399964"/>
      <w:bookmarkStart w:id="243" w:name="_Toc436"/>
      <w:bookmarkStart w:id="244" w:name="_Toc32325"/>
      <w:bookmarkStart w:id="245" w:name="_Toc7933"/>
      <w:bookmarkStart w:id="246" w:name="_Toc233396454"/>
      <w:r>
        <w:rPr>
          <w:rFonts w:hint="eastAsia" w:ascii="黑体" w:hAnsi="黑体"/>
          <w:color w:val="auto"/>
        </w:rPr>
        <w:t>三</w:t>
      </w:r>
      <w:r>
        <w:rPr>
          <w:rFonts w:ascii="黑体" w:hAnsi="黑体"/>
          <w:color w:val="auto"/>
        </w:rPr>
        <w:t>、</w:t>
      </w:r>
      <w:r>
        <w:rPr>
          <w:rFonts w:hint="eastAsia" w:ascii="黑体" w:hAnsi="黑体"/>
          <w:color w:val="auto"/>
        </w:rPr>
        <w:t>深耕“三色三脉”融合，塑造核心品牌</w:t>
      </w:r>
      <w:bookmarkEnd w:id="237"/>
      <w:bookmarkEnd w:id="238"/>
      <w:bookmarkEnd w:id="239"/>
      <w:bookmarkEnd w:id="240"/>
      <w:bookmarkEnd w:id="241"/>
      <w:bookmarkEnd w:id="242"/>
      <w:bookmarkEnd w:id="243"/>
      <w:bookmarkEnd w:id="244"/>
      <w:bookmarkEnd w:id="245"/>
      <w:bookmarkEnd w:id="246"/>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梅县的独特气质藏于三色交融的底蕴之中。红色是融入血脉的忠诚底色，古色是流淌千年的文化雅韵，绿色是生机盎然的生态基地。同时以“红色+客家+侨乡”三脉融合，打造文旅IP矩阵，实施深度融合与品牌提升战略，提升梅州客家文旅全国辨识度。</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松口古镇保护提升为龙头项目，持续办好“请到中国·松口过大年”等已有品牌活动，并联动叶剑英纪念馆、雁南飞茶田、桥溪古韵等节点，沿东部快线等交通廊道科学布局，将红色遗址、千年客韵与生态茶田系统整合，打造主题鲜明的精品游览线路。推动围龙屋等古建筑活化利用为精品民宿、非遗体验空间，将金柚、茶叶等绿色物产转化为可体验、可消费的旅游商品，实现资源向产品的有效转化。</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通过系统整合与深度开发，将分散的景点串联成链，将文化底蕴转化为沉浸式体验，最终构建具有高辨识度和强大吸引力的“三色三脉”全域文旅品牌体系。</w:t>
      </w:r>
    </w:p>
    <w:p>
      <w:pPr>
        <w:pStyle w:val="3"/>
        <w:snapToGrid w:val="0"/>
        <w:spacing w:before="312" w:after="312"/>
        <w:jc w:val="both"/>
        <w:rPr>
          <w:rFonts w:hint="eastAsia" w:ascii="楷体" w:hAnsi="楷体"/>
          <w:color w:val="auto"/>
          <w:szCs w:val="36"/>
        </w:rPr>
      </w:pPr>
      <w:bookmarkStart w:id="247" w:name="_Toc18583"/>
      <w:bookmarkStart w:id="248" w:name="_Toc235696645"/>
      <w:bookmarkStart w:id="249" w:name="_Toc31930"/>
      <w:bookmarkStart w:id="250" w:name="_Toc21772"/>
      <w:bookmarkStart w:id="251" w:name="_Toc6011"/>
      <w:bookmarkStart w:id="252" w:name="_Toc14707"/>
      <w:bookmarkStart w:id="253" w:name="_Toc28677"/>
      <w:bookmarkStart w:id="254" w:name="_Toc24292"/>
      <w:r>
        <w:rPr>
          <w:rFonts w:hint="eastAsia" w:ascii="楷体" w:hAnsi="楷体"/>
          <w:color w:val="auto"/>
          <w:szCs w:val="36"/>
        </w:rPr>
        <w:t xml:space="preserve">第三节 </w:t>
      </w:r>
      <w:r>
        <w:rPr>
          <w:rFonts w:ascii="楷体" w:hAnsi="楷体"/>
          <w:color w:val="auto"/>
          <w:szCs w:val="36"/>
        </w:rPr>
        <w:t>发展目标</w:t>
      </w:r>
      <w:bookmarkEnd w:id="247"/>
      <w:bookmarkEnd w:id="248"/>
      <w:bookmarkEnd w:id="249"/>
      <w:bookmarkEnd w:id="250"/>
      <w:bookmarkEnd w:id="251"/>
      <w:bookmarkEnd w:id="252"/>
      <w:bookmarkEnd w:id="253"/>
      <w:bookmarkEnd w:id="25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十五五”时期，梅县区立足粤北客家文化康养旅游发展区定位，以农文旅体融合为主线，以人文资源转化、自然资源驱动构建梅县区文旅品牌体系；以运营思维主导驱动旅游供给改革，彰显旅游的大产业、大民生、大展示功能，提升梅县区的旅游影响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到2030年，梅县区文广旅体发展体系更加完善，客家文化保护传承利用水平全国领先，文广旅体深度融合成效显著，旅游产业综合实力大幅提升，公共服务均等化、优质化水平持续提高，文旅品牌影响力全面增强，成为粤闽赣边具有核心竞争力的客家文化文旅目的地，文广旅体产业成为区域经济社会发展的重要支柱产业。力争到2030年，旅游总接待人数达320万人次，旅游总收入突破30亿元。</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“十五五”时期，梅县区聚焦打造体验型客家文化精神家园、生态型康养度假旅游高地、农文旅融合发展典型样板等三大目标。</w:t>
      </w:r>
    </w:p>
    <w:p>
      <w:pPr>
        <w:pStyle w:val="4"/>
        <w:adjustRightInd w:val="0"/>
        <w:snapToGrid w:val="0"/>
        <w:spacing w:before="234" w:beforeLines="75"/>
        <w:jc w:val="both"/>
        <w:rPr>
          <w:rFonts w:hint="eastAsia" w:ascii="黑体" w:hAnsi="黑体"/>
          <w:color w:val="auto"/>
        </w:rPr>
      </w:pPr>
      <w:bookmarkStart w:id="255" w:name="_Toc9715"/>
      <w:bookmarkStart w:id="256" w:name="_Toc9005"/>
      <w:bookmarkStart w:id="257" w:name="_Toc28453"/>
      <w:bookmarkStart w:id="258" w:name="_Toc28571"/>
      <w:bookmarkStart w:id="259" w:name="_Toc235696646"/>
      <w:bookmarkStart w:id="260" w:name="_Toc233399966"/>
      <w:bookmarkStart w:id="261" w:name="_Toc25150"/>
      <w:bookmarkStart w:id="262" w:name="_Toc233399575"/>
      <w:bookmarkStart w:id="263" w:name="_Toc28795"/>
      <w:bookmarkStart w:id="264" w:name="_Toc233396456"/>
      <w:r>
        <w:rPr>
          <w:rFonts w:hint="eastAsia" w:ascii="黑体" w:hAnsi="黑体"/>
          <w:color w:val="auto"/>
        </w:rPr>
        <w:t>一</w:t>
      </w:r>
      <w:r>
        <w:rPr>
          <w:rFonts w:ascii="黑体" w:hAnsi="黑体"/>
          <w:color w:val="auto"/>
        </w:rPr>
        <w:t>、</w:t>
      </w:r>
      <w:r>
        <w:rPr>
          <w:rFonts w:hint="eastAsia" w:ascii="黑体" w:hAnsi="黑体"/>
          <w:color w:val="auto"/>
        </w:rPr>
        <w:t>体验型客家文化精神家园</w:t>
      </w:r>
      <w:bookmarkEnd w:id="255"/>
      <w:bookmarkEnd w:id="256"/>
      <w:bookmarkEnd w:id="257"/>
      <w:bookmarkEnd w:id="258"/>
      <w:bookmarkEnd w:id="259"/>
      <w:bookmarkEnd w:id="260"/>
      <w:bookmarkEnd w:id="261"/>
      <w:bookmarkEnd w:id="262"/>
      <w:bookmarkEnd w:id="263"/>
      <w:bookmarkEnd w:id="26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作为“世界客都”的核心展示区，梅县区承载着“全球客家人的精神家园”的使命。“十五五”期间，以社会主义核心价值观引领，锚定客家文化精神家园战略定位，立足客家文化的根脉所在，发挥文化养心志、育情操的作用，聚焦打造客家文化体验产品，依托松口古镇、南口侨乡等核心资源，推动客侨文化、客家建筑、客家民俗等客家文化细分领域的创新发展。活化围龙屋等传统建筑，植入客家民俗非遗等沉浸式体验场景。持续办好“请到</w:t>
      </w:r>
      <w:bookmarkStart w:id="265" w:name="OLE_LINK5"/>
      <w:r>
        <w:rPr>
          <w:rFonts w:hint="eastAsia" w:ascii="仿宋_GB2312" w:hAnsi="方正仿宋_GB2312" w:eastAsia="仿宋_GB2312" w:cs="方正仿宋_GB2312"/>
          <w:sz w:val="32"/>
          <w:szCs w:val="32"/>
        </w:rPr>
        <w:t>中国·松口</w:t>
      </w:r>
      <w:bookmarkEnd w:id="265"/>
      <w:r>
        <w:rPr>
          <w:rFonts w:hint="eastAsia" w:ascii="仿宋_GB2312" w:hAnsi="方正仿宋_GB2312" w:eastAsia="仿宋_GB2312" w:cs="方正仿宋_GB2312"/>
          <w:sz w:val="32"/>
          <w:szCs w:val="32"/>
        </w:rPr>
        <w:t>过大年”等品牌活动，深挖非遗文化内涵，建设非遗文化体验馆，大力发展夜间文旅经济。推动梅县区在人文导向型旅游发展领域取得突破，打造体验型客家文化精神家园。</w:t>
      </w:r>
    </w:p>
    <w:p>
      <w:pPr>
        <w:pStyle w:val="4"/>
        <w:adjustRightInd w:val="0"/>
        <w:snapToGrid w:val="0"/>
        <w:spacing w:before="234" w:beforeLines="75"/>
        <w:jc w:val="both"/>
        <w:rPr>
          <w:rFonts w:hint="eastAsia" w:ascii="黑体" w:hAnsi="黑体"/>
          <w:color w:val="auto"/>
        </w:rPr>
      </w:pPr>
      <w:bookmarkStart w:id="266" w:name="_Toc26830"/>
      <w:bookmarkStart w:id="267" w:name="_Toc9931"/>
      <w:bookmarkStart w:id="268" w:name="_Toc9923"/>
      <w:bookmarkStart w:id="269" w:name="_Toc235696647"/>
      <w:bookmarkStart w:id="270" w:name="_Toc233396457"/>
      <w:bookmarkStart w:id="271" w:name="_Toc25594"/>
      <w:bookmarkStart w:id="272" w:name="_Toc233399967"/>
      <w:bookmarkStart w:id="273" w:name="_Toc23024"/>
      <w:bookmarkStart w:id="274" w:name="_Toc233399576"/>
      <w:bookmarkStart w:id="275" w:name="_Toc21810"/>
      <w:r>
        <w:rPr>
          <w:rFonts w:hint="eastAsia" w:ascii="黑体" w:hAnsi="黑体"/>
          <w:color w:val="auto"/>
        </w:rPr>
        <w:t>二</w:t>
      </w:r>
      <w:r>
        <w:rPr>
          <w:rFonts w:ascii="黑体" w:hAnsi="黑体"/>
          <w:color w:val="auto"/>
        </w:rPr>
        <w:t>、</w:t>
      </w:r>
      <w:r>
        <w:rPr>
          <w:rFonts w:hint="eastAsia" w:ascii="黑体" w:hAnsi="黑体"/>
          <w:color w:val="auto"/>
        </w:rPr>
        <w:t>生态型康养度假旅游高地</w:t>
      </w:r>
      <w:bookmarkEnd w:id="266"/>
      <w:bookmarkEnd w:id="267"/>
      <w:bookmarkEnd w:id="268"/>
      <w:bookmarkEnd w:id="269"/>
      <w:bookmarkEnd w:id="270"/>
      <w:bookmarkEnd w:id="271"/>
      <w:bookmarkEnd w:id="272"/>
      <w:bookmarkEnd w:id="273"/>
      <w:bookmarkEnd w:id="274"/>
      <w:bookmarkEnd w:id="27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牢固树立“绿水青山就是金山银山”的生态发展理念，立足粤东北山区生态优势及梅州长寿之乡的世界品牌，着力探索生态资源转变为生态旅游优势的创新路径，将森林、山地、河流等生态资源优势转化为康养休闲旅游发展动能，重点打造康养度假、中医药疗养、旅居养老、户外运动、露营基地、生态研学等新业态，做大做强特色生态康养旅游产业，推动乡村振兴与生态保护协调共进。完善多层次旅游住宿体系，培育一批高品质乡村民宿，推动康养型、研学型、度假型、乡村型住宿产品发展，打造高质量康养度假旅游目的地。</w:t>
      </w:r>
    </w:p>
    <w:p>
      <w:pPr>
        <w:pStyle w:val="4"/>
        <w:adjustRightInd w:val="0"/>
        <w:snapToGrid w:val="0"/>
        <w:spacing w:before="234" w:beforeLines="75"/>
        <w:jc w:val="both"/>
        <w:rPr>
          <w:rFonts w:hint="eastAsia" w:ascii="黑体" w:hAnsi="黑体"/>
          <w:color w:val="auto"/>
        </w:rPr>
      </w:pPr>
      <w:bookmarkStart w:id="276" w:name="_Toc233396458"/>
      <w:bookmarkStart w:id="277" w:name="_Toc30026"/>
      <w:bookmarkStart w:id="278" w:name="_Toc28071"/>
      <w:bookmarkStart w:id="279" w:name="_Toc29310"/>
      <w:bookmarkStart w:id="280" w:name="_Toc7559"/>
      <w:bookmarkStart w:id="281" w:name="_Toc3808"/>
      <w:bookmarkStart w:id="282" w:name="_Toc233399577"/>
      <w:bookmarkStart w:id="283" w:name="_Toc233399968"/>
      <w:bookmarkStart w:id="284" w:name="_Toc235696648"/>
      <w:bookmarkStart w:id="285" w:name="_Toc25826"/>
      <w:r>
        <w:rPr>
          <w:rFonts w:hint="eastAsia" w:ascii="黑体" w:hAnsi="黑体"/>
          <w:color w:val="auto"/>
        </w:rPr>
        <w:t>三</w:t>
      </w:r>
      <w:r>
        <w:rPr>
          <w:rFonts w:ascii="黑体" w:hAnsi="黑体"/>
          <w:color w:val="auto"/>
        </w:rPr>
        <w:t>、</w:t>
      </w:r>
      <w:r>
        <w:rPr>
          <w:rFonts w:hint="eastAsia" w:ascii="黑体" w:hAnsi="黑体"/>
          <w:color w:val="auto"/>
        </w:rPr>
        <w:t>农文旅体商融合发展典型样板</w:t>
      </w:r>
      <w:bookmarkEnd w:id="276"/>
      <w:bookmarkEnd w:id="277"/>
      <w:bookmarkEnd w:id="278"/>
      <w:bookmarkEnd w:id="279"/>
      <w:bookmarkEnd w:id="280"/>
      <w:bookmarkEnd w:id="281"/>
      <w:bookmarkEnd w:id="282"/>
      <w:bookmarkEnd w:id="283"/>
      <w:bookmarkEnd w:id="284"/>
      <w:bookmarkEnd w:id="28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化农文旅体商多元融合发展，依托丙雁松片区农文旅融合发展省级试点，充分发挥区域内红色革命资源、绿色生态资源、客家人文资源等独特优势，提质升级松口古镇文旅业态，推动农文旅体商融合向纵深发展、提质增效，打造具有梅县鲜明特色、浓郁客家韵味、强劲产业活力的农文旅体商融合发展样板，助力粤闽赣边区域农文旅体商协同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示范引领，支持雁洋镇省级文化产业赋能乡村振兴试点建设，创新乡村文物保护与旅游活化利用模式，深入挖掘乡村非物质文化遗产的文化内涵与旅游吸引力，推动非遗文化和旅游场景深度融合，植入民俗体育、户外休闲等体育业态，促进乡土文创产品迭代升级，打造兼具文化性、体验性与市场性的特色文创品牌。</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依托“足球之乡”品牌优势，在示范带沿线布局小型足球体验场、健身步道、休闲运动节点，将体育元素融入乡村风貌提升与旅游线路打造，实现文化传承、乡村旅游与体育休闲互促共进。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夯实发展根基，提升游客服务中心等乡村旅游公共服务设施品质，完善乡村旅游交通基础设施网络，合理布局换乘枢纽、生态停车场、新能源充电桩等配套设施，同步规划建设体育赛事配套服务点、全民健身站点、赛事补给站、运动休憩空间，优化旅游出行与赛事观赛体验。积极承接马拉松、徒步骑行、群众足球赛等品牌赛事，将赛事线路与乡村旅游景点、生态廊道、古镇街区串联联动，以赛事引流聚人气、促消费，带动餐饮住宿、特色商贸、休闲娱乐等业态协同发展，增强区域综合旅游承载能力与产业辐射能力，为农文旅体商融合示范区建设筑牢硬件支撑，实现以文塑旅、以旅兴体、以体促商、产业共生的高质量发展格局。</w:t>
      </w:r>
    </w:p>
    <w:p>
      <w:pPr>
        <w:widowControl/>
        <w:spacing w:line="560" w:lineRule="exact"/>
        <w:ind w:firstLine="640" w:firstLineChars="200"/>
        <w:rPr>
          <w:rFonts w:hint="eastAsia" w:ascii="方正仿宋_GB2312" w:hAnsi="方正仿宋_GB2312" w:eastAsia="方正仿宋_GB2312" w:cs="方正仿宋_GB2312"/>
          <w:sz w:val="32"/>
          <w:szCs w:val="32"/>
          <w:lang w:bidi="ar"/>
        </w:rPr>
      </w:pPr>
    </w:p>
    <w:p>
      <w:pPr>
        <w:widowControl/>
        <w:spacing w:line="560" w:lineRule="exact"/>
        <w:ind w:firstLine="640" w:firstLineChars="200"/>
        <w:rPr>
          <w:rFonts w:hint="eastAsia" w:ascii="方正仿宋_GB2312" w:hAnsi="方正仿宋_GB2312" w:eastAsia="方正仿宋_GB2312" w:cs="方正仿宋_GB2312"/>
          <w:sz w:val="32"/>
          <w:szCs w:val="32"/>
          <w:lang w:bidi="ar"/>
        </w:rPr>
      </w:pPr>
    </w:p>
    <w:p>
      <w:pPr>
        <w:widowControl/>
        <w:spacing w:line="560" w:lineRule="exact"/>
        <w:ind w:firstLine="640" w:firstLineChars="200"/>
        <w:rPr>
          <w:rFonts w:hint="eastAsia" w:ascii="方正仿宋_GB2312" w:hAnsi="方正仿宋_GB2312" w:eastAsia="方正仿宋_GB2312" w:cs="方正仿宋_GB2312"/>
          <w:sz w:val="32"/>
          <w:szCs w:val="32"/>
          <w:lang w:bidi="ar"/>
        </w:rPr>
      </w:pPr>
    </w:p>
    <w:tbl>
      <w:tblPr>
        <w:tblStyle w:val="21"/>
        <w:tblW w:w="8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32" w:type="dxa"/>
          <w:left w:w="64" w:type="dxa"/>
          <w:bottom w:w="32" w:type="dxa"/>
          <w:right w:w="64" w:type="dxa"/>
        </w:tblCellMar>
      </w:tblPr>
      <w:tblGrid>
        <w:gridCol w:w="1089"/>
        <w:gridCol w:w="770"/>
        <w:gridCol w:w="3506"/>
        <w:gridCol w:w="772"/>
        <w:gridCol w:w="1139"/>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blHeader/>
          <w:jc w:val="center"/>
        </w:trPr>
        <w:tc>
          <w:tcPr>
            <w:tcW w:w="8427" w:type="dxa"/>
            <w:gridSpan w:val="6"/>
            <w:vAlign w:val="center"/>
          </w:tcPr>
          <w:p>
            <w:pPr>
              <w:pStyle w:val="37"/>
              <w:numPr>
                <w:ilvl w:val="0"/>
                <w:numId w:val="0"/>
              </w:numPr>
              <w:rPr>
                <w:rFonts w:hint="eastAsia" w:ascii="方正仿宋_GB2312" w:hAnsi="方正仿宋_GB2312" w:eastAsia="方正仿宋_GB2312" w:cs="方正仿宋_GB2312"/>
                <w:sz w:val="32"/>
                <w:szCs w:val="32"/>
              </w:rPr>
            </w:pPr>
            <w:r>
              <w:rPr>
                <w:rFonts w:hint="eastAsia" w:ascii="Times New Roman" w:hAnsi="Times New Roman"/>
              </w:rPr>
              <w:t>专栏1：梅县区文旅产业发展 “十五五”时期规划主要指标表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blHeader/>
          <w:jc w:val="center"/>
        </w:trPr>
        <w:tc>
          <w:tcPr>
            <w:tcW w:w="0" w:type="auto"/>
            <w:vMerge w:val="restart"/>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职能分工</w:t>
            </w:r>
          </w:p>
        </w:tc>
        <w:tc>
          <w:tcPr>
            <w:tcW w:w="0" w:type="auto"/>
            <w:vMerge w:val="restart"/>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序号</w:t>
            </w:r>
          </w:p>
        </w:tc>
        <w:tc>
          <w:tcPr>
            <w:tcW w:w="0" w:type="auto"/>
            <w:vMerge w:val="restart"/>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指标名称</w:t>
            </w:r>
          </w:p>
        </w:tc>
        <w:tc>
          <w:tcPr>
            <w:tcW w:w="0" w:type="auto"/>
            <w:vMerge w:val="restart"/>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单位</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2025年</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2030年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blHeade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实际值</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restart"/>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旅游产业</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1</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广东省文化和旅游特色村</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个</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3</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2</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省级旅游休闲街区</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个</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0</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3</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国家5A级旅游景区</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家</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1</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4</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国家4A级旅游景区</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家</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4</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5</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国家3A级旅游景区</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家</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2</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6</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星级旅游饭店</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家</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1</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7</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国家级旅游民宿</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家</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2</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0" w:type="auto"/>
            <w:vMerge w:val="continue"/>
            <w:vAlign w:val="center"/>
          </w:tcPr>
          <w:p>
            <w:pPr>
              <w:snapToGrid w:val="0"/>
              <w:rPr>
                <w:rFonts w:hint="eastAsia" w:cs="方正仿宋_GB2312" w:asciiTheme="minorEastAsia" w:hAnsiTheme="minorEastAsia" w:eastAsiaTheme="minorEastAsia"/>
                <w:sz w:val="24"/>
                <w:szCs w:val="24"/>
              </w:rPr>
            </w:pP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8</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广东省等级乡村酒店</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家</w:t>
            </w:r>
          </w:p>
        </w:tc>
        <w:tc>
          <w:tcPr>
            <w:tcW w:w="0" w:type="auto"/>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0</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jc w:val="center"/>
        </w:trPr>
        <w:tc>
          <w:tcPr>
            <w:tcW w:w="1092" w:type="dxa"/>
            <w:vMerge w:val="continue"/>
            <w:vAlign w:val="center"/>
          </w:tcPr>
          <w:p>
            <w:pPr>
              <w:snapToGrid w:val="0"/>
              <w:rPr>
                <w:rFonts w:hint="eastAsia" w:cs="方正仿宋_GB2312" w:asciiTheme="minorEastAsia" w:hAnsiTheme="minorEastAsia" w:eastAsiaTheme="minorEastAsia"/>
                <w:sz w:val="24"/>
                <w:szCs w:val="24"/>
              </w:rPr>
            </w:pPr>
          </w:p>
        </w:tc>
        <w:tc>
          <w:tcPr>
            <w:tcW w:w="77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9</w:t>
            </w:r>
          </w:p>
        </w:tc>
        <w:tc>
          <w:tcPr>
            <w:tcW w:w="3504"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广东省等级乡村民宿</w:t>
            </w:r>
          </w:p>
        </w:tc>
        <w:tc>
          <w:tcPr>
            <w:tcW w:w="772"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家</w:t>
            </w:r>
          </w:p>
        </w:tc>
        <w:tc>
          <w:tcPr>
            <w:tcW w:w="1139"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3</w:t>
            </w:r>
          </w:p>
        </w:tc>
        <w:tc>
          <w:tcPr>
            <w:tcW w:w="1150" w:type="dxa"/>
            <w:vAlign w:val="center"/>
          </w:tcPr>
          <w:p>
            <w:pPr>
              <w:snapToGrid w:val="0"/>
              <w:rPr>
                <w:rFonts w:hint="eastAsia" w:cs="方正仿宋_GB2312" w:asciiTheme="minorEastAsia" w:hAnsiTheme="minorEastAsia" w:eastAsiaTheme="minorEastAsia"/>
                <w:sz w:val="24"/>
                <w:szCs w:val="24"/>
              </w:rPr>
            </w:pPr>
            <w:r>
              <w:rPr>
                <w:rFonts w:hint="eastAsia" w:cs="方正仿宋_GB2312" w:asciiTheme="minorEastAsia" w:hAnsiTheme="minorEastAsia" w:eastAsiaTheme="minorEastAsia"/>
                <w:sz w:val="24"/>
                <w:szCs w:val="24"/>
              </w:rPr>
              <w:t>4</w:t>
            </w:r>
          </w:p>
        </w:tc>
      </w:tr>
    </w:tbl>
    <w:p>
      <w:pPr>
        <w:spacing w:line="560" w:lineRule="exac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注：以上指标均为预期性指标。</w:t>
      </w:r>
    </w:p>
    <w:p>
      <w:pPr>
        <w:widowControl/>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br w:type="page"/>
      </w:r>
    </w:p>
    <w:p>
      <w:pPr>
        <w:pStyle w:val="3"/>
        <w:snapToGrid w:val="0"/>
        <w:spacing w:before="312" w:after="312"/>
        <w:jc w:val="both"/>
        <w:rPr>
          <w:rFonts w:hint="eastAsia" w:ascii="楷体" w:hAnsi="楷体"/>
          <w:color w:val="auto"/>
          <w:szCs w:val="36"/>
        </w:rPr>
      </w:pPr>
      <w:bookmarkStart w:id="286" w:name="_Toc13822"/>
      <w:bookmarkStart w:id="287" w:name="_Toc28243"/>
      <w:bookmarkStart w:id="288" w:name="_Toc10392"/>
      <w:bookmarkStart w:id="289" w:name="_Toc235696649"/>
      <w:bookmarkStart w:id="290" w:name="_Toc12285"/>
      <w:bookmarkStart w:id="291" w:name="_Toc7350"/>
      <w:bookmarkStart w:id="292" w:name="_Toc7541"/>
      <w:bookmarkStart w:id="293" w:name="_Toc27718"/>
      <w:r>
        <w:rPr>
          <w:rFonts w:hint="eastAsia" w:ascii="楷体" w:hAnsi="楷体"/>
          <w:color w:val="auto"/>
          <w:szCs w:val="36"/>
        </w:rPr>
        <w:t>第四节 产业布局</w:t>
      </w:r>
      <w:bookmarkEnd w:id="286"/>
      <w:bookmarkEnd w:id="287"/>
      <w:bookmarkEnd w:id="288"/>
      <w:bookmarkEnd w:id="289"/>
      <w:bookmarkEnd w:id="290"/>
      <w:bookmarkEnd w:id="291"/>
      <w:bookmarkEnd w:id="292"/>
      <w:bookmarkEnd w:id="293"/>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着力构建“片区引领、一带联动、多点开花”的梅县区全域旅游空间体系，推动形成结构完整、特色鲜明、协同联动、优势互补的文旅产业发展格局。</w:t>
      </w:r>
    </w:p>
    <w:p>
      <w:pPr>
        <w:pStyle w:val="4"/>
        <w:adjustRightInd w:val="0"/>
        <w:snapToGrid w:val="0"/>
        <w:spacing w:before="234" w:beforeLines="75"/>
        <w:jc w:val="both"/>
        <w:rPr>
          <w:rFonts w:hint="eastAsia" w:ascii="黑体" w:hAnsi="黑体"/>
          <w:color w:val="auto"/>
        </w:rPr>
      </w:pPr>
      <w:bookmarkStart w:id="294" w:name="_Toc233399579"/>
      <w:bookmarkStart w:id="295" w:name="_Toc233396460"/>
      <w:bookmarkStart w:id="296" w:name="_Toc233399970"/>
      <w:bookmarkStart w:id="297" w:name="_Toc235696650"/>
      <w:r>
        <w:rPr>
          <w:rFonts w:hint="eastAsia" w:ascii="黑体" w:hAnsi="黑体"/>
          <w:color w:val="auto"/>
        </w:rPr>
        <w:t>一</w:t>
      </w:r>
      <w:r>
        <w:rPr>
          <w:rFonts w:ascii="黑体" w:hAnsi="黑体"/>
          <w:color w:val="auto"/>
        </w:rPr>
        <w:t>、</w:t>
      </w:r>
      <w:r>
        <w:rPr>
          <w:rFonts w:hint="eastAsia" w:ascii="黑体" w:hAnsi="黑体"/>
          <w:color w:val="auto"/>
        </w:rPr>
        <w:t>片区引领——丙雁松片区农文旅</w:t>
      </w:r>
      <w:bookmarkEnd w:id="294"/>
      <w:bookmarkEnd w:id="295"/>
      <w:bookmarkEnd w:id="296"/>
      <w:r>
        <w:rPr>
          <w:rFonts w:hint="eastAsia" w:ascii="黑体" w:hAnsi="黑体"/>
          <w:color w:val="auto"/>
        </w:rPr>
        <w:t>融合发展片区</w:t>
      </w:r>
      <w:bookmarkEnd w:id="297"/>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选取梅江流域资源富集和产业集聚的雁洋、松口、丙村三镇，抢抓丙村、雁洋、松口镇按照片区打造省级农文旅融合发展试点的机遇，依据各镇发展条件和优势资源，聚焦重点业态，强化各自区域特色，推动区域合作共建和联动发展，实现丙雁松片区一体化发展，完善梅县区文旅产业发展格局。谋划在223省道打造交农文旅商融合的梅县区游客服务中心。围绕“粤东旅游第一名镇”建设目标，立足阴那山等生态资源，以“客家名人圣山”的概念统领阴那山品牌建设，通过整合提升名人、名园、名寺、名山、名景区等资源，打造雁洋生态度假集群。锚定“南洋海丝路·客侨第一镇”战略定位，全力推动松口古镇保护开发利用。</w:t>
      </w:r>
    </w:p>
    <w:p>
      <w:pPr>
        <w:pStyle w:val="4"/>
        <w:adjustRightInd w:val="0"/>
        <w:snapToGrid w:val="0"/>
        <w:spacing w:before="234" w:beforeLines="75"/>
        <w:jc w:val="both"/>
        <w:rPr>
          <w:rFonts w:hint="eastAsia" w:ascii="黑体" w:hAnsi="黑体"/>
          <w:color w:val="auto"/>
        </w:rPr>
      </w:pPr>
      <w:bookmarkStart w:id="298" w:name="_Toc233399971"/>
      <w:bookmarkStart w:id="299" w:name="_Toc233399580"/>
      <w:bookmarkStart w:id="300" w:name="_Toc233396461"/>
      <w:bookmarkStart w:id="301" w:name="_Toc235696651"/>
      <w:r>
        <w:rPr>
          <w:rFonts w:hint="eastAsia" w:ascii="黑体" w:hAnsi="黑体"/>
          <w:color w:val="auto"/>
        </w:rPr>
        <w:t>二</w:t>
      </w:r>
      <w:r>
        <w:rPr>
          <w:rFonts w:ascii="黑体" w:hAnsi="黑体"/>
          <w:color w:val="auto"/>
        </w:rPr>
        <w:t>、</w:t>
      </w:r>
      <w:r>
        <w:rPr>
          <w:rFonts w:hint="eastAsia" w:ascii="黑体" w:hAnsi="黑体"/>
          <w:color w:val="auto"/>
        </w:rPr>
        <w:t>一带联动——梅水畲示范带</w:t>
      </w:r>
      <w:bookmarkEnd w:id="298"/>
      <w:bookmarkEnd w:id="299"/>
      <w:bookmarkEnd w:id="300"/>
      <w:bookmarkEnd w:id="30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梅江水系为主廊道，向南串联西部梅南镇、水车镇、畲江镇，借助国道、省道、高速等交通路网，串联“核心引领区”与沿线特色节点，带动周边旅游企业集聚，激活沿线生态、人文战略资源，探索文旅融合新路径。</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示范带聚焦高品质文旅项目建设、精品线路推广、文旅深度融合及业态产品创新，打造梅州文旅融合示范标杆。各节点差异化发展、互补联动：</w:t>
      </w:r>
      <w:r>
        <w:rPr>
          <w:rFonts w:hint="eastAsia" w:ascii="仿宋_GB2312" w:hAnsi="方正仿宋_GB2312" w:eastAsia="仿宋_GB2312" w:cs="方正仿宋_GB2312"/>
          <w:b/>
          <w:bCs/>
          <w:sz w:val="32"/>
          <w:szCs w:val="32"/>
        </w:rPr>
        <w:t>梅南镇</w:t>
      </w:r>
      <w:r>
        <w:rPr>
          <w:rFonts w:hint="eastAsia" w:ascii="仿宋_GB2312" w:hAnsi="方正仿宋_GB2312" w:eastAsia="仿宋_GB2312" w:cs="方正仿宋_GB2312"/>
          <w:sz w:val="32"/>
          <w:szCs w:val="32"/>
        </w:rPr>
        <w:t>整合红色文化与生态资源，串联李金发故居、九龙嶂革命根据地等人文节点，融合水美村景观，打造红色研学与生态休闲线路，丰富示范带内涵；</w:t>
      </w:r>
      <w:r>
        <w:rPr>
          <w:rFonts w:hint="eastAsia" w:ascii="仿宋_GB2312" w:hAnsi="方正仿宋_GB2312" w:eastAsia="仿宋_GB2312" w:cs="方正仿宋_GB2312"/>
          <w:b/>
          <w:bCs/>
          <w:sz w:val="32"/>
          <w:szCs w:val="32"/>
        </w:rPr>
        <w:t>水车镇</w:t>
      </w:r>
      <w:r>
        <w:rPr>
          <w:rFonts w:hint="eastAsia" w:ascii="仿宋_GB2312" w:hAnsi="方正仿宋_GB2312" w:eastAsia="仿宋_GB2312" w:cs="方正仿宋_GB2312"/>
          <w:sz w:val="32"/>
          <w:szCs w:val="32"/>
        </w:rPr>
        <w:t>活化茶山村等古村资源，以客家传统建筑群为载体，植入客家民俗活动，打造沉浸式乡村休闲体验；</w:t>
      </w:r>
      <w:r>
        <w:rPr>
          <w:rFonts w:hint="eastAsia" w:ascii="仿宋_GB2312" w:hAnsi="方正仿宋_GB2312" w:eastAsia="仿宋_GB2312" w:cs="方正仿宋_GB2312"/>
          <w:b/>
          <w:bCs/>
          <w:sz w:val="32"/>
          <w:szCs w:val="32"/>
        </w:rPr>
        <w:t>畲江镇</w:t>
      </w:r>
      <w:r>
        <w:rPr>
          <w:rFonts w:hint="eastAsia" w:ascii="仿宋_GB2312" w:hAnsi="方正仿宋_GB2312" w:eastAsia="仿宋_GB2312" w:cs="方正仿宋_GB2312"/>
          <w:sz w:val="32"/>
          <w:szCs w:val="32"/>
        </w:rPr>
        <w:t>立足工艺工业优势，推动传统编织技艺展示、工业生产体验与文旅结合，依托产业平台打造“产业+旅游”线路，实现双向提升。三镇协同发力，共同推动梅水畲示范带实现全域文旅高质量发展。</w:t>
      </w:r>
    </w:p>
    <w:p>
      <w:pPr>
        <w:pStyle w:val="4"/>
        <w:adjustRightInd w:val="0"/>
        <w:snapToGrid w:val="0"/>
        <w:spacing w:before="234" w:beforeLines="75"/>
        <w:jc w:val="both"/>
        <w:rPr>
          <w:rFonts w:hint="eastAsia" w:ascii="黑体" w:hAnsi="黑体"/>
          <w:color w:val="auto"/>
        </w:rPr>
      </w:pPr>
      <w:bookmarkStart w:id="302" w:name="_Toc235696652"/>
      <w:bookmarkStart w:id="303" w:name="_Toc233399972"/>
      <w:bookmarkStart w:id="304" w:name="_Toc233396462"/>
      <w:bookmarkStart w:id="305" w:name="_Toc233399581"/>
      <w:r>
        <w:rPr>
          <w:rFonts w:hint="eastAsia" w:ascii="黑体" w:hAnsi="黑体"/>
          <w:color w:val="auto"/>
        </w:rPr>
        <w:t>三</w:t>
      </w:r>
      <w:r>
        <w:rPr>
          <w:rFonts w:ascii="黑体" w:hAnsi="黑体"/>
          <w:color w:val="auto"/>
        </w:rPr>
        <w:t>、</w:t>
      </w:r>
      <w:r>
        <w:rPr>
          <w:rFonts w:hint="eastAsia" w:ascii="黑体" w:hAnsi="黑体"/>
          <w:color w:val="auto"/>
        </w:rPr>
        <w:t>多点开花</w:t>
      </w:r>
      <w:bookmarkEnd w:id="302"/>
      <w:bookmarkEnd w:id="303"/>
      <w:bookmarkEnd w:id="304"/>
      <w:bookmarkEnd w:id="30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推动</w:t>
      </w:r>
      <w:r>
        <w:rPr>
          <w:rFonts w:hint="eastAsia" w:ascii="仿宋_GB2312" w:hAnsi="方正仿宋_GB2312" w:eastAsia="仿宋_GB2312" w:cs="方正仿宋_GB2312"/>
          <w:b/>
          <w:bCs/>
          <w:sz w:val="32"/>
          <w:szCs w:val="32"/>
        </w:rPr>
        <w:t>南口镇</w:t>
      </w:r>
      <w:r>
        <w:rPr>
          <w:rFonts w:hint="eastAsia" w:ascii="仿宋_GB2312" w:hAnsi="方正仿宋_GB2312" w:eastAsia="仿宋_GB2312" w:cs="方正仿宋_GB2312"/>
          <w:sz w:val="32"/>
          <w:szCs w:val="32"/>
        </w:rPr>
        <w:t>全力发展以侨乡村客家民居文化和麓湖山文化产业园休闲体育旅游为代表的文化旅游产业。</w:t>
      </w:r>
      <w:r>
        <w:rPr>
          <w:rFonts w:hint="eastAsia" w:ascii="仿宋_GB2312" w:hAnsi="方正仿宋_GB2312" w:eastAsia="仿宋_GB2312" w:cs="方正仿宋_GB2312"/>
          <w:b/>
          <w:bCs/>
          <w:sz w:val="32"/>
          <w:szCs w:val="32"/>
        </w:rPr>
        <w:t>城东镇</w:t>
      </w:r>
      <w:r>
        <w:rPr>
          <w:rFonts w:hint="eastAsia" w:ascii="仿宋_GB2312" w:hAnsi="方正仿宋_GB2312" w:eastAsia="仿宋_GB2312" w:cs="方正仿宋_GB2312"/>
          <w:sz w:val="32"/>
          <w:szCs w:val="32"/>
        </w:rPr>
        <w:t>依托生态资源大力发展文旅产业项目。</w:t>
      </w:r>
      <w:r>
        <w:rPr>
          <w:rFonts w:hint="eastAsia" w:ascii="仿宋_GB2312" w:hAnsi="方正仿宋_GB2312" w:eastAsia="仿宋_GB2312" w:cs="方正仿宋_GB2312"/>
          <w:b/>
          <w:bCs/>
          <w:sz w:val="32"/>
          <w:szCs w:val="32"/>
        </w:rPr>
        <w:t>大坪镇</w:t>
      </w:r>
      <w:r>
        <w:rPr>
          <w:rFonts w:hint="eastAsia" w:ascii="仿宋_GB2312" w:hAnsi="方正仿宋_GB2312" w:eastAsia="仿宋_GB2312" w:cs="方正仿宋_GB2312"/>
          <w:sz w:val="32"/>
          <w:szCs w:val="32"/>
        </w:rPr>
        <w:t>依托丰富的水资源和温泉资源，开发休闲度假产品。</w:t>
      </w:r>
      <w:r>
        <w:rPr>
          <w:rFonts w:hint="eastAsia" w:ascii="仿宋_GB2312" w:hAnsi="方正仿宋_GB2312" w:eastAsia="仿宋_GB2312" w:cs="方正仿宋_GB2312"/>
          <w:b/>
          <w:bCs/>
          <w:sz w:val="32"/>
          <w:szCs w:val="32"/>
        </w:rPr>
        <w:t>桃尧镇</w:t>
      </w:r>
      <w:r>
        <w:rPr>
          <w:rFonts w:hint="eastAsia" w:ascii="仿宋_GB2312" w:hAnsi="方正仿宋_GB2312" w:eastAsia="仿宋_GB2312" w:cs="方正仿宋_GB2312"/>
          <w:sz w:val="32"/>
          <w:szCs w:val="32"/>
        </w:rPr>
        <w:t>依托一山望两省的鸡冠山、与阴那山南北呼应的王寿山，着力发展绿色健康产业和休闲度假产品。</w:t>
      </w:r>
    </w:p>
    <w:p>
      <w:pPr>
        <w:widowControl/>
        <w:tabs>
          <w:tab w:val="left" w:pos="720"/>
        </w:tabs>
        <w:spacing w:line="180" w:lineRule="atLeast"/>
        <w:rPr>
          <w:rFonts w:hint="eastAsia" w:ascii="方正仿宋_GB2312" w:hAnsi="方正仿宋_GB2312" w:eastAsia="方正仿宋_GB2312" w:cs="方正仿宋_GB2312"/>
          <w:sz w:val="32"/>
          <w:szCs w:val="32"/>
        </w:rPr>
      </w:pPr>
    </w:p>
    <w:p>
      <w:pPr>
        <w:pStyle w:val="2"/>
        <w:snapToGrid w:val="0"/>
        <w:jc w:val="center"/>
        <w:rPr>
          <w:rFonts w:hint="eastAsia" w:ascii="黑体" w:hAnsi="黑体"/>
          <w:color w:val="auto"/>
        </w:rPr>
      </w:pPr>
      <w:bookmarkStart w:id="306" w:name="_Toc15623"/>
      <w:bookmarkStart w:id="307" w:name="_Toc30564"/>
      <w:bookmarkStart w:id="308" w:name="_Toc14156"/>
      <w:bookmarkStart w:id="309" w:name="_Toc5674"/>
      <w:bookmarkStart w:id="310" w:name="_Toc17483"/>
      <w:bookmarkStart w:id="311" w:name="_Toc11765"/>
      <w:bookmarkStart w:id="312" w:name="_Toc235696653"/>
      <w:bookmarkStart w:id="313" w:name="_Toc16162"/>
      <w:r>
        <w:rPr>
          <w:rFonts w:ascii="黑体" w:hAnsi="黑体"/>
          <w:color w:val="auto"/>
        </w:rPr>
        <w:t>第</w:t>
      </w:r>
      <w:r>
        <w:rPr>
          <w:rFonts w:hint="eastAsia" w:ascii="黑体" w:hAnsi="黑体"/>
          <w:color w:val="auto"/>
        </w:rPr>
        <w:t>四</w:t>
      </w:r>
      <w:r>
        <w:rPr>
          <w:rFonts w:ascii="黑体" w:hAnsi="黑体"/>
          <w:color w:val="auto"/>
        </w:rPr>
        <w:t>章 主要任务</w:t>
      </w:r>
      <w:bookmarkEnd w:id="306"/>
      <w:bookmarkEnd w:id="307"/>
      <w:bookmarkEnd w:id="308"/>
      <w:bookmarkEnd w:id="309"/>
      <w:bookmarkEnd w:id="310"/>
      <w:bookmarkEnd w:id="311"/>
      <w:bookmarkEnd w:id="312"/>
      <w:bookmarkEnd w:id="313"/>
    </w:p>
    <w:p>
      <w:pPr>
        <w:pStyle w:val="3"/>
        <w:snapToGrid w:val="0"/>
        <w:spacing w:before="312" w:after="312"/>
        <w:jc w:val="both"/>
        <w:rPr>
          <w:rFonts w:hint="eastAsia" w:ascii="楷体" w:hAnsi="楷体"/>
          <w:color w:val="auto"/>
          <w:szCs w:val="36"/>
        </w:rPr>
      </w:pPr>
      <w:bookmarkStart w:id="314" w:name="_Toc32007"/>
      <w:bookmarkStart w:id="315" w:name="_Toc6248"/>
      <w:bookmarkStart w:id="316" w:name="_Toc16233"/>
      <w:bookmarkStart w:id="317" w:name="_Toc16868"/>
      <w:bookmarkStart w:id="318" w:name="_Toc18950"/>
      <w:bookmarkStart w:id="319" w:name="_Toc20027"/>
      <w:bookmarkStart w:id="320" w:name="_Toc235696654"/>
      <w:bookmarkStart w:id="321" w:name="_Toc19504"/>
      <w:bookmarkStart w:id="322" w:name="_Toc23147"/>
      <w:bookmarkStart w:id="323" w:name="_Toc15693"/>
      <w:r>
        <w:rPr>
          <w:rFonts w:hint="eastAsia" w:ascii="楷体" w:hAnsi="楷体"/>
          <w:color w:val="auto"/>
          <w:szCs w:val="36"/>
        </w:rPr>
        <w:t xml:space="preserve">第一节 </w:t>
      </w:r>
      <w:bookmarkEnd w:id="314"/>
      <w:bookmarkEnd w:id="315"/>
      <w:r>
        <w:rPr>
          <w:rFonts w:hint="eastAsia" w:ascii="楷体" w:hAnsi="楷体"/>
          <w:color w:val="auto"/>
          <w:szCs w:val="36"/>
        </w:rPr>
        <w:t>铸牢客家文化根脉，推动文化传承高质量发展</w:t>
      </w:r>
      <w:bookmarkEnd w:id="316"/>
      <w:bookmarkEnd w:id="317"/>
      <w:bookmarkEnd w:id="318"/>
      <w:bookmarkEnd w:id="319"/>
      <w:bookmarkEnd w:id="320"/>
      <w:bookmarkEnd w:id="321"/>
      <w:bookmarkEnd w:id="322"/>
      <w:bookmarkEnd w:id="323"/>
    </w:p>
    <w:p>
      <w:pPr>
        <w:pStyle w:val="4"/>
        <w:adjustRightInd w:val="0"/>
        <w:snapToGrid w:val="0"/>
        <w:spacing w:before="234" w:beforeLines="75"/>
        <w:jc w:val="both"/>
        <w:rPr>
          <w:rFonts w:hint="eastAsia" w:ascii="黑体" w:hAnsi="黑体"/>
          <w:color w:val="auto"/>
        </w:rPr>
      </w:pPr>
      <w:bookmarkStart w:id="324" w:name="_Toc233399584"/>
      <w:bookmarkStart w:id="325" w:name="_Toc15501"/>
      <w:bookmarkStart w:id="326" w:name="_Toc30038"/>
      <w:bookmarkStart w:id="327" w:name="_Toc233396465"/>
      <w:bookmarkStart w:id="328" w:name="_Toc235696655"/>
      <w:bookmarkStart w:id="329" w:name="_Toc7674"/>
      <w:bookmarkStart w:id="330" w:name="_Toc18407"/>
      <w:bookmarkStart w:id="331" w:name="_Toc2624"/>
      <w:bookmarkStart w:id="332" w:name="_Toc29022"/>
      <w:bookmarkStart w:id="333" w:name="_Toc233399975"/>
      <w:r>
        <w:rPr>
          <w:rFonts w:hint="eastAsia" w:ascii="黑体" w:hAnsi="黑体"/>
          <w:color w:val="auto"/>
        </w:rPr>
        <w:t>一、创新文物保护方式，深化客家历史印记，激活红色文化底蕴</w:t>
      </w:r>
      <w:bookmarkEnd w:id="324"/>
      <w:bookmarkEnd w:id="325"/>
      <w:bookmarkEnd w:id="326"/>
      <w:bookmarkEnd w:id="327"/>
      <w:bookmarkEnd w:id="328"/>
      <w:bookmarkEnd w:id="329"/>
      <w:bookmarkEnd w:id="330"/>
      <w:bookmarkEnd w:id="331"/>
      <w:bookmarkEnd w:id="332"/>
      <w:bookmarkEnd w:id="333"/>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持续推进梅县区第四次全国文物普查工作，全面摸清文物资源底数，开展各级文物保护认定，完善文物“四有”档案，优化管理制度与政策支撑体系，明确各级文物安全责任人，分级分类推进隐患问题整改，构建全方位、多层次的文物保护格局，兼顾不可移动文物与可移动文物保护利用，重点支持辖区内各博物馆可移动文物藏品的展示利用，保障免费开放经费，积极争取各类项目资金投入，运用现代科技手段提升文物保护技术水平和展陈效果，让静态文物“活起来”。</w:t>
      </w:r>
    </w:p>
    <w:p>
      <w:pPr>
        <w:pStyle w:val="5"/>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（一）推进博物馆提质升级，完善文化展示载体</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推进</w:t>
      </w:r>
      <w:bookmarkStart w:id="334" w:name="OLE_LINK36"/>
      <w:r>
        <w:rPr>
          <w:rFonts w:hint="eastAsia" w:ascii="仿宋_GB2312" w:hAnsi="方正仿宋_GB2312" w:eastAsia="仿宋_GB2312" w:cs="方正仿宋_GB2312"/>
          <w:sz w:val="32"/>
          <w:szCs w:val="32"/>
        </w:rPr>
        <w:t>梅县区博物馆提质升级</w:t>
      </w:r>
      <w:bookmarkEnd w:id="334"/>
      <w:r>
        <w:rPr>
          <w:rFonts w:hint="eastAsia" w:ascii="仿宋_GB2312" w:hAnsi="方正仿宋_GB2312" w:eastAsia="仿宋_GB2312" w:cs="方正仿宋_GB2312"/>
          <w:sz w:val="32"/>
          <w:szCs w:val="32"/>
        </w:rPr>
        <w:t>，同步做好辑瑞庐活化利用工作，进一步强化文物收藏保护功能，充分发挥博物馆文化传播、宣传推介作用，重点彰显梅县区千年客家历史文化底蕴和经济社会发展成就，推动文化博览、旅游休闲、观光服务等相关产业协同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推进智慧博物馆建设，支持引入专业团队探索发展文创产品开发、研学体验等开放式文化服务，打造多元共建特色品牌，提升博物馆公共吸引力与运营活力，带动社会化资本产权分离，形成“以馆养馆”的可持续运营模式。</w:t>
      </w:r>
    </w:p>
    <w:p>
      <w:pPr>
        <w:pStyle w:val="5"/>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（二）深化文物修缮保护，破解保护发展难题</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加大文物修缮资金争取力度，重点推进作庐、张民达旧居、喆庐、世德堂第三期、干庐等文物保护单位修缮工程，严格遵循“修旧如故”原则，保留文物原有历史风貌。</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因地制宜探索围龙屋多元活化利用路径，重点推动一批围龙屋向精品民宿转化，支持在围龙屋内打造文化展示空间、文创工作室、非遗工坊、特色书屋等新兴业态，实现“以用促保”。</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针对辖区内非国有不可移动文物数量多、产权复杂、责任落实难、资金缺口大等实际问题，争取社会文物保护基金，构建制度化补助机制，激发社会力量参与热情，撬动社会资金投入，规范文物修缮程序，推动非国有不可移动文物保护常态化、规范化。</w:t>
      </w:r>
    </w:p>
    <w:p>
      <w:pPr>
        <w:pStyle w:val="5"/>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（三）实施消防安全提升工程，筑牢文物安全防线</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文物保护单位消防安全薄弱环节，全面完善消防设施建设，推广安装智慧消防系统、电气火灾监控系统等智能化设备，优化消防安全管理机制，健全区、镇、村、管理员（文保员）四级管护格局，切实降低文物火灾发生概率。强化消防安全宣传教育，通过开展宣传宣讲、实战演练等多种形式，提升文物保护单位工作人员、周边居民的消防安全意识和应急处置能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严格落实消防安全责任制，细化安全防控措施，常态化开展安全隐患排查整治，为文物安全、人员安全和文旅产业高质量发展提供坚实安全保障。</w:t>
      </w:r>
    </w:p>
    <w:p>
      <w:pPr>
        <w:pStyle w:val="5"/>
        <w:widowControl/>
        <w:spacing w:before="78" w:after="78"/>
        <w:jc w:val="both"/>
        <w:rPr>
          <w:rFonts w:hint="eastAsia" w:ascii="仿宋" w:hAnsi="仿宋" w:cs="仿宋"/>
          <w:color w:val="auto"/>
          <w:sz w:val="32"/>
          <w:szCs w:val="32"/>
        </w:rPr>
      </w:pPr>
      <w:bookmarkStart w:id="335" w:name="heading_4"/>
      <w:r>
        <w:rPr>
          <w:rFonts w:hint="eastAsia" w:ascii="仿宋" w:hAnsi="仿宋" w:cs="仿宋"/>
          <w:color w:val="auto"/>
          <w:sz w:val="32"/>
          <w:szCs w:val="32"/>
        </w:rPr>
        <w:t>（四）强化红色文物保护，传承苏区红色基因</w:t>
      </w:r>
      <w:bookmarkEnd w:id="33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严格按照广东省文化和旅游厅、中共广东省委宣传部印发的《“南昌起义部队南下广东”“中央红色交通线”“东纵抗战路”红色革命遗址群保护利用专项规划（2024—2035年）》要求，</w:t>
      </w:r>
      <w:bookmarkStart w:id="336" w:name="OLE_LINK6"/>
      <w:r>
        <w:rPr>
          <w:rFonts w:hint="eastAsia" w:ascii="仿宋_GB2312" w:hAnsi="方正仿宋_GB2312" w:eastAsia="仿宋_GB2312" w:cs="方正仿宋_GB2312"/>
          <w:sz w:val="32"/>
          <w:szCs w:val="32"/>
        </w:rPr>
        <w:t>重点做好叶剑英故居、萧向荣故居等革命文物的保护修缮和活化利用工作，同步推动九龙嶂革命根据地旧址群、同怀别墅等红色资源优化升级</w:t>
      </w:r>
      <w:bookmarkEnd w:id="336"/>
      <w:r>
        <w:rPr>
          <w:rFonts w:hint="eastAsia" w:ascii="仿宋_GB2312" w:hAnsi="方正仿宋_GB2312" w:eastAsia="仿宋_GB2312" w:cs="方正仿宋_GB2312"/>
          <w:sz w:val="32"/>
          <w:szCs w:val="32"/>
        </w:rPr>
        <w:t>。</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深入挖掘革命文物背后的红色故事，讲好党的故事、革命的故事、英雄的故事，结合党史宣传教育，让红色基因在新时代焕发新生，打响叶帅故里、红色苏区品牌。</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Times New Roman" w:hAnsi="Times New Roman"/>
              </w:rPr>
              <w:t>专栏2  文物保护传承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rPr>
                <w:sz w:val="24"/>
                <w:szCs w:val="24"/>
              </w:rPr>
            </w:pPr>
            <w:r>
              <w:rPr>
                <w:b/>
                <w:bCs/>
                <w:sz w:val="24"/>
                <w:szCs w:val="24"/>
              </w:rPr>
              <w:t>1.</w:t>
            </w:r>
            <w:r>
              <w:rPr>
                <w:rFonts w:hint="eastAsia"/>
                <w:b/>
                <w:bCs/>
                <w:sz w:val="24"/>
                <w:szCs w:val="24"/>
              </w:rPr>
              <w:t>博物馆提质升级：</w:t>
            </w:r>
            <w:r>
              <w:rPr>
                <w:rFonts w:hint="eastAsia"/>
                <w:sz w:val="24"/>
                <w:szCs w:val="24"/>
              </w:rPr>
              <w:t>推动梅县区博物馆提质升级</w:t>
            </w:r>
            <w:r>
              <w:rPr>
                <w:sz w:val="24"/>
                <w:szCs w:val="24"/>
              </w:rPr>
              <w:t>。</w:t>
            </w:r>
          </w:p>
          <w:p>
            <w:pPr>
              <w:spacing w:line="360" w:lineRule="auto"/>
              <w:ind w:firstLine="482"/>
              <w:rPr>
                <w:sz w:val="24"/>
                <w:szCs w:val="24"/>
              </w:rPr>
            </w:pPr>
            <w:r>
              <w:rPr>
                <w:rFonts w:hint="eastAsia"/>
                <w:b/>
                <w:bCs/>
                <w:sz w:val="24"/>
                <w:szCs w:val="24"/>
              </w:rPr>
              <w:t>2. 文物保护修缮工程：</w:t>
            </w:r>
            <w:r>
              <w:rPr>
                <w:rFonts w:hint="eastAsia"/>
                <w:sz w:val="24"/>
                <w:szCs w:val="24"/>
              </w:rPr>
              <w:t>作庐、张民达旧居、喆庐、世德堂第三期、干庐等文物保护单位修缮工程。</w:t>
            </w:r>
          </w:p>
          <w:p>
            <w:pPr>
              <w:spacing w:line="360" w:lineRule="auto"/>
              <w:ind w:firstLine="482"/>
              <w:rPr>
                <w:sz w:val="24"/>
                <w:szCs w:val="24"/>
              </w:rPr>
            </w:pPr>
            <w:r>
              <w:rPr>
                <w:rFonts w:hint="eastAsia"/>
                <w:b/>
                <w:bCs/>
                <w:sz w:val="24"/>
                <w:szCs w:val="24"/>
              </w:rPr>
              <w:t>3.革命文物保护工程：</w:t>
            </w:r>
            <w:r>
              <w:rPr>
                <w:rFonts w:hint="eastAsia"/>
                <w:sz w:val="24"/>
                <w:szCs w:val="24"/>
              </w:rPr>
              <w:t>重点做好叶剑英故居、萧向荣故居等革命文物的保护修缮和活化利用工作，同步推动九龙嶂革命根据地旧址群、同怀别墅等红色资源优化升级。</w:t>
            </w:r>
          </w:p>
          <w:p>
            <w:pPr>
              <w:spacing w:line="360" w:lineRule="auto"/>
              <w:ind w:left="482"/>
              <w:rPr>
                <w:b/>
                <w:bCs/>
                <w:sz w:val="24"/>
                <w:szCs w:val="24"/>
              </w:rPr>
            </w:pPr>
            <w:r>
              <w:rPr>
                <w:rFonts w:hint="eastAsia"/>
                <w:b/>
                <w:bCs/>
                <w:sz w:val="24"/>
                <w:szCs w:val="24"/>
              </w:rPr>
              <w:t>4.文物保护品牌升级：</w:t>
            </w:r>
          </w:p>
          <w:p>
            <w:pPr>
              <w:spacing w:line="360" w:lineRule="auto"/>
              <w:ind w:left="482"/>
              <w:rPr>
                <w:sz w:val="24"/>
                <w:szCs w:val="24"/>
              </w:rPr>
            </w:pPr>
            <w:r>
              <w:rPr>
                <w:sz w:val="24"/>
                <w:szCs w:val="24"/>
              </w:rPr>
              <w:t>全国重点文物保护单位培育2处（元魁塔、仪园）</w:t>
            </w:r>
            <w:r>
              <w:rPr>
                <w:rFonts w:hint="eastAsia"/>
                <w:sz w:val="24"/>
                <w:szCs w:val="24"/>
              </w:rPr>
              <w:t>；</w:t>
            </w:r>
          </w:p>
          <w:p>
            <w:pPr>
              <w:spacing w:line="360" w:lineRule="auto"/>
              <w:ind w:left="482"/>
              <w:rPr>
                <w:sz w:val="24"/>
                <w:szCs w:val="24"/>
              </w:rPr>
            </w:pPr>
            <w:r>
              <w:rPr>
                <w:sz w:val="24"/>
                <w:szCs w:val="24"/>
              </w:rPr>
              <w:t>省级文物保护单位培育1处（火船码头）</w:t>
            </w:r>
            <w:r>
              <w:rPr>
                <w:rFonts w:hint="eastAsia"/>
                <w:sz w:val="24"/>
                <w:szCs w:val="24"/>
              </w:rPr>
              <w:t>；</w:t>
            </w:r>
          </w:p>
          <w:p>
            <w:pPr>
              <w:spacing w:line="360" w:lineRule="auto"/>
              <w:ind w:left="482"/>
              <w:rPr>
                <w:sz w:val="24"/>
                <w:szCs w:val="24"/>
              </w:rPr>
            </w:pPr>
            <w:r>
              <w:rPr>
                <w:sz w:val="24"/>
                <w:szCs w:val="24"/>
              </w:rPr>
              <w:t>全国重点文物保护单位革命文物保护名录培育1处（仪园）</w:t>
            </w:r>
            <w:r>
              <w:rPr>
                <w:rFonts w:hint="eastAsia"/>
                <w:sz w:val="24"/>
                <w:szCs w:val="24"/>
              </w:rPr>
              <w:t>；</w:t>
            </w:r>
          </w:p>
        </w:tc>
      </w:tr>
    </w:tbl>
    <w:p/>
    <w:p>
      <w:pPr>
        <w:pStyle w:val="4"/>
        <w:adjustRightInd w:val="0"/>
        <w:snapToGrid w:val="0"/>
        <w:spacing w:before="234" w:beforeLines="75"/>
        <w:jc w:val="both"/>
        <w:rPr>
          <w:rFonts w:hint="eastAsia" w:ascii="黑体" w:hAnsi="黑体"/>
          <w:color w:val="auto"/>
        </w:rPr>
      </w:pPr>
      <w:bookmarkStart w:id="337" w:name="_Toc26749"/>
      <w:bookmarkStart w:id="338" w:name="_Toc26438"/>
      <w:bookmarkStart w:id="339" w:name="_Toc18451"/>
      <w:bookmarkStart w:id="340" w:name="_Toc235696656"/>
      <w:bookmarkStart w:id="341" w:name="_Toc5285"/>
      <w:bookmarkStart w:id="342" w:name="_Toc233399585"/>
      <w:bookmarkStart w:id="343" w:name="_Toc471"/>
      <w:bookmarkStart w:id="344" w:name="_Toc19419"/>
      <w:bookmarkStart w:id="345" w:name="_Toc233399976"/>
      <w:bookmarkStart w:id="346" w:name="_Toc233396466"/>
      <w:bookmarkStart w:id="347" w:name="_Toc14265"/>
      <w:r>
        <w:rPr>
          <w:rFonts w:hint="eastAsia" w:ascii="黑体" w:hAnsi="黑体"/>
          <w:color w:val="auto"/>
        </w:rPr>
        <w:t>二、着力文化生态保护区建设，促进非遗活化利用</w:t>
      </w:r>
      <w:bookmarkEnd w:id="337"/>
      <w:r>
        <w:rPr>
          <w:rFonts w:hint="eastAsia" w:ascii="黑体" w:hAnsi="黑体"/>
          <w:color w:val="auto"/>
        </w:rPr>
        <w:t>，赋能乡村振兴发展</w:t>
      </w:r>
      <w:bookmarkEnd w:id="338"/>
      <w:bookmarkEnd w:id="339"/>
      <w:bookmarkEnd w:id="340"/>
      <w:bookmarkEnd w:id="341"/>
      <w:bookmarkEnd w:id="342"/>
      <w:bookmarkEnd w:id="343"/>
      <w:bookmarkEnd w:id="344"/>
      <w:bookmarkEnd w:id="345"/>
      <w:bookmarkEnd w:id="346"/>
      <w:bookmarkEnd w:id="347"/>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国家级客家文化生态保护区建设为抓手，推动文化遗产系统性保护和统一监管督察，加强历史文化名城、街区、村镇的有效保护和活态传承，构建政府主导、社会参与的多元投入格局，促进非物质文化遗产与文旅产业、乡村振兴深度融合，让客家非遗在活态传承中彰显价值。</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将非遗保护事业纳入本级国民经济和社会发展规划，把非遗保护传承专项资金列入本级财政预算，加大资金投入力度；同时，积极采用市场化运作模式，鼓励和支持社会资金参与非遗研究、保护和开发，为非遗传承发展提供坚实保障。</w:t>
      </w:r>
    </w:p>
    <w:p>
      <w:pPr>
        <w:pStyle w:val="5"/>
        <w:widowControl/>
        <w:spacing w:before="78" w:after="78"/>
        <w:jc w:val="both"/>
        <w:rPr>
          <w:rFonts w:hint="eastAsia" w:ascii="仿宋" w:hAnsi="仿宋" w:cs="仿宋"/>
          <w:color w:val="auto"/>
          <w:sz w:val="32"/>
          <w:szCs w:val="32"/>
        </w:rPr>
      </w:pPr>
      <w:bookmarkStart w:id="348" w:name="heading_6"/>
      <w:r>
        <w:rPr>
          <w:rFonts w:hint="eastAsia" w:ascii="仿宋" w:hAnsi="仿宋" w:cs="仿宋"/>
          <w:color w:val="auto"/>
          <w:sz w:val="32"/>
          <w:szCs w:val="32"/>
        </w:rPr>
        <w:t>（一）深化非遗研究保护，推动项目提质升级</w:t>
      </w:r>
      <w:bookmarkEnd w:id="34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加强非物质文化遗产挖掘、保护与开发的系统性研究，梳理辖区内非遗资源脉络，推动非遗项目逐级申报、提级保护，提升项目知名度和影响力，争取更多上级财政支持。</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引导民间艺术家协会等社团组织，以弘扬优秀客家传统文化为主题，开展非遗研究和实践活动，提升非遗项目保护理论研究水平，推动非遗成果与市场活力有效转化，坚持以利用促保护、以保护促发展，让非遗资源成为文旅发展的重要支撑。对濒危项目实施“抢救性记录+活态传承”双轨并进模式。建设非遗项目数字档案库，实现非遗数字化率100%。</w:t>
      </w:r>
    </w:p>
    <w:p>
      <w:pPr>
        <w:pStyle w:val="5"/>
        <w:widowControl/>
        <w:spacing w:before="78" w:after="78"/>
        <w:jc w:val="both"/>
        <w:rPr>
          <w:rFonts w:hint="eastAsia" w:ascii="仿宋" w:hAnsi="仿宋" w:cs="仿宋"/>
          <w:color w:val="auto"/>
          <w:sz w:val="32"/>
          <w:szCs w:val="32"/>
        </w:rPr>
      </w:pPr>
      <w:bookmarkStart w:id="349" w:name="heading_7"/>
      <w:r>
        <w:rPr>
          <w:rFonts w:hint="eastAsia" w:ascii="仿宋" w:hAnsi="仿宋" w:cs="仿宋"/>
          <w:color w:val="auto"/>
          <w:sz w:val="32"/>
          <w:szCs w:val="32"/>
        </w:rPr>
        <w:t>（二）加强传承人才培育，夯实非遗传承根基</w:t>
      </w:r>
      <w:bookmarkEnd w:id="349"/>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构建完善的非遗传承人才培养体系，加强对专业人才和民间文化传承人的教育培训，优化非遗代表性传承人四级名录体系，打造梯次合理、有序有力的传承队伍。</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研究制定更为完善的非遗传承人激励政策，为传承人提供技能培训、法律咨询、社会保障等全方位支持，鼓励传承人坚守传承初心、推动技艺创新。新增市、区非遗传承人3-5名，健全职称评审和激励机制，提高艺术人才待遇保障水平，激发人才创新创造活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深入开展“非遗进校园”“非遗进社区”活动，推动传统传承方式与现代教育体系相结合，营造全社会共同保护传承传统文化的良好氛围，提升非遗对年轻群体的吸引力，推动客家非遗薪火相传。</w:t>
      </w:r>
    </w:p>
    <w:p>
      <w:pPr>
        <w:pStyle w:val="5"/>
        <w:widowControl/>
        <w:spacing w:before="78" w:after="78"/>
        <w:jc w:val="both"/>
        <w:rPr>
          <w:rFonts w:hint="eastAsia" w:ascii="仿宋" w:hAnsi="仿宋" w:cs="仿宋"/>
          <w:color w:val="auto"/>
          <w:sz w:val="32"/>
          <w:szCs w:val="32"/>
        </w:rPr>
      </w:pPr>
      <w:bookmarkStart w:id="350" w:name="heading_8"/>
      <w:r>
        <w:rPr>
          <w:rFonts w:hint="eastAsia" w:ascii="仿宋" w:hAnsi="仿宋" w:cs="仿宋"/>
          <w:color w:val="auto"/>
          <w:sz w:val="32"/>
          <w:szCs w:val="32"/>
        </w:rPr>
        <w:t>（三）推动非遗赋能乡村，激活乡村发展动能</w:t>
      </w:r>
      <w:bookmarkEnd w:id="350"/>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以非遗工坊、非遗综合性传习中心、非遗传习所建设为抓手，带动村民传承传统技艺，并推动技艺与现代设计深度融合，开发兼具地域特色和市场吸引力的文创产品、特色手信，拓宽村民增收渠道。</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推动非遗IP授权文创产品开发，采取销售分成或“传承人+企业”等多种合作模式，建立非遗项目与文创企业授权合作机制，指导非遗项目授权，引入文化企业，由企业主导产品开发、品牌建设和市场推广，实现非遗资源创造性转化、创新性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以非遗为核心打造乡村旅游品牌，结合松口镇、雁洋镇等特色村镇建设，举办传统节庆活动、非遗展演等特色活动，吸引游客体验客家民俗文化，带动乡村餐饮、住宿、农产品销售等相关产业发展。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依托非遗传承中的匠人精神和传统智慧，涵养文明乡风，增强村民文化认同感和归属感，为乡村振兴注入持续的精神动力与文化活力，助力丙雁松片区农文旅融合发展省级试点建设。</w:t>
      </w:r>
    </w:p>
    <w:p>
      <w:pPr>
        <w:pStyle w:val="5"/>
        <w:widowControl/>
        <w:spacing w:before="78" w:after="78"/>
        <w:jc w:val="both"/>
        <w:rPr>
          <w:rFonts w:hint="eastAsia" w:ascii="仿宋" w:hAnsi="仿宋" w:cs="仿宋"/>
          <w:color w:val="auto"/>
          <w:sz w:val="32"/>
          <w:szCs w:val="32"/>
        </w:rPr>
      </w:pPr>
      <w:bookmarkStart w:id="351" w:name="heading_9"/>
      <w:r>
        <w:rPr>
          <w:rFonts w:hint="eastAsia" w:ascii="仿宋" w:hAnsi="仿宋" w:cs="仿宋"/>
          <w:color w:val="auto"/>
          <w:sz w:val="32"/>
          <w:szCs w:val="32"/>
        </w:rPr>
        <w:t>（四）促进非遗文旅融合，打造特色体验场景</w:t>
      </w:r>
      <w:bookmarkEnd w:id="35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充分利用旅游景区、古镇古迹、田园风光等空间载体，整合闲置资源资产，与本地非遗项目进行“点对点”或“一对多”深度合作，常态化开展非遗展演、互动体验、展示展销等活动，打造非遗主题小镇、特色村落、乡村景区，推动传统生产生活方式向文化旅游产业服务转型。</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重点在松口镇打造客家文化活态传承体验</w:t>
      </w:r>
      <w:bookmarkStart w:id="352" w:name="OLE_LINK39"/>
      <w:r>
        <w:rPr>
          <w:rFonts w:hint="eastAsia" w:ascii="仿宋_GB2312" w:hAnsi="方正仿宋_GB2312" w:eastAsia="仿宋_GB2312" w:cs="方正仿宋_GB2312"/>
          <w:sz w:val="32"/>
          <w:szCs w:val="32"/>
        </w:rPr>
        <w:t>示范点</w:t>
      </w:r>
      <w:bookmarkEnd w:id="352"/>
      <w:r>
        <w:rPr>
          <w:rFonts w:hint="eastAsia" w:ascii="仿宋_GB2312" w:hAnsi="方正仿宋_GB2312" w:eastAsia="仿宋_GB2312" w:cs="方正仿宋_GB2312"/>
          <w:sz w:val="32"/>
          <w:szCs w:val="32"/>
        </w:rPr>
        <w:t>，深度融合“演艺+旅游+非遗美食+文创”四大维度，形成观演、体验、消费闭环。将示范点纳入梅州文旅核心线路，加强与旅行社合作，推出非遗主题旅游线路，推动“非遗进景区”走深走实，提升文旅融合体验感。</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Times New Roman" w:hAnsi="Times New Roman"/>
              </w:rPr>
              <w:t>专栏3  文化传承高质量发展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30"/>
              <w:numPr>
                <w:ilvl w:val="0"/>
                <w:numId w:val="2"/>
              </w:numPr>
              <w:spacing w:line="360" w:lineRule="auto"/>
              <w:ind w:firstLineChars="0"/>
              <w:rPr>
                <w:b/>
                <w:bCs/>
                <w:sz w:val="24"/>
                <w:szCs w:val="24"/>
              </w:rPr>
            </w:pPr>
            <w:r>
              <w:rPr>
                <w:rFonts w:hint="eastAsia"/>
                <w:b/>
                <w:bCs/>
                <w:sz w:val="24"/>
                <w:szCs w:val="24"/>
              </w:rPr>
              <w:t>文化生态保护区工程：</w:t>
            </w:r>
          </w:p>
          <w:p>
            <w:pPr>
              <w:spacing w:line="360" w:lineRule="auto"/>
              <w:ind w:left="482"/>
              <w:rPr>
                <w:sz w:val="24"/>
                <w:szCs w:val="24"/>
              </w:rPr>
            </w:pPr>
            <w:r>
              <w:rPr>
                <w:sz w:val="24"/>
                <w:szCs w:val="24"/>
              </w:rPr>
              <w:t>每年至少开展1场特色品牌活动</w:t>
            </w:r>
          </w:p>
          <w:p>
            <w:pPr>
              <w:spacing w:line="360" w:lineRule="auto"/>
              <w:ind w:firstLine="482"/>
              <w:rPr>
                <w:b/>
                <w:bCs/>
                <w:sz w:val="24"/>
                <w:szCs w:val="24"/>
              </w:rPr>
            </w:pPr>
            <w:r>
              <w:rPr>
                <w:rFonts w:hint="eastAsia"/>
                <w:b/>
                <w:bCs/>
                <w:sz w:val="24"/>
                <w:szCs w:val="24"/>
              </w:rPr>
              <w:t>2.非遗文化传承工程：</w:t>
            </w:r>
          </w:p>
          <w:p>
            <w:pPr>
              <w:spacing w:line="360" w:lineRule="auto"/>
              <w:ind w:left="482"/>
              <w:rPr>
                <w:sz w:val="24"/>
                <w:szCs w:val="24"/>
              </w:rPr>
            </w:pPr>
            <w:r>
              <w:rPr>
                <w:rFonts w:hint="eastAsia"/>
                <w:sz w:val="24"/>
                <w:szCs w:val="24"/>
              </w:rPr>
              <w:t>在松口镇打造客家文化活态传承示范点；</w:t>
            </w:r>
          </w:p>
          <w:p>
            <w:pPr>
              <w:spacing w:line="360" w:lineRule="auto"/>
              <w:ind w:left="482"/>
              <w:rPr>
                <w:sz w:val="24"/>
                <w:szCs w:val="24"/>
              </w:rPr>
            </w:pPr>
            <w:r>
              <w:rPr>
                <w:rFonts w:hint="eastAsia"/>
                <w:sz w:val="24"/>
                <w:szCs w:val="24"/>
              </w:rPr>
              <w:t>新增市、区非遗传承人3-5名，申报省级非遗代表性传承人2人；</w:t>
            </w:r>
          </w:p>
          <w:p>
            <w:pPr>
              <w:spacing w:line="360" w:lineRule="auto"/>
              <w:ind w:left="482"/>
              <w:rPr>
                <w:sz w:val="24"/>
                <w:szCs w:val="24"/>
              </w:rPr>
            </w:pPr>
            <w:r>
              <w:rPr>
                <w:sz w:val="24"/>
                <w:szCs w:val="24"/>
              </w:rPr>
              <w:t>申报省级非遗项目2项（梅县白渡牛肉干制作技艺、足球运动）</w:t>
            </w:r>
            <w:r>
              <w:rPr>
                <w:rFonts w:hint="eastAsia"/>
                <w:sz w:val="24"/>
                <w:szCs w:val="24"/>
              </w:rPr>
              <w:t>；</w:t>
            </w:r>
          </w:p>
          <w:p>
            <w:pPr>
              <w:spacing w:line="360" w:lineRule="auto"/>
              <w:ind w:left="482"/>
              <w:rPr>
                <w:sz w:val="24"/>
                <w:szCs w:val="24"/>
              </w:rPr>
            </w:pPr>
            <w:r>
              <w:rPr>
                <w:sz w:val="24"/>
                <w:szCs w:val="24"/>
              </w:rPr>
              <w:t>培育2家非遗工坊</w:t>
            </w:r>
            <w:r>
              <w:rPr>
                <w:rFonts w:hint="eastAsia"/>
                <w:sz w:val="24"/>
                <w:szCs w:val="24"/>
              </w:rPr>
              <w:t>；</w:t>
            </w:r>
          </w:p>
          <w:p>
            <w:pPr>
              <w:spacing w:line="360" w:lineRule="auto"/>
              <w:ind w:left="482"/>
              <w:rPr>
                <w:sz w:val="24"/>
                <w:szCs w:val="24"/>
              </w:rPr>
            </w:pPr>
            <w:r>
              <w:rPr>
                <w:rFonts w:hint="eastAsia"/>
                <w:sz w:val="24"/>
                <w:szCs w:val="24"/>
              </w:rPr>
              <w:t>培育1处非遗综合性传习中心；</w:t>
            </w:r>
          </w:p>
          <w:p>
            <w:pPr>
              <w:spacing w:line="360" w:lineRule="auto"/>
              <w:ind w:left="482"/>
              <w:rPr>
                <w:sz w:val="24"/>
                <w:szCs w:val="24"/>
              </w:rPr>
            </w:pPr>
            <w:r>
              <w:rPr>
                <w:rFonts w:hint="eastAsia"/>
                <w:sz w:val="24"/>
                <w:szCs w:val="24"/>
              </w:rPr>
              <w:t>培育4处非遗传习所；</w:t>
            </w:r>
          </w:p>
        </w:tc>
      </w:tr>
    </w:tbl>
    <w:p/>
    <w:p>
      <w:pPr>
        <w:pStyle w:val="4"/>
        <w:adjustRightInd w:val="0"/>
        <w:snapToGrid w:val="0"/>
        <w:spacing w:before="234" w:beforeLines="75"/>
        <w:jc w:val="both"/>
        <w:rPr>
          <w:rFonts w:hint="eastAsia" w:ascii="黑体" w:hAnsi="黑体"/>
          <w:color w:val="auto"/>
        </w:rPr>
      </w:pPr>
      <w:bookmarkStart w:id="353" w:name="_Toc19138"/>
      <w:bookmarkStart w:id="354" w:name="_Toc15636"/>
      <w:bookmarkStart w:id="355" w:name="_Toc865"/>
      <w:bookmarkStart w:id="356" w:name="_Toc19672"/>
      <w:bookmarkStart w:id="357" w:name="_Toc233396467"/>
      <w:bookmarkStart w:id="358" w:name="_Toc9802"/>
      <w:bookmarkStart w:id="359" w:name="_Toc27682"/>
      <w:bookmarkStart w:id="360" w:name="_Toc233399977"/>
      <w:bookmarkStart w:id="361" w:name="_Toc235696657"/>
      <w:bookmarkStart w:id="362" w:name="_Toc233399586"/>
      <w:bookmarkStart w:id="363" w:name="_Toc29036"/>
      <w:r>
        <w:rPr>
          <w:rFonts w:hint="eastAsia" w:ascii="黑体" w:hAnsi="黑体"/>
          <w:color w:val="auto"/>
        </w:rPr>
        <w:t>三、聚焦艺术创作，激活市场活力</w:t>
      </w:r>
      <w:bookmarkEnd w:id="353"/>
      <w:r>
        <w:rPr>
          <w:rFonts w:hint="eastAsia" w:ascii="黑体" w:hAnsi="黑体"/>
          <w:color w:val="auto"/>
        </w:rPr>
        <w:t>，提升文旅服务效能</w:t>
      </w:r>
      <w:bookmarkEnd w:id="354"/>
      <w:bookmarkEnd w:id="355"/>
      <w:bookmarkEnd w:id="356"/>
      <w:bookmarkEnd w:id="357"/>
      <w:bookmarkEnd w:id="358"/>
      <w:bookmarkEnd w:id="359"/>
      <w:bookmarkEnd w:id="360"/>
      <w:bookmarkEnd w:id="361"/>
      <w:bookmarkEnd w:id="362"/>
      <w:bookmarkEnd w:id="363"/>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以人民为中心的创作导向，聚焦客家文化、苏区红色文化，实施文艺精品创作工程，完善人才培养体系，深化文化体制改革，提升文化服务效能，培育壮大文旅市场主体，推动文旅产业提质增效，放大文化艺术“梅州现象”在梅县区的实践成效。</w:t>
      </w:r>
    </w:p>
    <w:p>
      <w:pPr>
        <w:pStyle w:val="5"/>
        <w:widowControl/>
        <w:spacing w:before="78" w:after="78"/>
        <w:jc w:val="both"/>
        <w:rPr>
          <w:rFonts w:hint="eastAsia" w:ascii="仿宋" w:hAnsi="仿宋" w:cs="仿宋"/>
          <w:color w:val="auto"/>
          <w:sz w:val="32"/>
          <w:szCs w:val="32"/>
        </w:rPr>
      </w:pPr>
      <w:bookmarkStart w:id="364" w:name="heading_11"/>
      <w:r>
        <w:rPr>
          <w:rFonts w:hint="eastAsia" w:ascii="仿宋" w:hAnsi="仿宋" w:cs="仿宋"/>
          <w:color w:val="auto"/>
          <w:sz w:val="32"/>
          <w:szCs w:val="32"/>
        </w:rPr>
        <w:t>（一）实施文艺精品创作工程，打造客家文化标杆</w:t>
      </w:r>
      <w:bookmarkEnd w:id="36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时代精神和客家文化特色，重点打造《“废物”秀才》等2-3部原创剧目，加快推进客家山歌剧《“废物”秀才》创排工作，积极备战第十六届广东省艺术节，以登上国家大剧院舞台为目标，精心打磨作品内涵，打造彰显梅县特色、传承客家文脉、展现时代风貌的精品力作。营造良好文化生态，提升文化原创能力，制定常态化创作计划，每年创排1-2部中小型剧目，“十五五”期间累计创排新品10部以上。</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加强采风调研，组织文艺工作者深入基层、深入群众，深挖客家文化、苏区红色文化资源，提升作品的思想性、艺术性和观赏性，推动客家山歌剧、木偶戏等传统艺术形式创新发展。</w:t>
      </w:r>
    </w:p>
    <w:p>
      <w:pPr>
        <w:pStyle w:val="5"/>
        <w:widowControl/>
        <w:spacing w:before="78" w:after="78"/>
        <w:jc w:val="both"/>
        <w:rPr>
          <w:rFonts w:hint="eastAsia" w:ascii="仿宋" w:hAnsi="仿宋" w:cs="仿宋"/>
          <w:color w:val="auto"/>
          <w:sz w:val="32"/>
          <w:szCs w:val="32"/>
        </w:rPr>
      </w:pPr>
      <w:bookmarkStart w:id="365" w:name="heading_13"/>
      <w:r>
        <w:rPr>
          <w:rFonts w:hint="eastAsia" w:ascii="仿宋" w:hAnsi="仿宋" w:cs="仿宋"/>
          <w:color w:val="auto"/>
          <w:sz w:val="32"/>
          <w:szCs w:val="32"/>
        </w:rPr>
        <w:t>（二）提升文化服务效能，丰富群众精神文化生活</w:t>
      </w:r>
      <w:bookmarkEnd w:id="36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以人民为中心，深化“文艺六进”（进社区、进农村、进校园、进企业、进机关、进军营）活动，丰富活动形式、提升活动质量，年均开展惠民演出80场以上，让群众在家门口享受高质量文化服务。依托松口镇客家文化非遗传承示范点等，定制特色专场演出，结合春节、中秋等传统节假日及文化和遗产自然日，设计非遗主题嘉年华活动，丰富群众节日文化生活，提升群众文化获得感和幸福感。</w:t>
      </w:r>
    </w:p>
    <w:p>
      <w:pPr>
        <w:pStyle w:val="5"/>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（三）</w:t>
      </w:r>
      <w:r>
        <w:rPr>
          <w:rFonts w:ascii="仿宋" w:hAnsi="仿宋" w:cs="仿宋"/>
          <w:color w:val="auto"/>
          <w:sz w:val="32"/>
          <w:szCs w:val="32"/>
        </w:rPr>
        <w:t>繁荣演艺文旅融合业态</w:t>
      </w:r>
      <w:r>
        <w:rPr>
          <w:rFonts w:hint="eastAsia" w:ascii="仿宋" w:hAnsi="仿宋" w:cs="仿宋"/>
          <w:color w:val="auto"/>
          <w:sz w:val="32"/>
          <w:szCs w:val="32"/>
        </w:rPr>
        <w:t>，创新表演形式</w:t>
      </w:r>
    </w:p>
    <w:p>
      <w:pPr>
        <w:spacing w:line="560" w:lineRule="exact"/>
        <w:ind w:firstLine="640" w:firstLineChars="200"/>
      </w:pPr>
      <w:r>
        <w:rPr>
          <w:rFonts w:hint="eastAsia" w:ascii="仿宋_GB2312" w:hAnsi="方正仿宋_GB2312" w:eastAsia="仿宋_GB2312" w:cs="方正仿宋_GB2312"/>
          <w:sz w:val="32"/>
          <w:szCs w:val="32"/>
        </w:rPr>
        <w:t>支持文艺院团组建市场化主体，在雁南飞、叶剑英纪念馆、南福金柚基地等重点景区建设“一剧一主题”小剧场；联合携程、美团等平台及旅行社、酒店，推出“演出+住宿+景区”联票，开发沉浸式互动、妆造体验、非遗手作等衍生产品，形成“白天游景点、晚上看演出”消费模式。</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Times New Roman" w:hAnsi="Times New Roman"/>
              </w:rPr>
              <w:t>专栏4  繁荣文艺创作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rPr>
                <w:sz w:val="24"/>
                <w:szCs w:val="24"/>
              </w:rPr>
            </w:pPr>
            <w:r>
              <w:rPr>
                <w:b/>
                <w:bCs/>
                <w:sz w:val="24"/>
                <w:szCs w:val="24"/>
              </w:rPr>
              <w:t>1.</w:t>
            </w:r>
            <w:r>
              <w:rPr>
                <w:rFonts w:hint="eastAsia"/>
                <w:b/>
                <w:bCs/>
                <w:sz w:val="24"/>
                <w:szCs w:val="24"/>
              </w:rPr>
              <w:t>文艺精品创作：</w:t>
            </w:r>
            <w:r>
              <w:rPr>
                <w:rFonts w:hint="eastAsia"/>
                <w:sz w:val="24"/>
                <w:szCs w:val="24"/>
              </w:rPr>
              <w:t>重点打造《“废物”秀才》等</w:t>
            </w:r>
            <w:r>
              <w:rPr>
                <w:sz w:val="24"/>
                <w:szCs w:val="24"/>
              </w:rPr>
              <w:t>2-3</w:t>
            </w:r>
            <w:r>
              <w:rPr>
                <w:rFonts w:hint="eastAsia"/>
                <w:sz w:val="24"/>
                <w:szCs w:val="24"/>
              </w:rPr>
              <w:t>部原创剧目，参加第十六届广东省艺术节；移植打磨提升提线木偶戏《小沙弥下山》；每年创排</w:t>
            </w:r>
            <w:r>
              <w:rPr>
                <w:sz w:val="24"/>
                <w:szCs w:val="24"/>
              </w:rPr>
              <w:t>1-2</w:t>
            </w:r>
            <w:r>
              <w:rPr>
                <w:rFonts w:hint="eastAsia"/>
                <w:sz w:val="24"/>
                <w:szCs w:val="24"/>
              </w:rPr>
              <w:t>部中小型剧目</w:t>
            </w:r>
            <w:r>
              <w:rPr>
                <w:sz w:val="24"/>
                <w:szCs w:val="24"/>
              </w:rPr>
              <w:t>。</w:t>
            </w:r>
          </w:p>
          <w:p>
            <w:pPr>
              <w:spacing w:line="360" w:lineRule="auto"/>
              <w:ind w:firstLine="480"/>
              <w:rPr>
                <w:sz w:val="24"/>
                <w:szCs w:val="24"/>
              </w:rPr>
            </w:pPr>
            <w:r>
              <w:rPr>
                <w:rFonts w:hint="eastAsia"/>
                <w:b/>
                <w:bCs/>
                <w:sz w:val="24"/>
                <w:szCs w:val="24"/>
              </w:rPr>
              <w:t>2.文化惠民演出：</w:t>
            </w:r>
            <w:r>
              <w:rPr>
                <w:rFonts w:hint="eastAsia"/>
                <w:sz w:val="24"/>
                <w:szCs w:val="24"/>
              </w:rPr>
              <w:t>丰富活动形式，年均开展惠民演出80场以上。</w:t>
            </w:r>
          </w:p>
          <w:p>
            <w:pPr>
              <w:spacing w:line="360" w:lineRule="auto"/>
              <w:ind w:firstLine="480"/>
              <w:rPr>
                <w:sz w:val="24"/>
                <w:szCs w:val="24"/>
              </w:rPr>
            </w:pPr>
            <w:r>
              <w:rPr>
                <w:rFonts w:hint="eastAsia"/>
                <w:sz w:val="24"/>
                <w:szCs w:val="24"/>
              </w:rPr>
              <w:t>3.</w:t>
            </w:r>
            <w:r>
              <w:rPr>
                <w:b/>
                <w:bCs/>
                <w:sz w:val="24"/>
                <w:szCs w:val="28"/>
              </w:rPr>
              <w:t xml:space="preserve"> 推广驻演小剧场：</w:t>
            </w:r>
            <w:r>
              <w:rPr>
                <w:rFonts w:hint="eastAsia"/>
                <w:sz w:val="24"/>
                <w:szCs w:val="24"/>
              </w:rPr>
              <w:t>在雁南飞、叶剑英纪念馆、南福金柚基地等</w:t>
            </w:r>
            <w:r>
              <w:rPr>
                <w:sz w:val="24"/>
                <w:szCs w:val="24"/>
              </w:rPr>
              <w:t>重点景区</w:t>
            </w:r>
            <w:r>
              <w:rPr>
                <w:sz w:val="24"/>
                <w:szCs w:val="28"/>
              </w:rPr>
              <w:t>探索小剧场演艺经济</w:t>
            </w:r>
            <w:r>
              <w:rPr>
                <w:rFonts w:hint="eastAsia"/>
                <w:sz w:val="24"/>
                <w:szCs w:val="28"/>
              </w:rPr>
              <w:t>，打造1-2处示范点。</w:t>
            </w:r>
          </w:p>
        </w:tc>
      </w:tr>
    </w:tbl>
    <w:p>
      <w:pPr>
        <w:widowControl/>
        <w:rPr>
          <w:rFonts w:hint="eastAsia" w:ascii="楷体" w:hAnsi="楷体" w:eastAsia="楷体"/>
          <w:bCs/>
          <w:sz w:val="36"/>
          <w:szCs w:val="36"/>
          <w:highlight w:val="lightGray"/>
        </w:rPr>
      </w:pPr>
    </w:p>
    <w:p>
      <w:pPr>
        <w:pStyle w:val="3"/>
        <w:snapToGrid w:val="0"/>
        <w:spacing w:before="312" w:after="312"/>
        <w:jc w:val="both"/>
        <w:rPr>
          <w:rFonts w:hint="eastAsia" w:ascii="楷体" w:hAnsi="楷体"/>
          <w:color w:val="auto"/>
          <w:szCs w:val="36"/>
        </w:rPr>
      </w:pPr>
      <w:bookmarkStart w:id="366" w:name="_Toc235696658"/>
      <w:r>
        <w:rPr>
          <w:rFonts w:hint="eastAsia" w:ascii="黑体" w:hAnsi="黑体"/>
          <w:color w:val="auto"/>
        </w:rPr>
        <w:t>第二节</w:t>
      </w:r>
      <w:r>
        <w:rPr>
          <w:rFonts w:hint="eastAsia" w:ascii="楷体" w:hAnsi="楷体"/>
          <w:color w:val="auto"/>
          <w:szCs w:val="36"/>
        </w:rPr>
        <w:t xml:space="preserve"> </w:t>
      </w:r>
      <w:bookmarkStart w:id="367" w:name="_Toc6641"/>
      <w:bookmarkStart w:id="368" w:name="_Toc14949"/>
      <w:bookmarkStart w:id="369" w:name="_Toc11561"/>
      <w:bookmarkStart w:id="370" w:name="_Toc11411"/>
      <w:bookmarkStart w:id="371" w:name="_Toc15594"/>
      <w:bookmarkStart w:id="372" w:name="_Toc32268"/>
      <w:bookmarkStart w:id="373" w:name="_Toc1909"/>
      <w:r>
        <w:rPr>
          <w:rFonts w:hint="eastAsia" w:ascii="楷体" w:hAnsi="楷体"/>
          <w:color w:val="auto"/>
          <w:szCs w:val="36"/>
        </w:rPr>
        <w:t>做强客家特色旅游产业，打造粤闽赣边文旅目的地</w:t>
      </w:r>
      <w:bookmarkEnd w:id="366"/>
      <w:bookmarkEnd w:id="367"/>
      <w:bookmarkEnd w:id="368"/>
      <w:bookmarkEnd w:id="369"/>
      <w:bookmarkEnd w:id="370"/>
      <w:bookmarkEnd w:id="371"/>
      <w:bookmarkEnd w:id="372"/>
      <w:bookmarkEnd w:id="373"/>
    </w:p>
    <w:p>
      <w:pPr>
        <w:pStyle w:val="4"/>
        <w:adjustRightInd w:val="0"/>
        <w:snapToGrid w:val="0"/>
        <w:spacing w:before="234" w:beforeLines="75"/>
        <w:jc w:val="both"/>
        <w:rPr>
          <w:rFonts w:hint="eastAsia" w:ascii="黑体" w:hAnsi="黑体"/>
          <w:color w:val="auto"/>
        </w:rPr>
      </w:pPr>
      <w:bookmarkStart w:id="374" w:name="_Toc24224"/>
      <w:bookmarkStart w:id="375" w:name="_Toc233399979"/>
      <w:bookmarkStart w:id="376" w:name="_Toc19874"/>
      <w:bookmarkStart w:id="377" w:name="_Toc233396469"/>
      <w:bookmarkStart w:id="378" w:name="_Toc1749"/>
      <w:bookmarkStart w:id="379" w:name="_Toc1530"/>
      <w:bookmarkStart w:id="380" w:name="_Toc4132"/>
      <w:bookmarkStart w:id="381" w:name="_Toc17593"/>
      <w:bookmarkStart w:id="382" w:name="_Toc233399588"/>
      <w:bookmarkStart w:id="383" w:name="_Toc235696659"/>
      <w:r>
        <w:rPr>
          <w:rFonts w:hint="eastAsia" w:ascii="黑体" w:hAnsi="黑体"/>
          <w:color w:val="auto"/>
        </w:rPr>
        <w:t>一、盘活存量，推进旅游景区品质与住宿品牌提档升级</w:t>
      </w:r>
      <w:bookmarkEnd w:id="374"/>
      <w:bookmarkEnd w:id="375"/>
      <w:bookmarkEnd w:id="376"/>
      <w:bookmarkEnd w:id="377"/>
      <w:bookmarkEnd w:id="378"/>
      <w:bookmarkEnd w:id="379"/>
      <w:bookmarkEnd w:id="380"/>
      <w:bookmarkEnd w:id="381"/>
      <w:bookmarkEnd w:id="382"/>
      <w:bookmarkEnd w:id="383"/>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着力培育高等级旅游景区，全面推进A级旅游景区提质升级，力争到2030年，3A级及以上旅游景区数量达到10家。完善多层次住宿服务体系，提升现有星级饭店接待服务质量；培育一批高品质乡村酒店、乡村民宿；力争到2030年，国家级旅游民宿达到3家、广东省等级乡村旅游酒店2家、广东省等级乡村旅游民宿4家。重点打造松口横东民宿村，推动康养型、研学型、度假型、乡村型住宿产品多元化发展，满足不同群体消费需求。</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夯实雁南飞茶田景区、雁山湖国际花园度假区、灵光寺旅游区、南寿峰旅游景区、麓湖山文化产业园等老牌景区基础，鼓励其开发深度体验型、高端定制型、主题特色型产品，做精做细旅游体验。支持有条件的景区实施夜间灯光亮化、灯光演艺项目，开放夜间文旅业态，培育房车露营、户外休闲等新型消费场景，丰富旅游产品供给。</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继续推动松口历史文化名镇保护提升项目，完善松口古镇停车场、旅游厕所、智慧旅游系统等配套设施。持续推进松口防洪堤、东部快线三标段、雁洋雁归来现代农业展馆、丙村现代农业“三产”融合示范基地等项目建设，激活乡村经济活力。跟进阴那山樱花园改造提升，优化旅游配套设施。</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支持通过轻资产运营提升资源利用效率，盘活客都人家、大观天下等利用不够高效的文旅资源，鼓励客都人家、大观天下通过出租、参股、物业管理等形式，形成开放式城镇街区，以客都人家内寻麓间和梅花湾壹号民宿、大观天下内三舍·花间慢民宿为引领，形成系列化的民宿集聚地。</w:t>
      </w:r>
    </w:p>
    <w:p>
      <w:pPr>
        <w:pStyle w:val="4"/>
        <w:adjustRightInd w:val="0"/>
        <w:snapToGrid w:val="0"/>
        <w:spacing w:before="234" w:beforeLines="75"/>
        <w:jc w:val="both"/>
        <w:rPr>
          <w:rFonts w:hint="eastAsia" w:ascii="黑体" w:hAnsi="黑体"/>
          <w:color w:val="auto"/>
        </w:rPr>
      </w:pPr>
      <w:bookmarkStart w:id="384" w:name="_Toc20784"/>
      <w:bookmarkStart w:id="385" w:name="_Toc8161"/>
      <w:bookmarkStart w:id="386" w:name="_Toc233396470"/>
      <w:bookmarkStart w:id="387" w:name="_Toc8543"/>
      <w:bookmarkStart w:id="388" w:name="_Toc25452"/>
      <w:bookmarkStart w:id="389" w:name="_Toc233399980"/>
      <w:bookmarkStart w:id="390" w:name="_Toc4585"/>
      <w:bookmarkStart w:id="391" w:name="_Toc233399589"/>
      <w:bookmarkStart w:id="392" w:name="_Toc12569"/>
      <w:bookmarkStart w:id="393" w:name="_Toc235696660"/>
      <w:r>
        <w:rPr>
          <w:rFonts w:hint="eastAsia" w:ascii="黑体" w:hAnsi="黑体"/>
          <w:color w:val="auto"/>
        </w:rPr>
        <w:t>二、做优增量，培育优质旅游项目创新开发</w:t>
      </w:r>
      <w:bookmarkEnd w:id="384"/>
      <w:bookmarkEnd w:id="385"/>
      <w:bookmarkEnd w:id="386"/>
      <w:bookmarkEnd w:id="387"/>
      <w:bookmarkEnd w:id="388"/>
      <w:bookmarkEnd w:id="389"/>
      <w:bookmarkEnd w:id="390"/>
      <w:bookmarkEnd w:id="391"/>
      <w:bookmarkEnd w:id="392"/>
      <w:bookmarkEnd w:id="393"/>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聚焦核心文旅资源激活，培育一批具有引领性、标志性的新型文旅龙头项目，补齐产品供给短板，拓展文旅发展新空间，增强梅县区文旅产业的吸引力和辐射力。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筛选条件成熟的乡村，积极申报广东省文化和旅游特色村，推动乡村文旅融合发展。孵化1处文旅主题符号鲜明、文化创意体验丰富、旅游消费业态合理的省级旅游休闲街区，打造文旅消费集聚高地。</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支持社会资本参与文旅项目建设，加快推进梅桂山生态旅游综艺园等重点项目落地实施。针对旅游产品供给短板，积极引入高水平主题公园、动物园等娱乐类主题项目，丰富文旅产品类型。提前储备一批大型引流龙头项目，为梅县区“十五五”文旅产业持续发展注入强劲动力。</w:t>
      </w:r>
    </w:p>
    <w:tbl>
      <w:tblPr>
        <w:tblStyle w:val="22"/>
        <w:tblW w:w="84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19" w:type="dxa"/>
          </w:tcPr>
          <w:p>
            <w:pPr>
              <w:pStyle w:val="37"/>
              <w:numPr>
                <w:ilvl w:val="0"/>
                <w:numId w:val="0"/>
              </w:numPr>
              <w:rPr>
                <w:rFonts w:hint="eastAsia" w:ascii="方正仿宋_GB2312" w:hAnsi="方正仿宋_GB2312" w:eastAsia="方正仿宋_GB2312" w:cs="方正仿宋_GB2312"/>
                <w:szCs w:val="30"/>
              </w:rPr>
            </w:pPr>
            <w:r>
              <w:rPr>
                <w:rFonts w:hint="eastAsia" w:ascii="Times New Roman" w:hAnsi="Times New Roman"/>
              </w:rPr>
              <w:t>专栏5  重点旅游吸引物培育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8419" w:type="dxa"/>
          </w:tcPr>
          <w:p>
            <w:pPr>
              <w:spacing w:line="360" w:lineRule="auto"/>
              <w:ind w:firstLine="482"/>
              <w:rPr>
                <w:sz w:val="24"/>
                <w:szCs w:val="24"/>
              </w:rPr>
            </w:pPr>
            <w:r>
              <w:rPr>
                <w:rFonts w:hint="eastAsia"/>
                <w:b/>
                <w:bCs/>
                <w:sz w:val="24"/>
                <w:szCs w:val="24"/>
              </w:rPr>
              <w:t>1.广东省文化和旅游特色村：</w:t>
            </w:r>
            <w:r>
              <w:rPr>
                <w:rFonts w:hint="eastAsia"/>
                <w:sz w:val="24"/>
                <w:szCs w:val="24"/>
              </w:rPr>
              <w:t>松口横东村、南口侨乡村</w:t>
            </w:r>
          </w:p>
          <w:p>
            <w:pPr>
              <w:spacing w:line="360" w:lineRule="auto"/>
              <w:ind w:firstLine="482"/>
              <w:rPr>
                <w:sz w:val="24"/>
                <w:szCs w:val="24"/>
              </w:rPr>
            </w:pPr>
            <w:r>
              <w:rPr>
                <w:rFonts w:hint="eastAsia"/>
                <w:b/>
                <w:bCs/>
                <w:sz w:val="24"/>
                <w:szCs w:val="24"/>
              </w:rPr>
              <w:t>2.省级旅游休闲街区：</w:t>
            </w:r>
            <w:r>
              <w:rPr>
                <w:rFonts w:hint="eastAsia"/>
                <w:sz w:val="24"/>
                <w:szCs w:val="24"/>
              </w:rPr>
              <w:t>松口古街</w:t>
            </w:r>
          </w:p>
          <w:p>
            <w:pPr>
              <w:spacing w:line="360" w:lineRule="auto"/>
              <w:ind w:firstLine="482"/>
              <w:rPr>
                <w:b/>
                <w:bCs/>
                <w:sz w:val="24"/>
                <w:szCs w:val="24"/>
              </w:rPr>
            </w:pPr>
            <w:r>
              <w:rPr>
                <w:rFonts w:hint="eastAsia"/>
                <w:b/>
                <w:bCs/>
                <w:sz w:val="24"/>
                <w:szCs w:val="24"/>
              </w:rPr>
              <w:t>3.国家4A级旅游景区：</w:t>
            </w:r>
            <w:r>
              <w:rPr>
                <w:rFonts w:hint="eastAsia"/>
                <w:sz w:val="24"/>
                <w:szCs w:val="24"/>
              </w:rPr>
              <w:t>松口古镇旅游区、麓湖山旅游区、</w:t>
            </w:r>
            <w:bookmarkStart w:id="394" w:name="OLE_LINK16"/>
            <w:r>
              <w:rPr>
                <w:rFonts w:hint="eastAsia"/>
                <w:sz w:val="24"/>
                <w:szCs w:val="24"/>
              </w:rPr>
              <w:t>南福金柚种植基地</w:t>
            </w:r>
            <w:bookmarkEnd w:id="394"/>
          </w:p>
          <w:p>
            <w:pPr>
              <w:spacing w:line="360" w:lineRule="auto"/>
              <w:ind w:firstLine="482"/>
              <w:rPr>
                <w:sz w:val="24"/>
                <w:szCs w:val="24"/>
              </w:rPr>
            </w:pPr>
            <w:r>
              <w:rPr>
                <w:rFonts w:hint="eastAsia"/>
                <w:b/>
                <w:bCs/>
                <w:sz w:val="24"/>
                <w:szCs w:val="24"/>
              </w:rPr>
              <w:t>4.国家3A级旅游景区：</w:t>
            </w:r>
            <w:r>
              <w:rPr>
                <w:rFonts w:hint="eastAsia"/>
                <w:sz w:val="24"/>
                <w:szCs w:val="24"/>
              </w:rPr>
              <w:t>白沙村旅游区、九龙嶂革命根据地旧址旅游区、松源镇中央九月来信红色旅游区、潮塘古梅</w:t>
            </w:r>
          </w:p>
          <w:p>
            <w:pPr>
              <w:spacing w:line="360" w:lineRule="auto"/>
              <w:ind w:firstLine="482"/>
              <w:rPr>
                <w:sz w:val="24"/>
                <w:szCs w:val="24"/>
              </w:rPr>
            </w:pPr>
            <w:r>
              <w:rPr>
                <w:rFonts w:hint="eastAsia"/>
                <w:b/>
                <w:bCs/>
                <w:sz w:val="24"/>
                <w:szCs w:val="24"/>
              </w:rPr>
              <w:t>5.国家级旅游度假区：</w:t>
            </w:r>
            <w:r>
              <w:rPr>
                <w:rFonts w:hint="eastAsia"/>
                <w:sz w:val="24"/>
                <w:szCs w:val="24"/>
              </w:rPr>
              <w:t>梅州市雁洋国际慢城旅游度假区</w:t>
            </w:r>
          </w:p>
          <w:p>
            <w:pPr>
              <w:spacing w:line="360" w:lineRule="auto"/>
              <w:ind w:firstLine="482"/>
              <w:rPr>
                <w:sz w:val="24"/>
                <w:szCs w:val="24"/>
              </w:rPr>
            </w:pPr>
            <w:r>
              <w:rPr>
                <w:rFonts w:hint="eastAsia"/>
                <w:b/>
                <w:bCs/>
                <w:sz w:val="24"/>
                <w:szCs w:val="24"/>
              </w:rPr>
              <w:t>6.国家级旅游民宿：</w:t>
            </w:r>
            <w:r>
              <w:rPr>
                <w:rFonts w:hint="eastAsia"/>
                <w:sz w:val="24"/>
                <w:szCs w:val="24"/>
              </w:rPr>
              <w:t>松口印象民宿、花间慢民宿</w:t>
            </w:r>
          </w:p>
          <w:p>
            <w:pPr>
              <w:spacing w:line="360" w:lineRule="auto"/>
              <w:ind w:firstLine="482"/>
              <w:rPr>
                <w:sz w:val="24"/>
                <w:szCs w:val="24"/>
              </w:rPr>
            </w:pPr>
            <w:r>
              <w:rPr>
                <w:rFonts w:hint="eastAsia"/>
                <w:b/>
                <w:bCs/>
                <w:sz w:val="24"/>
                <w:szCs w:val="24"/>
              </w:rPr>
              <w:t>7.广东省等级乡村酒店：</w:t>
            </w:r>
            <w:r>
              <w:rPr>
                <w:rFonts w:hint="eastAsia"/>
                <w:sz w:val="24"/>
                <w:szCs w:val="24"/>
              </w:rPr>
              <w:t>围龙大酒店、麓湖山酒店</w:t>
            </w:r>
          </w:p>
          <w:p>
            <w:pPr>
              <w:spacing w:line="360" w:lineRule="auto"/>
              <w:ind w:firstLine="482"/>
              <w:rPr>
                <w:sz w:val="24"/>
                <w:szCs w:val="24"/>
              </w:rPr>
            </w:pPr>
            <w:r>
              <w:rPr>
                <w:rFonts w:hint="eastAsia"/>
                <w:b/>
                <w:bCs/>
                <w:sz w:val="24"/>
                <w:szCs w:val="24"/>
              </w:rPr>
              <w:t>8.广东省等级乡村民宿：</w:t>
            </w:r>
            <w:r>
              <w:rPr>
                <w:rFonts w:hint="eastAsia"/>
                <w:sz w:val="24"/>
                <w:szCs w:val="24"/>
              </w:rPr>
              <w:t>松口印象、寻麓间精品民宿</w:t>
            </w:r>
          </w:p>
          <w:p>
            <w:pPr>
              <w:spacing w:line="360" w:lineRule="auto"/>
              <w:ind w:firstLine="482"/>
              <w:rPr>
                <w:sz w:val="24"/>
                <w:szCs w:val="24"/>
              </w:rPr>
            </w:pPr>
            <w:r>
              <w:rPr>
                <w:rFonts w:hint="eastAsia"/>
                <w:b/>
                <w:bCs/>
                <w:sz w:val="24"/>
                <w:szCs w:val="24"/>
              </w:rPr>
              <w:t>9. 民宿集群：</w:t>
            </w:r>
            <w:r>
              <w:rPr>
                <w:rFonts w:hint="eastAsia"/>
                <w:sz w:val="24"/>
                <w:szCs w:val="24"/>
              </w:rPr>
              <w:t>客都人家民宿集群、松口古镇民宿集群</w:t>
            </w:r>
          </w:p>
        </w:tc>
      </w:tr>
    </w:tbl>
    <w:p>
      <w:pPr>
        <w:pStyle w:val="4"/>
        <w:adjustRightInd w:val="0"/>
        <w:snapToGrid w:val="0"/>
        <w:spacing w:before="234" w:beforeLines="75"/>
        <w:jc w:val="both"/>
        <w:rPr>
          <w:rFonts w:hint="eastAsia" w:ascii="黑体" w:hAnsi="黑体"/>
          <w:color w:val="auto"/>
        </w:rPr>
      </w:pPr>
      <w:bookmarkStart w:id="395" w:name="_Toc17111"/>
      <w:bookmarkStart w:id="396" w:name="_Toc233399590"/>
      <w:bookmarkStart w:id="397" w:name="_Toc28449"/>
      <w:bookmarkStart w:id="398" w:name="_Toc13035"/>
      <w:bookmarkStart w:id="399" w:name="_Toc21714"/>
      <w:bookmarkStart w:id="400" w:name="_Toc233399981"/>
      <w:bookmarkStart w:id="401" w:name="_Toc233396471"/>
      <w:bookmarkStart w:id="402" w:name="_Toc340"/>
      <w:bookmarkStart w:id="403" w:name="_Toc21027"/>
      <w:bookmarkStart w:id="404" w:name="_Toc235696661"/>
      <w:r>
        <w:rPr>
          <w:rFonts w:hint="eastAsia" w:ascii="黑体" w:hAnsi="黑体"/>
          <w:color w:val="auto"/>
        </w:rPr>
        <w:t>三、完善配套，提升梅县区文旅综合竞争力</w:t>
      </w:r>
      <w:bookmarkEnd w:id="395"/>
      <w:bookmarkEnd w:id="396"/>
      <w:bookmarkEnd w:id="397"/>
      <w:bookmarkEnd w:id="398"/>
      <w:bookmarkEnd w:id="399"/>
      <w:bookmarkEnd w:id="400"/>
      <w:bookmarkEnd w:id="401"/>
      <w:bookmarkEnd w:id="402"/>
      <w:bookmarkEnd w:id="403"/>
      <w:bookmarkEnd w:id="40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推动公共文化服务与旅游公共服务深度融合，实现“以文塑旅、以旅彰文”，让公共服务既满足本地群众生活需求，又适配游客游览体验，提升梅县区文旅综合竞争力。</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（一）完善旅游公共服务基础设施</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实施旅游厕所质量提升项目，优化旅游厕所布局、提升设施标准，实现旅游景区、交通沿线、乡村旅游点等区域旅游厕所全覆盖、标准化、人性化。推动旅游景区公共服务质量升级，完善景区导览标识、休息设施、便民服务中心等配套，提升景区公共服务精细化水平，为游客提供便捷、舒适的游览环境。</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（二）推动文化设施与旅游服务融合</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打破文化和旅游设施壁垒，引导旅游发展基础较好的乡村基层公共文化场馆、新型文化空间，增设旅游咨询台、景区导览、旅游商品展示等旅游服务项目，实现“一场多用、一馆多能”。推动图书馆、文化馆、文化综合体等公共文化设施融入旅游线路，打造文化旅游打卡点、非遗活动示范点，让游客在感受公共文化魅力的同时，便捷获取旅游服务。</w:t>
      </w:r>
    </w:p>
    <w:p>
      <w:pPr>
        <w:spacing w:line="560" w:lineRule="exact"/>
        <w:ind w:firstLine="640" w:firstLineChars="200"/>
        <w:rPr>
          <w:rFonts w:hint="eastAsia" w:ascii="仿宋_GB2312" w:hAnsi="方正仿宋_GB2312" w:eastAsia="仿宋_GB2312" w:cs="方正仿宋_GB2312"/>
          <w:color w:val="000000" w:themeColor="text1"/>
          <w:sz w:val="32"/>
          <w:szCs w:val="32"/>
          <w14:textFill>
            <w14:solidFill>
              <w14:schemeClr w14:val="tx1"/>
            </w14:solidFill>
          </w14:textFill>
        </w:rPr>
      </w:pPr>
      <w:r>
        <w:rPr>
          <w:rFonts w:hint="eastAsia" w:ascii="仿宋_GB2312" w:hAnsi="方正仿宋_GB2312" w:eastAsia="仿宋_GB2312" w:cs="方正仿宋_GB2312"/>
          <w:sz w:val="32"/>
          <w:szCs w:val="32"/>
        </w:rPr>
        <w:t>打造“小而暖”粤游驿站或旅游服务中心。在旅游公路、绿道、碧道、古驿道等道路沿线布局建设一批功能温馨、服务便民的“小而暖”粤游驿站，执行全省统一的标识与认定标准，推动文旅、交旅、农旅、体旅深度融合发展。</w:t>
      </w:r>
      <w:r>
        <w:rPr>
          <w:rFonts w:hint="eastAsia" w:ascii="仿宋_GB2312" w:hAnsi="方正仿宋_GB2312" w:eastAsia="仿宋_GB2312" w:cs="方正仿宋_GB2312"/>
          <w:color w:val="000000" w:themeColor="text1"/>
          <w:sz w:val="32"/>
          <w:szCs w:val="32"/>
          <w14:textFill>
            <w14:solidFill>
              <w14:schemeClr w14:val="tx1"/>
            </w14:solidFill>
          </w14:textFill>
        </w:rPr>
        <w:t>力争建设2处以上粤游驿站或旅游服务中心。</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（三）强化旅游公共服务文化内涵</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挖掘梅县区红色文化、客家文化、非遗文化等特色元素，将其融入各级旅游服务中心建筑设计、室内装饰、宣传品设计等各个方面，打造具有梅县区特色的旅游公共服务场景。在交通枢纽、景区入口、游客服务中心等区域，设置文化展示墙、非遗展演点、客家文化宣传屏等，让游客在游览全过程中感受梅县文化底蕴，推动公共服务从“实用型”向“体验型”转变，助力居游一体落地见效。</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ind w:left="640"/>
              <w:rPr>
                <w:rFonts w:ascii="Times New Roman" w:hAnsi="Times New Roman"/>
              </w:rPr>
            </w:pPr>
            <w:r>
              <w:rPr>
                <w:rFonts w:hint="eastAsia" w:ascii="Times New Roman" w:hAnsi="Times New Roman"/>
              </w:rPr>
              <w:t>专栏6   提升</w:t>
            </w:r>
            <w:r>
              <w:rPr>
                <w:rFonts w:ascii="Times New Roman" w:hAnsi="Times New Roman"/>
              </w:rPr>
              <w:t>旅游公共服务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rPr>
                <w:b/>
                <w:sz w:val="24"/>
                <w:szCs w:val="28"/>
              </w:rPr>
            </w:pPr>
            <w:r>
              <w:rPr>
                <w:b/>
                <w:sz w:val="24"/>
                <w:szCs w:val="28"/>
              </w:rPr>
              <w:t>1.</w:t>
            </w:r>
            <w:r>
              <w:rPr>
                <w:rFonts w:hint="eastAsia"/>
                <w:b/>
                <w:sz w:val="24"/>
                <w:szCs w:val="28"/>
              </w:rPr>
              <w:t>旅游厕所：</w:t>
            </w:r>
            <w:r>
              <w:rPr>
                <w:bCs/>
                <w:sz w:val="24"/>
                <w:szCs w:val="28"/>
              </w:rPr>
              <w:t>3A</w:t>
            </w:r>
            <w:r>
              <w:rPr>
                <w:rFonts w:hint="eastAsia"/>
                <w:bCs/>
                <w:sz w:val="24"/>
                <w:szCs w:val="28"/>
              </w:rPr>
              <w:t>级及以上旅游景区Ⅱ类旅游厕所覆盖率进一步提高，力争每年新增Ⅰ类旅游厕所</w:t>
            </w:r>
            <w:r>
              <w:rPr>
                <w:bCs/>
                <w:sz w:val="24"/>
                <w:szCs w:val="28"/>
              </w:rPr>
              <w:t>1</w:t>
            </w:r>
            <w:r>
              <w:rPr>
                <w:rFonts w:hint="eastAsia"/>
                <w:bCs/>
                <w:sz w:val="24"/>
                <w:szCs w:val="28"/>
              </w:rPr>
              <w:t>座，Ⅱ类旅游厕所</w:t>
            </w:r>
            <w:r>
              <w:rPr>
                <w:bCs/>
                <w:sz w:val="24"/>
                <w:szCs w:val="28"/>
              </w:rPr>
              <w:t>2</w:t>
            </w:r>
            <w:r>
              <w:rPr>
                <w:rFonts w:hint="eastAsia"/>
                <w:bCs/>
                <w:sz w:val="24"/>
                <w:szCs w:val="28"/>
              </w:rPr>
              <w:t>座</w:t>
            </w:r>
            <w:r>
              <w:rPr>
                <w:rFonts w:hint="eastAsia"/>
                <w:sz w:val="24"/>
                <w:szCs w:val="24"/>
              </w:rPr>
              <w:t>。</w:t>
            </w:r>
          </w:p>
          <w:p>
            <w:pPr>
              <w:spacing w:line="360" w:lineRule="auto"/>
              <w:ind w:firstLine="482"/>
              <w:rPr>
                <w:b/>
                <w:sz w:val="24"/>
                <w:szCs w:val="28"/>
              </w:rPr>
            </w:pPr>
            <w:r>
              <w:rPr>
                <w:b/>
                <w:sz w:val="24"/>
                <w:szCs w:val="28"/>
              </w:rPr>
              <w:t>2.粤游驿站：</w:t>
            </w:r>
            <w:r>
              <w:rPr>
                <w:rFonts w:hint="eastAsia"/>
                <w:sz w:val="24"/>
                <w:szCs w:val="24"/>
              </w:rPr>
              <w:t>力争</w:t>
            </w:r>
            <w:r>
              <w:rPr>
                <w:sz w:val="24"/>
                <w:szCs w:val="24"/>
              </w:rPr>
              <w:t>建设</w:t>
            </w:r>
            <w:r>
              <w:rPr>
                <w:rFonts w:hint="eastAsia"/>
                <w:sz w:val="24"/>
                <w:szCs w:val="24"/>
              </w:rPr>
              <w:t>2处以上粤游驿站或旅游服务中心</w:t>
            </w:r>
            <w:r>
              <w:rPr>
                <w:bCs/>
                <w:sz w:val="24"/>
                <w:szCs w:val="28"/>
              </w:rPr>
              <w:t>。</w:t>
            </w:r>
          </w:p>
        </w:tc>
      </w:tr>
    </w:tbl>
    <w:p>
      <w:pPr>
        <w:widowControl/>
        <w:rPr>
          <w:rFonts w:hint="eastAsia" w:ascii="黑体" w:hAnsi="黑体" w:eastAsia="楷体"/>
          <w:bCs/>
          <w:sz w:val="36"/>
          <w:szCs w:val="32"/>
        </w:rPr>
      </w:pPr>
      <w:bookmarkStart w:id="405" w:name="_Toc12481"/>
      <w:bookmarkStart w:id="406" w:name="_Toc14913"/>
      <w:bookmarkStart w:id="407" w:name="_Toc11637"/>
      <w:bookmarkStart w:id="408" w:name="_Toc32322"/>
      <w:bookmarkStart w:id="409" w:name="_Toc8202"/>
      <w:bookmarkStart w:id="410" w:name="_Toc28419"/>
      <w:bookmarkStart w:id="411" w:name="_Toc17096"/>
      <w:r>
        <w:rPr>
          <w:rFonts w:hint="eastAsia" w:ascii="黑体" w:hAnsi="黑体"/>
        </w:rPr>
        <w:br w:type="page"/>
      </w:r>
    </w:p>
    <w:p>
      <w:pPr>
        <w:pStyle w:val="3"/>
        <w:snapToGrid w:val="0"/>
        <w:spacing w:before="312" w:after="312"/>
        <w:ind w:left="420"/>
        <w:jc w:val="both"/>
        <w:rPr>
          <w:rFonts w:hint="eastAsia" w:ascii="黑体" w:hAnsi="黑体"/>
          <w:color w:val="auto"/>
        </w:rPr>
      </w:pPr>
      <w:bookmarkStart w:id="412" w:name="_Toc235696662"/>
      <w:r>
        <w:rPr>
          <w:rFonts w:hint="eastAsia" w:ascii="黑体" w:hAnsi="黑体"/>
          <w:color w:val="auto"/>
        </w:rPr>
        <w:t>第三节 深化跨界业态融合，激活产品发展内生动力</w:t>
      </w:r>
      <w:bookmarkEnd w:id="405"/>
      <w:bookmarkEnd w:id="406"/>
      <w:bookmarkEnd w:id="407"/>
      <w:bookmarkEnd w:id="408"/>
      <w:bookmarkEnd w:id="409"/>
      <w:bookmarkEnd w:id="410"/>
      <w:bookmarkEnd w:id="411"/>
      <w:bookmarkEnd w:id="412"/>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立足梅州原中央苏区县、革命老区定位及生态、农业、文化优势，打破单一业态两两融合模式，以旅游为核心，推动红色、康养、农业、研学、非遗、文创、餐饮等相关业态融合，整合资源、完善产品、延伸链条，打造综合型旅游目的地，带动旅游产业提质，助力乡村振兴、生态保护与文化传承。</w:t>
      </w:r>
    </w:p>
    <w:p>
      <w:pPr>
        <w:pStyle w:val="4"/>
        <w:adjustRightInd w:val="0"/>
        <w:snapToGrid w:val="0"/>
        <w:spacing w:before="234" w:beforeLines="75"/>
        <w:jc w:val="both"/>
        <w:rPr>
          <w:rFonts w:hint="eastAsia" w:ascii="黑体" w:hAnsi="黑体"/>
          <w:color w:val="auto"/>
        </w:rPr>
      </w:pPr>
      <w:bookmarkStart w:id="413" w:name="_Toc233399983"/>
      <w:bookmarkStart w:id="414" w:name="_Toc233396473"/>
      <w:bookmarkStart w:id="415" w:name="_Toc27015"/>
      <w:bookmarkStart w:id="416" w:name="_Toc5639"/>
      <w:bookmarkStart w:id="417" w:name="_Toc233399592"/>
      <w:bookmarkStart w:id="418" w:name="_Toc20856"/>
      <w:bookmarkStart w:id="419" w:name="_Toc13862"/>
      <w:bookmarkStart w:id="420" w:name="_Toc14531"/>
      <w:bookmarkStart w:id="421" w:name="_Toc3256"/>
      <w:bookmarkStart w:id="422" w:name="_Toc235696663"/>
      <w:r>
        <w:rPr>
          <w:rFonts w:hint="eastAsia" w:ascii="黑体" w:hAnsi="黑体"/>
          <w:color w:val="auto"/>
        </w:rPr>
        <w:t>一、红研农养融合，赋能乡村振兴</w:t>
      </w:r>
      <w:bookmarkEnd w:id="413"/>
      <w:bookmarkEnd w:id="414"/>
      <w:bookmarkEnd w:id="415"/>
      <w:bookmarkEnd w:id="416"/>
      <w:bookmarkEnd w:id="417"/>
      <w:bookmarkEnd w:id="418"/>
      <w:bookmarkEnd w:id="419"/>
      <w:bookmarkEnd w:id="420"/>
      <w:bookmarkEnd w:id="421"/>
      <w:bookmarkEnd w:id="422"/>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针对梅县区文旅产业发展薄弱片区，紧抓中央苏区和革命老区振兴战略机遇，争取国家、省市资金支持，积极挖掘红色革命遗址价值，以红色IP为引领，联动研学、农业、康养业态。</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松源同怀别墅及红四军前委机关驻地遗址群，整合周边农业、生态资源，完善研学配套，建设研学实践教育营地，拓展红色研学、培训产业链，打造闽粤赣军旅研学中心，争取红色旅游融合发展示范区品牌，通过红色引擎驱动偏远山区发展，推动红色资源转化为乡村振兴动能。</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整合梅南镇水美村、九龙村红色场馆资源，将九龙嶂革命根据地连片打造与美丽乡村建设同步推进，保护革命遗址、营造红色氛围，打造九龙嶂革命教育基地。整合红色资源与客家建筑、民俗、特色农业，指导红色资源丰富的乡村完善红色教育场所与陈列布展，发展创意、景观、休闲农业，延伸农事、农业研学产品，配套康养设施，提升旅游智慧化水平，增强旅游带动效益。</w:t>
      </w:r>
    </w:p>
    <w:p>
      <w:pPr>
        <w:pStyle w:val="4"/>
        <w:adjustRightInd w:val="0"/>
        <w:snapToGrid w:val="0"/>
        <w:spacing w:before="234" w:beforeLines="75"/>
        <w:jc w:val="both"/>
        <w:rPr>
          <w:rFonts w:hint="eastAsia" w:ascii="黑体" w:hAnsi="黑体"/>
          <w:color w:val="auto"/>
        </w:rPr>
      </w:pPr>
      <w:bookmarkStart w:id="423" w:name="_Toc1269"/>
      <w:bookmarkStart w:id="424" w:name="_Toc25230"/>
      <w:bookmarkStart w:id="425" w:name="_Toc235696664"/>
      <w:bookmarkStart w:id="426" w:name="_Toc233399593"/>
      <w:bookmarkStart w:id="427" w:name="_Toc11200"/>
      <w:bookmarkStart w:id="428" w:name="_Toc233396474"/>
      <w:bookmarkStart w:id="429" w:name="_Toc7356"/>
      <w:bookmarkStart w:id="430" w:name="_Toc233399984"/>
      <w:bookmarkStart w:id="431" w:name="_Toc15611"/>
      <w:bookmarkStart w:id="432" w:name="_Toc16582"/>
      <w:r>
        <w:rPr>
          <w:rFonts w:hint="eastAsia" w:ascii="黑体" w:hAnsi="黑体"/>
          <w:color w:val="auto"/>
        </w:rPr>
        <w:t>二、康养农文融合，打造度假高地</w:t>
      </w:r>
      <w:bookmarkEnd w:id="423"/>
      <w:bookmarkEnd w:id="424"/>
      <w:bookmarkEnd w:id="425"/>
      <w:bookmarkEnd w:id="426"/>
      <w:bookmarkEnd w:id="427"/>
      <w:bookmarkEnd w:id="428"/>
      <w:bookmarkEnd w:id="429"/>
      <w:bookmarkEnd w:id="430"/>
      <w:bookmarkEnd w:id="431"/>
      <w:bookmarkEnd w:id="432"/>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依托粤东北山区生态资源，以康养度假为核心，联动农业、非遗、文创、餐饮业态，转化森林、山地、温泉等生态优势，打造生态康养度假高地，融入粤港澳大湾区文旅市场。</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整合雁洋阴那山、雁南飞、雁山湖等核心资源，植入康养设施，推动传统景区向康养度假转型，联动周边茶田、樱花园等农业景观，打造综合目的地。依托雁南飞茶田等资源，结合茶叶种植、花卉观赏，开发茶疗养生、田园康养、自然研学产品，推动农业与康养、研学融合。</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着力提升南福金柚种植基地，探索发展“柚子+旅游”“柚子+教育”“柚子+饮食”等“柚子+”新业态，推动农文旅养深度融合，使其成为梅县区金柚产业融合示范典范。以叶剑英纪念园、南福金柚种植基地等为依托，串联生态观光（雁南飞等）、客家文化（松口古镇等）类特色旅游景点，打造以“红+绿+古+金”为特色的乡村旅游精品路线。</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推动南寿峰旅游景区依托南药优势，整合南药种植、加工、科普与客家文化、自然山水，发展中医药疗养、南药体验、康养度假业态，开发南药研学课程、非遗文创产品。发挥麓湖山文化产业园优势，开发山地运动、露营度假产品，配套康养服务，打造综合度假基地。指导大坪镇依托水资源、温泉资源，开发温泉康养产品，联动周边农业资源，配套客家餐饮、民宿，完善产业链。</w:t>
      </w:r>
    </w:p>
    <w:p>
      <w:pPr>
        <w:spacing w:line="560" w:lineRule="exact"/>
        <w:ind w:firstLine="640" w:firstLineChars="200"/>
        <w:rPr>
          <w:rFonts w:hint="eastAsia" w:ascii="仿宋_GB2312" w:hAnsi="方正仿宋_GB2312" w:eastAsia="仿宋_GB2312" w:cs="方正仿宋_GB2312"/>
          <w:sz w:val="32"/>
          <w:szCs w:val="32"/>
        </w:rPr>
      </w:pPr>
      <w:bookmarkStart w:id="433" w:name="OLE_LINK3"/>
      <w:r>
        <w:rPr>
          <w:rFonts w:hint="eastAsia" w:ascii="仿宋_GB2312" w:hAnsi="方正仿宋_GB2312" w:eastAsia="仿宋_GB2312" w:cs="方正仿宋_GB2312"/>
          <w:sz w:val="32"/>
          <w:szCs w:val="32"/>
        </w:rPr>
        <w:t>锚定“南洋海丝路·客侨第一镇”战略定位，</w:t>
      </w:r>
      <w:bookmarkEnd w:id="433"/>
      <w:r>
        <w:rPr>
          <w:rFonts w:hint="eastAsia" w:ascii="仿宋_GB2312" w:hAnsi="方正仿宋_GB2312" w:eastAsia="仿宋_GB2312" w:cs="方正仿宋_GB2312"/>
          <w:sz w:val="32"/>
          <w:szCs w:val="32"/>
        </w:rPr>
        <w:t>抢抓中铁广投助力机遇，持续推进松口镇历史文化名镇保护提升项目。深度挖掘松口镇作为客家人下南洋第一站、世界客侨“海上丝绸之路”始发地的文化价值，强化客侨文化品牌建设，持续举办“请到中国·松口过大年”等特色节事活动，彰显古镇文化底蕴和节日魅力。依托古镇古街资源，融合传统民俗、现代创意、灯光演绎，开发沉浸式、行进式夜游线路；依托梅江水系，打造水系旅游产品和精品航线，谋划跨县域水上旅游线路，构建独具梅州特色的山水画廊，充分释放千年客侨古镇“古民居+侨文化+水经济”的发展潜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立足阴那山核心旅游资源，以“客家名人圣山”的品牌定位统领阴那山品牌建设，探索解决运营主体缺乏、生态保护红线限制、地理位置偏僻等开发困境。系统梳理和包装环阴那山片区政界、军界、文化界名人资源，策划举办“名人朝圣”主题研讨会、专题展览等活动，打造特色历史文化游径，彰显区域人文底蕴。鼓励围绕名人IP链接社会资源，孵化公益文化品牌和文化合作项目，推动名人文化和旅游产业深度融合，打造具有辨识度的文旅IP。</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狠抓丙雁松片区农文旅融合发展省级试点重点落实丙雁松农文旅试点建设，推动松口古镇项目建设，打响 “南洋海丝路·客侨第一镇”文旅品牌。培育一批全国乡村旅游重点村、省级文化和旅游特色镇（村）。</w:t>
      </w:r>
    </w:p>
    <w:p>
      <w:pPr>
        <w:pStyle w:val="4"/>
        <w:adjustRightInd w:val="0"/>
        <w:snapToGrid w:val="0"/>
        <w:spacing w:before="234" w:beforeLines="75"/>
        <w:jc w:val="both"/>
        <w:rPr>
          <w:rFonts w:hint="eastAsia" w:ascii="黑体" w:hAnsi="黑体"/>
        </w:rPr>
      </w:pPr>
      <w:bookmarkStart w:id="434" w:name="_Toc235696665"/>
      <w:bookmarkStart w:id="435" w:name="_Toc233399985"/>
      <w:bookmarkStart w:id="436" w:name="_Toc22341"/>
      <w:bookmarkStart w:id="437" w:name="_Toc233396475"/>
      <w:bookmarkStart w:id="438" w:name="_Toc24596"/>
      <w:bookmarkStart w:id="439" w:name="_Toc5682"/>
      <w:bookmarkStart w:id="440" w:name="_Toc4403"/>
      <w:bookmarkStart w:id="441" w:name="_Toc1556"/>
      <w:bookmarkStart w:id="442" w:name="_Toc233399594"/>
      <w:bookmarkStart w:id="443" w:name="_Toc11537"/>
      <w:r>
        <w:rPr>
          <w:rFonts w:hint="eastAsia" w:ascii="黑体" w:hAnsi="黑体"/>
          <w:color w:val="auto"/>
        </w:rPr>
        <w:t>三、</w:t>
      </w:r>
      <w:r>
        <w:rPr>
          <w:rFonts w:hint="eastAsia" w:ascii="微软雅黑" w:hAnsi="微软雅黑" w:eastAsia="微软雅黑"/>
        </w:rPr>
        <w:t>农文旅体融合，</w:t>
      </w:r>
      <w:r>
        <w:rPr>
          <w:rFonts w:hint="eastAsia" w:ascii="黑体" w:hAnsi="黑体"/>
          <w:color w:val="auto"/>
        </w:rPr>
        <w:t>培育融合发展新业态</w:t>
      </w:r>
      <w:bookmarkEnd w:id="43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全域农文旅融合发展优势，整合乡村生态、田园农业、山水廊道、乡村风貌等优质资源，适度融入休闲体育、健康运动元素，构建多元一体的农文旅体融合产品体系，丰富乡村旅游业态，培育全域融合发展新标杆。</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丙雁松示范带”为依托，重点打造环阴那山户外综合体育目的地，按照“规划引领、项目带动、设施先行、活动推动”的原则，构建串联叶剑英纪念园、雁山湖、金柚公园、松口古镇等核心节点的沿线绿道景观、田园风光、乡村节点、生态廊道等，深度挖掘乡村农业与生态旅游价值，大力发展乡村观光、田园休闲、乡村度假、生态旅居等核心业态。结合乡村山水绿道资源，配套开发徒步漫游、田园慢行、自驾露营、绿道休闲等轻运动体验项目，将休闲体育融入乡村游玩全过程，丰富乡村文旅体验内容，提升乡村旅游趣味性与参与感。</w:t>
      </w:r>
    </w:p>
    <w:p>
      <w:pPr>
        <w:pStyle w:val="4"/>
        <w:adjustRightInd w:val="0"/>
        <w:snapToGrid w:val="0"/>
        <w:spacing w:before="234" w:beforeLines="75"/>
        <w:jc w:val="both"/>
        <w:rPr>
          <w:rFonts w:hint="eastAsia" w:ascii="黑体" w:hAnsi="黑体"/>
          <w:color w:val="auto"/>
        </w:rPr>
      </w:pPr>
      <w:bookmarkStart w:id="444" w:name="_Toc235696666"/>
      <w:r>
        <w:rPr>
          <w:rFonts w:hint="eastAsia" w:ascii="黑体" w:hAnsi="黑体"/>
          <w:color w:val="auto"/>
        </w:rPr>
        <w:t>四、研学生态融合，拓宽市场空间</w:t>
      </w:r>
      <w:bookmarkEnd w:id="435"/>
      <w:bookmarkEnd w:id="436"/>
      <w:bookmarkEnd w:id="437"/>
      <w:bookmarkEnd w:id="438"/>
      <w:bookmarkEnd w:id="439"/>
      <w:bookmarkEnd w:id="440"/>
      <w:bookmarkEnd w:id="441"/>
      <w:bookmarkEnd w:id="442"/>
      <w:bookmarkEnd w:id="443"/>
      <w:bookmarkEnd w:id="44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依托研学旅游热潮，整合红色、自然、非遗、农业、康养资源，构建多元研学产品体系，拓宽研学市场，打造区域性研学标杆。</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依托叶剑英纪念园、九龙嶂革命斗争纪念馆等红色资源，开发沉浸式红色教育课程与“</w:t>
      </w:r>
      <w:bookmarkStart w:id="445" w:name="OLE_LINK8"/>
      <w:r>
        <w:rPr>
          <w:rFonts w:hint="eastAsia" w:ascii="仿宋_GB2312" w:hAnsi="方正仿宋_GB2312" w:eastAsia="仿宋_GB2312" w:cs="方正仿宋_GB2312"/>
          <w:sz w:val="32"/>
          <w:szCs w:val="32"/>
        </w:rPr>
        <w:t>红色研学</w:t>
      </w:r>
      <w:bookmarkEnd w:id="445"/>
      <w:r>
        <w:rPr>
          <w:rFonts w:hint="eastAsia" w:ascii="仿宋_GB2312" w:hAnsi="方正仿宋_GB2312" w:eastAsia="仿宋_GB2312" w:cs="方正仿宋_GB2312"/>
          <w:sz w:val="32"/>
          <w:szCs w:val="32"/>
        </w:rPr>
        <w:t>+军旅体验”产品，通过“文物微党课”等形式强化教育效果。依托雁南飞、南寿峰、南福金柚基地等生态资源，结合农业种植、中医药科普等，打造研学基地，开发农事体验、自然观测、中医药研学等产品。联动非遗保护单位与传承人，开发非遗工艺、山歌、木偶制作等研学产品，融入美食、文创体验。</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巩固中小学生研学主体市场，推出职业规划、专业实践类研学产品覆盖大学生，开发亲子研学产品覆盖学龄前儿童。完善研学配套，联动农业、餐饮、文创、住宿业态，提供一站式服务，推动研学与各业态深度绑定、协同增收。</w:t>
      </w:r>
    </w:p>
    <w:p>
      <w:pPr>
        <w:pStyle w:val="4"/>
        <w:adjustRightInd w:val="0"/>
        <w:snapToGrid w:val="0"/>
        <w:spacing w:before="234" w:beforeLines="75"/>
        <w:jc w:val="both"/>
        <w:rPr>
          <w:rFonts w:hint="eastAsia" w:ascii="黑体" w:hAnsi="黑体"/>
          <w:color w:val="auto"/>
        </w:rPr>
      </w:pPr>
      <w:bookmarkStart w:id="446" w:name="_Toc20675"/>
      <w:bookmarkStart w:id="447" w:name="_Toc233399986"/>
      <w:bookmarkStart w:id="448" w:name="_Toc5065"/>
      <w:bookmarkStart w:id="449" w:name="_Toc233399595"/>
      <w:bookmarkStart w:id="450" w:name="_Toc233396476"/>
      <w:bookmarkStart w:id="451" w:name="_Toc31258"/>
      <w:bookmarkStart w:id="452" w:name="_Toc6794"/>
      <w:bookmarkStart w:id="453" w:name="_Toc14254"/>
      <w:bookmarkStart w:id="454" w:name="_Toc27441"/>
      <w:bookmarkStart w:id="455" w:name="_Toc235696667"/>
      <w:r>
        <w:rPr>
          <w:rFonts w:hint="eastAsia" w:ascii="黑体" w:hAnsi="黑体"/>
          <w:color w:val="auto"/>
        </w:rPr>
        <w:t>五、非遗文创餐饮融合，促进客家文化特色消费</w:t>
      </w:r>
      <w:bookmarkEnd w:id="446"/>
      <w:bookmarkEnd w:id="447"/>
      <w:bookmarkEnd w:id="448"/>
      <w:bookmarkEnd w:id="449"/>
      <w:bookmarkEnd w:id="450"/>
      <w:bookmarkEnd w:id="451"/>
      <w:bookmarkEnd w:id="452"/>
      <w:bookmarkEnd w:id="453"/>
      <w:bookmarkEnd w:id="454"/>
      <w:bookmarkEnd w:id="45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推动非遗、文创、餐饮业态融合，嵌入各类旅游场景，激活旅游消费，彰显客家特色。</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将客家美食、工艺美术、民俗表演等非遗元素融入旅游产品设计、景区运营、住宿服务。推动A级旅游景区与山歌剧团、木偶剧团合作，打造非遗剧场，推出沉浸式表演；打造非遗休闲街区、民宿、体验工坊，谋划非遗精品旅游线路。联动研学、康养、农业业态，开发非遗研学课程，结合田园康养、农事体验丰富非遗展示场景。</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完善“细柚家族”IP体系，推出衍生角色与动画、漫画等产品，推动其与文创、乡土特产、旅游商品融合，</w:t>
      </w:r>
      <w:bookmarkStart w:id="456" w:name="OLE_LINK9"/>
      <w:r>
        <w:rPr>
          <w:rFonts w:hint="eastAsia" w:ascii="仿宋_GB2312" w:hAnsi="方正仿宋_GB2312" w:eastAsia="仿宋_GB2312" w:cs="方正仿宋_GB2312"/>
          <w:sz w:val="32"/>
          <w:szCs w:val="32"/>
        </w:rPr>
        <w:t>培育“梅县手信”品牌</w:t>
      </w:r>
      <w:bookmarkEnd w:id="456"/>
      <w:r>
        <w:rPr>
          <w:rFonts w:hint="eastAsia" w:ascii="仿宋_GB2312" w:hAnsi="方正仿宋_GB2312" w:eastAsia="仿宋_GB2312" w:cs="方正仿宋_GB2312"/>
          <w:sz w:val="32"/>
          <w:szCs w:val="32"/>
        </w:rPr>
        <w:t>。推动客家娘酒、畲江手工艺品、梅县金柚等转化升级为旅游手信，加强创意设计，组织参与全国、全省旅游商品大赛，借鉴石桥村经验推动文创产品规模化发展。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发挥梅县区美食协会作用，推动客家美食、非遗餐饮、中医养生药膳与旅游融合。在现有各个餐饮机构推出“梅州柚子宴”的基础上，推动重点文旅企业结合金柚、蜜柚丰收季，持续推出“梅州柚子宴”，提升梅州美食品牌影响力。打造客家美食主题餐厅、落日餐厅，开发夜间餐饮旅游产品；推动景区、星级酒店推出客家婚宴、成年礼主题团餐。以玉水村为示范，挖掘客家美食文化，串联美食点位打造旅游线路，联动农业、乡村旅游推出“美食+田园体验”等产品，完善消费链条。</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ind w:left="640"/>
              <w:rPr>
                <w:rFonts w:ascii="Times New Roman" w:hAnsi="Times New Roman"/>
              </w:rPr>
            </w:pPr>
            <w:bookmarkStart w:id="457" w:name="_Toc25373"/>
            <w:r>
              <w:rPr>
                <w:rFonts w:hint="eastAsia" w:ascii="方正仿宋_GB2312" w:hAnsi="方正仿宋_GB2312" w:eastAsia="方正仿宋_GB2312" w:cs="方正仿宋_GB2312"/>
                <w:sz w:val="32"/>
                <w:szCs w:val="32"/>
              </w:rPr>
              <w:br w:type="page"/>
            </w:r>
            <w:r>
              <w:rPr>
                <w:rFonts w:hint="eastAsia" w:ascii="Times New Roman" w:hAnsi="Times New Roman"/>
              </w:rPr>
              <w:t>专栏7   跨界融合业态提升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rPr>
                <w:sz w:val="24"/>
                <w:szCs w:val="24"/>
              </w:rPr>
            </w:pPr>
            <w:r>
              <w:rPr>
                <w:b/>
                <w:sz w:val="24"/>
                <w:szCs w:val="28"/>
              </w:rPr>
              <w:t>1.</w:t>
            </w:r>
            <w:r>
              <w:rPr>
                <w:rFonts w:hint="eastAsia"/>
                <w:b/>
                <w:sz w:val="24"/>
                <w:szCs w:val="28"/>
              </w:rPr>
              <w:t xml:space="preserve"> 红研农养融合重点工作：</w:t>
            </w:r>
            <w:r>
              <w:rPr>
                <w:rFonts w:hint="eastAsia"/>
                <w:sz w:val="24"/>
                <w:szCs w:val="24"/>
              </w:rPr>
              <w:t>强化“叶帅故里”品牌建设；争取红色旅游融合发展示范区品牌；打造融合示范的九龙嶂革命教育基地。</w:t>
            </w:r>
          </w:p>
          <w:p>
            <w:pPr>
              <w:spacing w:line="360" w:lineRule="auto"/>
              <w:ind w:firstLine="482"/>
              <w:rPr>
                <w:sz w:val="24"/>
                <w:szCs w:val="24"/>
              </w:rPr>
            </w:pPr>
            <w:r>
              <w:rPr>
                <w:b/>
                <w:sz w:val="24"/>
                <w:szCs w:val="28"/>
              </w:rPr>
              <w:t>2.</w:t>
            </w:r>
            <w:r>
              <w:rPr>
                <w:rFonts w:hint="eastAsia"/>
                <w:b/>
                <w:sz w:val="24"/>
                <w:szCs w:val="28"/>
              </w:rPr>
              <w:t xml:space="preserve"> 康养农文融合重点工作：</w:t>
            </w:r>
            <w:r>
              <w:rPr>
                <w:rFonts w:hint="eastAsia"/>
                <w:sz w:val="24"/>
                <w:szCs w:val="24"/>
              </w:rPr>
              <w:t>推动雁洋阴那山、雁南飞、雁山湖等龙头传统景区向康养度假转型；</w:t>
            </w:r>
            <w:r>
              <w:rPr>
                <w:sz w:val="24"/>
                <w:szCs w:val="24"/>
              </w:rPr>
              <w:t>着力提升南福金柚种植基地农文旅深度融合</w:t>
            </w:r>
            <w:r>
              <w:rPr>
                <w:rFonts w:hint="eastAsia"/>
                <w:sz w:val="24"/>
                <w:szCs w:val="24"/>
              </w:rPr>
              <w:t>示范；推动南寿峰、麓湖山文化产业园、大坪镇等因地制宜，培育新的消费动能。全</w:t>
            </w:r>
            <w:r>
              <w:rPr>
                <w:sz w:val="24"/>
                <w:szCs w:val="24"/>
              </w:rPr>
              <w:t>区培育1</w:t>
            </w:r>
            <w:r>
              <w:rPr>
                <w:rFonts w:hint="eastAsia"/>
                <w:sz w:val="24"/>
                <w:szCs w:val="24"/>
              </w:rPr>
              <w:t>处</w:t>
            </w:r>
            <w:r>
              <w:rPr>
                <w:sz w:val="24"/>
                <w:szCs w:val="24"/>
              </w:rPr>
              <w:t>省级职工疗休养基地。</w:t>
            </w:r>
          </w:p>
          <w:p>
            <w:pPr>
              <w:spacing w:line="360" w:lineRule="auto"/>
              <w:ind w:firstLine="482"/>
              <w:rPr>
                <w:sz w:val="24"/>
                <w:szCs w:val="24"/>
              </w:rPr>
            </w:pPr>
            <w:r>
              <w:rPr>
                <w:b/>
                <w:bCs/>
                <w:sz w:val="24"/>
                <w:szCs w:val="24"/>
              </w:rPr>
              <w:t>全国乡村旅游重点村培育</w:t>
            </w:r>
            <w:r>
              <w:rPr>
                <w:rFonts w:hint="eastAsia"/>
                <w:b/>
                <w:bCs/>
                <w:sz w:val="24"/>
                <w:szCs w:val="24"/>
              </w:rPr>
              <w:t>：</w:t>
            </w:r>
            <w:r>
              <w:rPr>
                <w:sz w:val="24"/>
                <w:szCs w:val="24"/>
              </w:rPr>
              <w:t>阴那村、侨</w:t>
            </w:r>
            <w:r>
              <w:rPr>
                <w:rFonts w:hint="eastAsia"/>
                <w:sz w:val="24"/>
                <w:szCs w:val="24"/>
              </w:rPr>
              <w:t>乡村。</w:t>
            </w:r>
          </w:p>
          <w:p>
            <w:pPr>
              <w:spacing w:line="360" w:lineRule="auto"/>
              <w:ind w:firstLine="482"/>
              <w:rPr>
                <w:sz w:val="24"/>
                <w:szCs w:val="24"/>
              </w:rPr>
            </w:pPr>
            <w:r>
              <w:rPr>
                <w:b/>
                <w:bCs/>
                <w:sz w:val="24"/>
                <w:szCs w:val="24"/>
              </w:rPr>
              <w:t>广东省文化和旅游特色村</w:t>
            </w:r>
            <w:r>
              <w:rPr>
                <w:rFonts w:hint="eastAsia"/>
                <w:b/>
                <w:bCs/>
                <w:sz w:val="24"/>
                <w:szCs w:val="24"/>
              </w:rPr>
              <w:t>：</w:t>
            </w:r>
            <w:r>
              <w:rPr>
                <w:rFonts w:hint="eastAsia"/>
                <w:sz w:val="24"/>
                <w:szCs w:val="24"/>
              </w:rPr>
              <w:t>松口横东村、南口侨乡村。</w:t>
            </w:r>
          </w:p>
          <w:p>
            <w:pPr>
              <w:spacing w:line="360" w:lineRule="auto"/>
              <w:ind w:firstLine="482" w:firstLineChars="200"/>
              <w:rPr>
                <w:sz w:val="24"/>
                <w:szCs w:val="24"/>
              </w:rPr>
            </w:pPr>
            <w:r>
              <w:rPr>
                <w:rFonts w:hint="eastAsia"/>
                <w:b/>
                <w:sz w:val="24"/>
                <w:szCs w:val="28"/>
              </w:rPr>
              <w:t>3.研学生态融合重点工作：</w:t>
            </w:r>
            <w:r>
              <w:rPr>
                <w:rFonts w:hint="eastAsia"/>
                <w:sz w:val="24"/>
                <w:szCs w:val="24"/>
              </w:rPr>
              <w:t>重点打造“红色+研学”“农业+研学”“非遗+研学”产品，推动高等级</w:t>
            </w:r>
            <w:r>
              <w:rPr>
                <w:sz w:val="24"/>
                <w:szCs w:val="24"/>
              </w:rPr>
              <w:t>中小学生研学实践教育基（营）地</w:t>
            </w:r>
            <w:r>
              <w:rPr>
                <w:rFonts w:hint="eastAsia"/>
                <w:sz w:val="24"/>
                <w:szCs w:val="24"/>
              </w:rPr>
              <w:t>建设。</w:t>
            </w:r>
          </w:p>
          <w:p>
            <w:pPr>
              <w:spacing w:line="360" w:lineRule="auto"/>
              <w:ind w:firstLine="482"/>
            </w:pPr>
            <w:r>
              <w:rPr>
                <w:b/>
                <w:sz w:val="24"/>
                <w:szCs w:val="28"/>
              </w:rPr>
              <w:t>中小学生研学实践教育基（营）地打造：</w:t>
            </w:r>
            <w:r>
              <w:rPr>
                <w:rFonts w:hint="eastAsia"/>
                <w:sz w:val="24"/>
                <w:szCs w:val="24"/>
              </w:rPr>
              <w:t>南福金柚种植基地、松口古镇。</w:t>
            </w:r>
          </w:p>
          <w:p>
            <w:pPr>
              <w:spacing w:line="360" w:lineRule="auto"/>
              <w:ind w:firstLine="482"/>
            </w:pPr>
            <w:r>
              <w:rPr>
                <w:b/>
                <w:bCs/>
                <w:sz w:val="24"/>
                <w:szCs w:val="24"/>
              </w:rPr>
              <w:t>广东省特色研学旅游产品培育：</w:t>
            </w:r>
            <w:r>
              <w:rPr>
                <w:sz w:val="24"/>
                <w:szCs w:val="24"/>
              </w:rPr>
              <w:t>梅县区“红色+”“乡村振兴+”</w:t>
            </w:r>
            <w:r>
              <w:rPr>
                <w:rFonts w:hint="eastAsia"/>
              </w:rPr>
              <w:t xml:space="preserve"> </w:t>
            </w:r>
          </w:p>
          <w:p>
            <w:pPr>
              <w:spacing w:line="360" w:lineRule="auto"/>
              <w:ind w:firstLine="482"/>
              <w:rPr>
                <w:b/>
                <w:sz w:val="24"/>
                <w:szCs w:val="28"/>
              </w:rPr>
            </w:pPr>
            <w:r>
              <w:rPr>
                <w:rFonts w:hint="eastAsia"/>
                <w:b/>
                <w:sz w:val="24"/>
                <w:szCs w:val="28"/>
              </w:rPr>
              <w:t>4. 非遗文创餐饮融合重点工作：</w:t>
            </w:r>
            <w:r>
              <w:rPr>
                <w:rFonts w:hint="eastAsia"/>
                <w:sz w:val="24"/>
                <w:szCs w:val="24"/>
              </w:rPr>
              <w:t>将非遗融入产品、打造沉浸式非遗演艺剧场；完善“细柚家族”IP体系，丰富衍生品种类，培育推广“梅县手信”品牌；发展壮大以“梅州柚子宴”为核心品牌的客家特色美食系列。</w:t>
            </w:r>
          </w:p>
        </w:tc>
      </w:tr>
    </w:tbl>
    <w:p>
      <w:pPr>
        <w:spacing w:line="560" w:lineRule="exact"/>
        <w:rPr>
          <w:rFonts w:hint="eastAsia" w:ascii="方正仿宋_GB2312" w:hAnsi="方正仿宋_GB2312" w:eastAsia="方正仿宋_GB2312" w:cs="方正仿宋_GB2312"/>
          <w:sz w:val="32"/>
          <w:szCs w:val="32"/>
        </w:rPr>
      </w:pPr>
    </w:p>
    <w:p>
      <w:pPr>
        <w:widowControl/>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br w:type="page"/>
      </w:r>
    </w:p>
    <w:bookmarkEnd w:id="457"/>
    <w:p>
      <w:pPr>
        <w:pStyle w:val="3"/>
        <w:snapToGrid w:val="0"/>
        <w:spacing w:before="312" w:after="312"/>
        <w:jc w:val="both"/>
        <w:rPr>
          <w:rFonts w:hint="eastAsia" w:ascii="楷体" w:hAnsi="楷体"/>
          <w:color w:val="auto"/>
          <w:szCs w:val="36"/>
        </w:rPr>
      </w:pPr>
      <w:bookmarkStart w:id="458" w:name="_Toc21840"/>
      <w:bookmarkStart w:id="459" w:name="_Toc5546"/>
      <w:bookmarkStart w:id="460" w:name="_Toc16103"/>
      <w:bookmarkStart w:id="461" w:name="_Toc235696668"/>
      <w:bookmarkStart w:id="462" w:name="_Toc25026"/>
      <w:bookmarkStart w:id="463" w:name="_Toc14101"/>
      <w:bookmarkStart w:id="464" w:name="_Toc30105"/>
      <w:bookmarkStart w:id="465" w:name="_Toc4131"/>
      <w:bookmarkStart w:id="466" w:name="_Toc15370"/>
      <w:bookmarkStart w:id="467" w:name="_Toc6887"/>
      <w:bookmarkStart w:id="468" w:name="_Toc4493"/>
      <w:r>
        <w:rPr>
          <w:rFonts w:hint="eastAsia" w:ascii="楷体" w:hAnsi="楷体"/>
          <w:color w:val="auto"/>
          <w:szCs w:val="36"/>
        </w:rPr>
        <w:t xml:space="preserve">第四节 </w:t>
      </w:r>
      <w:bookmarkEnd w:id="458"/>
      <w:r>
        <w:rPr>
          <w:rFonts w:hint="eastAsia" w:ascii="楷体" w:hAnsi="楷体"/>
          <w:color w:val="auto"/>
          <w:szCs w:val="36"/>
        </w:rPr>
        <w:t>提升公共服务能级，实现居游一体发展新突破</w:t>
      </w:r>
      <w:bookmarkEnd w:id="459"/>
      <w:bookmarkEnd w:id="460"/>
      <w:bookmarkEnd w:id="461"/>
      <w:bookmarkEnd w:id="462"/>
      <w:bookmarkEnd w:id="463"/>
      <w:bookmarkEnd w:id="464"/>
      <w:bookmarkEnd w:id="465"/>
      <w:bookmarkEnd w:id="466"/>
    </w:p>
    <w:p>
      <w:pPr>
        <w:pStyle w:val="4"/>
        <w:adjustRightInd w:val="0"/>
        <w:snapToGrid w:val="0"/>
        <w:spacing w:before="234" w:beforeLines="75"/>
        <w:jc w:val="both"/>
        <w:rPr>
          <w:rFonts w:hint="eastAsia" w:ascii="黑体" w:hAnsi="黑体"/>
          <w:color w:val="auto"/>
        </w:rPr>
      </w:pPr>
      <w:bookmarkStart w:id="469" w:name="_Toc235696669"/>
      <w:bookmarkStart w:id="470" w:name="_Toc10531"/>
      <w:bookmarkStart w:id="471" w:name="_Toc8936"/>
      <w:bookmarkStart w:id="472" w:name="_Toc233399597"/>
      <w:bookmarkStart w:id="473" w:name="_Toc233399988"/>
      <w:bookmarkStart w:id="474" w:name="_Toc233396478"/>
      <w:bookmarkStart w:id="475" w:name="_Toc18842"/>
      <w:bookmarkStart w:id="476" w:name="_Toc4501"/>
      <w:bookmarkStart w:id="477" w:name="_Toc11885"/>
      <w:bookmarkStart w:id="478" w:name="_Toc27470"/>
      <w:r>
        <w:rPr>
          <w:rFonts w:hint="eastAsia" w:ascii="黑体" w:hAnsi="黑体"/>
          <w:color w:val="auto"/>
        </w:rPr>
        <w:t>一、文化普惠，健全全域均等公共文化服务体系</w:t>
      </w:r>
      <w:bookmarkEnd w:id="469"/>
      <w:bookmarkEnd w:id="470"/>
      <w:bookmarkEnd w:id="471"/>
      <w:bookmarkEnd w:id="472"/>
      <w:bookmarkEnd w:id="473"/>
      <w:bookmarkEnd w:id="474"/>
      <w:bookmarkEnd w:id="475"/>
      <w:bookmarkEnd w:id="476"/>
      <w:bookmarkEnd w:id="477"/>
      <w:bookmarkEnd w:id="47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坚持正确导向、普惠均等、城乡协同，以满足人民群众基本文化权益为出发点，推动公共文化服务向下延伸、向细发力，促进城乡公共文化服务一体化、各年龄层次均衡发展，为居游一体建设筑牢文化根基。</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（一）优化公共文化设施网络布局</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完善区－镇（街道）－村（社区）三级公共文化设施网络，推进梅县区松口图书馆改造升级，力争在第八次全国县级以上公共图书馆评估定级中由三级馆晋升为二级馆，确保全区图书馆、文化馆（站）全部达到国家二级馆（省二级站）以上水平，支持一批符合条件的文化站升级晋档，实现基层文化设施全覆盖、标准化。整合梅县区文体中心及文化中心的场室资源，加大投入，改善设施设备，拓宽公共文化服务功能场地，提升场地利用效能，打造集文化展示、艺术培训、群众活动于一体的综合文化阵地。</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（二）强化特殊群体公共文化保障</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老年人、残障人士等特殊群体，破解公共文化服务不均衡问题。梅县区图书馆设立无障碍阅览区域，配备盲文图书，开设无障碍通道，为视障读者提供文献借阅指引服务；针对老年读者开展智能手机应用、图书馆公众号操作、数字文化资源查询利用等专项培训，一对一指导老年读者使用自助借还设备，帮助老年人跨越“数字鸿沟”，便捷享受公共文化服务。梅县区文化馆增设无障碍电梯等设施，优化服务流程，提升特殊群体参与文化活动的便捷度。</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（三）推动总分馆体系高质量转型</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打破传统公共文化服务边界，推动区图书馆、文化馆总分馆体系从“全覆盖”向“高质量”转型，实施“一馆一品”特色分馆建设计划。创新分馆建设模式，引导分馆依托中小学、产业园区、旅游景区、特色民宿、商业综合体等场景布局，打造一批融合图书阅读、艺术展览、文化传承、休闲体验等功能的城乡新型文化空间，实现公共文化服务与群众生活、旅游场景的深度嵌入，让群众“就近可享、随手可及”，让游客在游览中感受文化魅力。</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（四）深化公共文化惠民服务举措</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落实公共文化场馆免费开放政策，丰富开放内容、延长开放时间，提升服务精细化水平。梅县区图书馆建设全区首个0—6岁儿童及家庭主题绘本馆，划分低幼阅读区、亲子共读区、活动展示区，打造亲子文化服务特色品牌。加强基层文化志愿者队伍建设，健全公共文化服务辅助队伍，提升服务专业化水平。常态化开展“戏曲进乡村”“山歌进校园”“送戏送书下基层”等惠民活动，推动优秀文化产品向农村、社区、学校、企业延伸，丰富群众精神文化生活，厚植文旅融合的群众基础。</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（五）促进公共文化服务社会化发展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打破政府单一供给模式，加强与社会力量合作，推动公共文化服务融入旅游、体育、教育等领域，构建多元协同的发展格局。探索引入社会化运营管理服务、采购优质文艺服务资源等模式，参与图书馆、文化馆、公共阅读空间等公共文化新空间建设运营；积极探索文化综合体、共享图书馆跨界融合路径，推动公共文化服务提质增效，实现资源共享、优势互补。</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Times New Roman" w:hAnsi="Times New Roman"/>
              </w:rPr>
              <w:t xml:space="preserve">专栏8  </w:t>
            </w:r>
            <w:r>
              <w:rPr>
                <w:rFonts w:ascii="Times New Roman" w:hAnsi="Times New Roman"/>
              </w:rPr>
              <w:t>公共文化服务体系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pPr>
            <w:r>
              <w:rPr>
                <w:b/>
                <w:bCs/>
                <w:sz w:val="24"/>
                <w:szCs w:val="24"/>
              </w:rPr>
              <w:t>1.</w:t>
            </w:r>
            <w:r>
              <w:rPr>
                <w:sz w:val="24"/>
                <w:szCs w:val="24"/>
              </w:rPr>
              <w:t xml:space="preserve"> </w:t>
            </w:r>
            <w:r>
              <w:rPr>
                <w:b/>
                <w:bCs/>
                <w:sz w:val="24"/>
                <w:szCs w:val="24"/>
              </w:rPr>
              <w:t>图书馆、文化馆（站）晋级培育名单：</w:t>
            </w:r>
            <w:r>
              <w:rPr>
                <w:sz w:val="24"/>
                <w:szCs w:val="24"/>
              </w:rPr>
              <w:t>梅县区松口图书馆由三级馆晋升二级馆</w:t>
            </w:r>
            <w:r>
              <w:rPr>
                <w:rFonts w:hint="eastAsia"/>
                <w:sz w:val="24"/>
                <w:szCs w:val="24"/>
              </w:rPr>
              <w:t>。</w:t>
            </w:r>
          </w:p>
          <w:p>
            <w:pPr>
              <w:spacing w:line="360" w:lineRule="auto"/>
              <w:ind w:firstLine="482"/>
            </w:pPr>
            <w:r>
              <w:rPr>
                <w:rFonts w:hint="eastAsia"/>
                <w:b/>
                <w:bCs/>
                <w:sz w:val="24"/>
                <w:szCs w:val="24"/>
              </w:rPr>
              <w:t xml:space="preserve">2. </w:t>
            </w:r>
            <w:r>
              <w:rPr>
                <w:b/>
                <w:bCs/>
                <w:sz w:val="24"/>
                <w:szCs w:val="24"/>
              </w:rPr>
              <w:t>乡镇（街道）综合文化站提质增效工作：</w:t>
            </w:r>
            <w:r>
              <w:rPr>
                <w:sz w:val="24"/>
                <w:szCs w:val="24"/>
              </w:rPr>
              <w:t>梅县区10</w:t>
            </w:r>
            <w:r>
              <w:rPr>
                <w:rFonts w:hint="eastAsia"/>
                <w:sz w:val="24"/>
                <w:szCs w:val="24"/>
              </w:rPr>
              <w:t>个。</w:t>
            </w:r>
          </w:p>
          <w:p>
            <w:pPr>
              <w:spacing w:line="360" w:lineRule="auto"/>
              <w:ind w:firstLine="482"/>
            </w:pPr>
            <w:r>
              <w:rPr>
                <w:rFonts w:hint="eastAsia"/>
                <w:b/>
                <w:bCs/>
                <w:sz w:val="24"/>
                <w:szCs w:val="24"/>
              </w:rPr>
              <w:t xml:space="preserve">3. </w:t>
            </w:r>
            <w:r>
              <w:rPr>
                <w:b/>
                <w:bCs/>
                <w:sz w:val="24"/>
                <w:szCs w:val="24"/>
              </w:rPr>
              <w:t>行政村（社区）综合性文化服务中心提质增效工作：</w:t>
            </w:r>
            <w:r>
              <w:rPr>
                <w:sz w:val="24"/>
                <w:szCs w:val="24"/>
              </w:rPr>
              <w:t>梅县区30</w:t>
            </w:r>
            <w:r>
              <w:rPr>
                <w:rFonts w:hint="eastAsia"/>
                <w:sz w:val="24"/>
                <w:szCs w:val="24"/>
              </w:rPr>
              <w:t>个。</w:t>
            </w:r>
          </w:p>
          <w:p>
            <w:pPr>
              <w:spacing w:line="360" w:lineRule="auto"/>
              <w:ind w:firstLine="480"/>
              <w:rPr>
                <w:sz w:val="24"/>
                <w:szCs w:val="24"/>
              </w:rPr>
            </w:pPr>
            <w:r>
              <w:rPr>
                <w:rFonts w:hint="eastAsia"/>
                <w:b/>
                <w:bCs/>
                <w:sz w:val="24"/>
                <w:szCs w:val="24"/>
              </w:rPr>
              <w:t xml:space="preserve">4. </w:t>
            </w:r>
            <w:r>
              <w:rPr>
                <w:b/>
                <w:bCs/>
                <w:sz w:val="24"/>
                <w:szCs w:val="24"/>
              </w:rPr>
              <w:t>公共文化新空间打造：</w:t>
            </w:r>
            <w:r>
              <w:rPr>
                <w:rFonts w:hint="eastAsia"/>
                <w:sz w:val="24"/>
                <w:szCs w:val="24"/>
              </w:rPr>
              <w:t>全区不少于1个。</w:t>
            </w:r>
          </w:p>
        </w:tc>
      </w:tr>
    </w:tbl>
    <w:p>
      <w:pPr>
        <w:pStyle w:val="4"/>
        <w:adjustRightInd w:val="0"/>
        <w:snapToGrid w:val="0"/>
        <w:spacing w:before="234" w:beforeLines="75"/>
        <w:jc w:val="both"/>
        <w:rPr>
          <w:rFonts w:hint="eastAsia" w:ascii="黑体" w:hAnsi="黑体"/>
          <w:color w:val="auto"/>
        </w:rPr>
      </w:pPr>
      <w:bookmarkStart w:id="479" w:name="_Toc233399989"/>
      <w:bookmarkStart w:id="480" w:name="_Toc22549"/>
      <w:bookmarkStart w:id="481" w:name="_Toc4796"/>
      <w:bookmarkStart w:id="482" w:name="_Toc32132"/>
      <w:bookmarkStart w:id="483" w:name="_Toc233399598"/>
      <w:bookmarkStart w:id="484" w:name="_Toc19519"/>
      <w:bookmarkStart w:id="485" w:name="_Toc235696670"/>
      <w:bookmarkStart w:id="486" w:name="_Toc22351"/>
      <w:bookmarkStart w:id="487" w:name="_Toc14041"/>
      <w:bookmarkStart w:id="488" w:name="_Toc233396479"/>
      <w:r>
        <w:rPr>
          <w:rFonts w:hint="eastAsia" w:ascii="黑体" w:hAnsi="黑体"/>
          <w:color w:val="auto"/>
        </w:rPr>
        <w:t>二、创意引领，打造特色公共文化服务品牌</w:t>
      </w:r>
      <w:bookmarkEnd w:id="479"/>
      <w:bookmarkEnd w:id="480"/>
      <w:bookmarkEnd w:id="481"/>
      <w:bookmarkEnd w:id="482"/>
      <w:bookmarkEnd w:id="483"/>
      <w:bookmarkEnd w:id="484"/>
      <w:bookmarkEnd w:id="485"/>
      <w:bookmarkEnd w:id="486"/>
      <w:bookmarkEnd w:id="487"/>
      <w:bookmarkEnd w:id="48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以创意创新为动力，丰富公共文化服务内容、创新服务模式，提升公共文化服务吸引力和影响力，打造兼具梅县特色、时代气息的公共文化品牌，让公共文化成为居游一体的重要吸引力。</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（一）推进馆藏资源特色化数字化建设</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客家文化特色，推进梅县区图书馆馆藏资源特色化建设，持续加大客家文献、地方史料、名人乡贤著述的征集力度，加强与侨联、客联会等组织的合作，广泛收集海外客家华侨文献，打造特色客家文献资源库。力争到2030年，建成以区图书馆为总馆、镇（街）分馆为骨干、村（社区）服务点为延伸、新型阅读空间为补充的现代化“图书馆+”服务体系，实现资源建设数字化、服务手段智能化、阅读活动品牌化、人才队伍专业化，整体服务水平跻身粤东地区前列。</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（二）激发群众性文化创作展演活力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广泛开展群众文艺创作评选活动，挖掘培育本土文艺人才，推出一批反映梅县客家文化、乡村振兴、时代风貌的优秀群众文艺精品，积极组织参与省群众艺术花会、“粤读越精彩”、民歌民乐大赛、广场舞展演等省级品牌活动，提升梅县群众文艺影响力。鼓励基层组织和人民群众发挥主动性，结合春节、元宵节、中秋节等重大传统节日，开展“四季村晚”“乡村联欢晚会”等群众喜闻乐见的文化活动，营造全民参与、全民共享的文化氛围。</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（三）提升文化活动品牌辐射力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耕现有文化品牌，推动品牌升级，打造具有辨识度和影响力的公共文化服务品牌。梅县区图书馆深化“童真童声故事屋”品牌建设，定期举办绘本讲读、亲子阅读工作坊、绘本剧表演、客家童谣传唱等活动，并将其打造成总分馆体系内流动服务的标杆项目，延伸服务触角。梅县区文化馆进一步打响“中秋山歌节”品牌，创新活动形式、丰富活动内容，结合客家文化特色打造沉浸式、互动式山歌展演场景；持续办好“少儿艺术培训”“艺术晚课堂”“中老年广场舞培训”“公益暑期少儿培训班”等全民艺术普及惠民活动品牌，满足不同群体的文化需求，让公共文化活动成为凝聚人心、展示梅县形象的重要载体。</w:t>
      </w:r>
    </w:p>
    <w:p>
      <w:pPr>
        <w:pStyle w:val="4"/>
        <w:adjustRightInd w:val="0"/>
        <w:snapToGrid w:val="0"/>
        <w:spacing w:before="234" w:beforeLines="75"/>
        <w:jc w:val="both"/>
        <w:rPr>
          <w:rFonts w:hint="eastAsia" w:ascii="黑体" w:hAnsi="黑体"/>
          <w:color w:val="auto"/>
        </w:rPr>
      </w:pPr>
      <w:bookmarkStart w:id="489" w:name="_Toc28409"/>
      <w:bookmarkStart w:id="490" w:name="_Toc7914"/>
      <w:bookmarkStart w:id="491" w:name="_Toc26482"/>
      <w:bookmarkStart w:id="492" w:name="_Toc233396480"/>
      <w:bookmarkStart w:id="493" w:name="_Toc16101"/>
      <w:bookmarkStart w:id="494" w:name="_Toc15335"/>
      <w:bookmarkStart w:id="495" w:name="_Toc24193"/>
      <w:bookmarkStart w:id="496" w:name="_Toc233399599"/>
      <w:bookmarkStart w:id="497" w:name="_Toc233399990"/>
      <w:bookmarkStart w:id="498" w:name="_Toc235696671"/>
      <w:r>
        <w:rPr>
          <w:rFonts w:hint="eastAsia" w:ascii="黑体" w:hAnsi="黑体"/>
          <w:color w:val="auto"/>
        </w:rPr>
        <w:t>三、智慧驱动，构建智能高效数字公共服务体系</w:t>
      </w:r>
      <w:bookmarkEnd w:id="489"/>
      <w:bookmarkEnd w:id="490"/>
      <w:bookmarkEnd w:id="491"/>
      <w:bookmarkEnd w:id="492"/>
      <w:bookmarkEnd w:id="493"/>
      <w:bookmarkEnd w:id="494"/>
      <w:bookmarkEnd w:id="495"/>
      <w:bookmarkEnd w:id="496"/>
      <w:bookmarkEnd w:id="497"/>
      <w:bookmarkEnd w:id="498"/>
    </w:p>
    <w:p>
      <w:pPr>
        <w:spacing w:line="560" w:lineRule="exact"/>
        <w:ind w:firstLine="640" w:firstLineChars="200"/>
        <w:rPr>
          <w:rFonts w:hint="eastAsia" w:ascii="方正仿宋_GB2312" w:hAnsi="方正仿宋_GB2312" w:eastAsia="方正仿宋_GB2312" w:cs="方正仿宋_GB2312"/>
          <w:sz w:val="32"/>
          <w:szCs w:val="32"/>
        </w:rPr>
      </w:pPr>
      <w:r>
        <w:rPr>
          <w:rFonts w:hint="eastAsia" w:ascii="仿宋_GB2312" w:hAnsi="方正仿宋_GB2312" w:eastAsia="仿宋_GB2312" w:cs="方正仿宋_GB2312"/>
          <w:sz w:val="32"/>
          <w:szCs w:val="32"/>
        </w:rPr>
        <w:t>以数字化转型为抓手，推动公共文化服务和旅游公共服务智能化升级，打破时空限制，提升服务效能，为居游一体发展注入智慧动能，实现公共服务“随时随地可享”。</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（一）打造“智慧图书馆”服务底座</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升级梅县区图书馆集群管理系统，引入AI智能咨询机器人、大数据分析平台，实现读者行为分析、个性化图书推荐、活动精准推送等智慧服务，提升服务精准度和便捷度。统筹纸质与数字资源采购，提高电子图书、有声书、学术数据库的采购比例，优化馆藏结构，满足本地群众和游客多元化、便捷化的阅读需求。积极争取经费，实施“馆藏精品数字化工程”，系统推进古籍与珍贵地方文献的数字化工作，让特色文化资源实现永久保存、便捷传播。</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（二）建设数字文化馆服务平台</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搭建集音乐、舞蹈、戏剧、曲艺等多门类文化资源于一体的数字文化馆平台，整合全民艺术普及课程、文化活动直播、文艺精品展示等内容，让市民和游客足不出户便可享受看直播、学才艺、听慕课等便捷服务。构建与广东文化在线、国家公共文化云互联互通的公共文化智慧联动平台，实现信息资源共建共享，扩大公共文化服务覆盖面和影响力。</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（三）拓展智慧化新型阅读空间</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群众生活和游客游览场景，在城区公园、大型商圈、交通枢纽、旅游景区等人流密集区域，合作共建“粤书吧”式或“流动站”式智慧书房，配备自助借阅设备、数字阅读终端，实现24小时开放、自助服务，让本地群众随时享受阅读乐趣，让游客在游览间隙感受文化熏陶，推动智慧公共服务融入日常生活、旅游全过程。</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（四）推动数字文化资源共享传播</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打破数字资源壁垒，将建成的数字文化资源库、特色文献数据库等，向全区中小学校、社区、乡村数字服务平台开放接口，实现资源共享。同时，依托短视频平台、微信公众号等新媒体渠道，推送数字文化资源、公共文化活动信息、旅游服务资讯等，推动梅县特色文化资源和公共服务走出去，提升梅县区文旅知名度和影响力，助力居游一体品牌打造。</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Times New Roman" w:hAnsi="Times New Roman"/>
              </w:rPr>
              <w:t>专栏9  数字公共服务体系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rPr>
                <w:sz w:val="24"/>
                <w:szCs w:val="24"/>
              </w:rPr>
            </w:pPr>
            <w:r>
              <w:rPr>
                <w:b/>
                <w:bCs/>
                <w:sz w:val="24"/>
                <w:szCs w:val="24"/>
              </w:rPr>
              <w:t xml:space="preserve">1. </w:t>
            </w:r>
            <w:r>
              <w:rPr>
                <w:rFonts w:hint="eastAsia"/>
                <w:b/>
                <w:bCs/>
                <w:sz w:val="24"/>
                <w:szCs w:val="24"/>
              </w:rPr>
              <w:t>“智慧图书馆”建设：</w:t>
            </w:r>
            <w:r>
              <w:rPr>
                <w:rFonts w:hint="eastAsia"/>
                <w:sz w:val="24"/>
                <w:szCs w:val="24"/>
              </w:rPr>
              <w:t>升级梅县区图书馆集群管理系统，实施“馆藏精品数字化工程”。</w:t>
            </w:r>
          </w:p>
          <w:p>
            <w:pPr>
              <w:spacing w:line="360" w:lineRule="auto"/>
              <w:ind w:firstLine="482"/>
            </w:pPr>
            <w:r>
              <w:rPr>
                <w:rFonts w:hint="eastAsia"/>
                <w:b/>
                <w:bCs/>
                <w:sz w:val="24"/>
                <w:szCs w:val="24"/>
              </w:rPr>
              <w:t>2. 数字文化馆服务平台</w:t>
            </w:r>
            <w:r>
              <w:rPr>
                <w:b/>
                <w:bCs/>
                <w:sz w:val="24"/>
                <w:szCs w:val="24"/>
              </w:rPr>
              <w:t>：</w:t>
            </w:r>
            <w:r>
              <w:rPr>
                <w:rFonts w:hint="eastAsia"/>
                <w:sz w:val="24"/>
                <w:szCs w:val="24"/>
              </w:rPr>
              <w:t>搭建集音乐、舞蹈、戏剧、曲艺等多门类文化资源于一体的数字文化馆平台。</w:t>
            </w:r>
          </w:p>
          <w:p>
            <w:pPr>
              <w:spacing w:line="360" w:lineRule="auto"/>
              <w:ind w:firstLine="482"/>
              <w:rPr>
                <w:sz w:val="24"/>
                <w:szCs w:val="24"/>
              </w:rPr>
            </w:pPr>
            <w:r>
              <w:rPr>
                <w:rFonts w:hint="eastAsia"/>
                <w:b/>
                <w:bCs/>
                <w:sz w:val="24"/>
                <w:szCs w:val="24"/>
              </w:rPr>
              <w:t>3. 新型阅读空间：</w:t>
            </w:r>
            <w:r>
              <w:rPr>
                <w:rFonts w:hint="eastAsia"/>
                <w:sz w:val="24"/>
                <w:szCs w:val="24"/>
              </w:rPr>
              <w:t>建设“粤书吧”式或“流动站”式智慧书房不少于10处。</w:t>
            </w:r>
          </w:p>
        </w:tc>
      </w:tr>
    </w:tbl>
    <w:p>
      <w:pPr>
        <w:pStyle w:val="4"/>
        <w:adjustRightInd w:val="0"/>
        <w:snapToGrid w:val="0"/>
        <w:spacing w:before="234" w:beforeLines="75"/>
        <w:jc w:val="both"/>
        <w:rPr>
          <w:rFonts w:hint="eastAsia" w:ascii="黑体" w:hAnsi="黑体"/>
          <w:color w:val="auto"/>
        </w:rPr>
      </w:pPr>
      <w:bookmarkStart w:id="499" w:name="_Toc8184"/>
      <w:bookmarkStart w:id="500" w:name="_Toc233399600"/>
      <w:bookmarkStart w:id="501" w:name="_Toc18189"/>
      <w:bookmarkStart w:id="502" w:name="_Toc233399991"/>
      <w:bookmarkStart w:id="503" w:name="_Toc235696672"/>
      <w:bookmarkStart w:id="504" w:name="_Toc8816"/>
      <w:bookmarkStart w:id="505" w:name="_Toc233396481"/>
      <w:bookmarkStart w:id="506" w:name="_Toc30385"/>
      <w:bookmarkStart w:id="507" w:name="_Toc14755"/>
      <w:bookmarkStart w:id="508" w:name="_Toc17623"/>
      <w:r>
        <w:rPr>
          <w:rFonts w:hint="eastAsia" w:ascii="黑体" w:hAnsi="黑体"/>
          <w:color w:val="auto"/>
        </w:rPr>
        <w:t>四、监管护航，提升广电公共服务质量</w:t>
      </w:r>
      <w:bookmarkEnd w:id="499"/>
      <w:bookmarkEnd w:id="500"/>
      <w:bookmarkEnd w:id="501"/>
      <w:bookmarkEnd w:id="502"/>
      <w:bookmarkEnd w:id="503"/>
      <w:bookmarkEnd w:id="504"/>
      <w:bookmarkEnd w:id="505"/>
      <w:bookmarkEnd w:id="506"/>
      <w:bookmarkEnd w:id="507"/>
      <w:bookmarkEnd w:id="50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坚持正确舆论导向，强化广电公共服务监管，筑牢意识形态安全防线，保障广电公共服务安全、优质、高效供给，为公共服务提质和居游一体发展提供有力支撑。</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（一）</w:t>
      </w:r>
      <w:r>
        <w:rPr>
          <w:rFonts w:ascii="仿宋" w:hAnsi="仿宋" w:cs="仿宋"/>
          <w:color w:val="auto"/>
          <w:sz w:val="32"/>
          <w:szCs w:val="32"/>
        </w:rPr>
        <w:t>推进广电技术智慧化升级</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加快4K/8K超高清、5G、人工智能、虚拟现实等新技术在广电领域的落地应用，深化人工智能创新融合应用，推动数字化转型，应用人工智能和大数据优化服务流程与产品开发；鼓励A级旅游景区、星级酒店广泛使用4K/8K电视、数字娱乐、移动新媒体、网络视听、虚拟现实/增强现实等相关技术手段，打造线上演播、沉浸式体验、数字艺术展示等产品。</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（二）强化安全播出监管</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进一步做好广电安全播出工作，严格落实安全播出管理制度，加强广电领域监督管理，规范播出内容，传播党的声音和主张，弘扬正能量，营造良好的舆论氛围。完善城乡一体的广电公共服务体系，重点加强应急广播系统建设和覆盖补点工作，加强安全播出技术保障，提升基层文化服务可达性，夯实公共服务基础支撑，升级播出设备，完善应急处置机制，提升安全播出保障能力。</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（三）做好重点时段保障</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继续做好重要保障期间各项安全播出保障工作，结合工作实际适时开展安全播出检查，全面排查风险隐患，及时整改问题漏洞，强化应急演练，确保重要时段、重要节目安全有序播出，为公共文化服务提质和居游一体发展营造安全稳定的广电环境。</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（四）</w:t>
      </w:r>
      <w:r>
        <w:rPr>
          <w:rFonts w:ascii="仿宋" w:hAnsi="仿宋" w:cs="仿宋"/>
          <w:color w:val="auto"/>
          <w:sz w:val="32"/>
          <w:szCs w:val="32"/>
        </w:rPr>
        <w:t>推动影视与文旅融合发展</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鼓励A级旅游景区、红色遗址、古村落等与影视拍摄单位合作，作为取景地，开发影视主题游、沉浸式光影秀等二次消费项目。</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支持景区、文创企业与热门影视IP合作开发影视同款产品，在影院、文博场馆、景区等地设立销售专柜。结合“给阿嫲的情书”等热门影视剧，以松口火船码头下南洋历史、侨批文化、客家围龙屋为资源底色，将客家娘酒、萝卜粄、腌面等本土烟火美食，客家山歌、侨批非遗、蓝布针线民俗、木棉风物等元素贯穿产品打造，依托梅县山水风物承载对阿嫲的感念与爱意，把客家风情、侨乡独有的乡愁情愫在松口古镇得以充分地展示，打造沉浸式体验空间。鼓励各个景点结合影视内容开发沉浸式客家文化体验项目，推出“跟着微短剧打卡梅州”等主题线路，以影视IP为牵引，深度拓展文旅体验场景。</w:t>
      </w:r>
    </w:p>
    <w:p>
      <w:pPr>
        <w:pStyle w:val="5"/>
        <w:keepNext w:val="0"/>
        <w:keepLines w:val="0"/>
        <w:widowControl/>
        <w:spacing w:before="78" w:after="78"/>
        <w:jc w:val="both"/>
        <w:rPr>
          <w:rFonts w:hint="eastAsia" w:ascii="仿宋" w:hAnsi="仿宋" w:cs="仿宋"/>
          <w:color w:val="auto"/>
          <w:sz w:val="32"/>
          <w:szCs w:val="32"/>
        </w:rPr>
      </w:pPr>
      <w:r>
        <w:rPr>
          <w:rFonts w:hint="eastAsia" w:ascii="仿宋" w:hAnsi="仿宋" w:cs="仿宋"/>
          <w:color w:val="auto"/>
          <w:sz w:val="32"/>
          <w:szCs w:val="32"/>
        </w:rPr>
        <w:t>（五）鼓励</w:t>
      </w:r>
      <w:r>
        <w:rPr>
          <w:rFonts w:ascii="仿宋" w:hAnsi="仿宋" w:cs="仿宋"/>
          <w:color w:val="auto"/>
          <w:sz w:val="32"/>
          <w:szCs w:val="32"/>
        </w:rPr>
        <w:t>发展微短剧产业</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抢抓微短剧风口，打造差异化微短剧传播矩阵，以客家文化、红色苏区、乡村振兴等为创作内核，策划一批“梅州故事”精品微短剧，重点围绕客家围龙屋、红色交通线、非遗传承、侨乡记忆等题材进行创作。力争每年创作以客家文化、红色文化为主题的精品微短剧不少于3部。</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建设微短剧拍摄孵化基地，吸引MCN机构、影视团队入驻，提供剧本打磨、拍摄协调、后期制作、版权保护、投融资对接等一站式服务，培育一批具有区域影响力的微短剧创作和运营主体。</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仿宋_GB2312" w:hAnsi="___WRD_EMBED_SUB_1367" w:eastAsia="仿宋_GB2312" w:cs="___WRD_EMBED_SUB_1367"/>
                <w:sz w:val="32"/>
                <w:szCs w:val="32"/>
              </w:rPr>
              <w:br w:type="page"/>
            </w:r>
            <w:r>
              <w:rPr>
                <w:rFonts w:hint="eastAsia" w:ascii="Times New Roman" w:hAnsi="Times New Roman"/>
              </w:rPr>
              <w:t>专栏10  广电服务体系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rPr>
                <w:sz w:val="24"/>
                <w:szCs w:val="24"/>
              </w:rPr>
            </w:pPr>
            <w:r>
              <w:rPr>
                <w:b/>
                <w:bCs/>
                <w:sz w:val="24"/>
                <w:szCs w:val="24"/>
              </w:rPr>
              <w:t>1. 广电技术智慧化升级</w:t>
            </w:r>
            <w:r>
              <w:rPr>
                <w:rFonts w:hint="eastAsia"/>
                <w:b/>
                <w:bCs/>
                <w:sz w:val="24"/>
                <w:szCs w:val="24"/>
              </w:rPr>
              <w:t>：</w:t>
            </w:r>
            <w:r>
              <w:rPr>
                <w:rFonts w:hint="eastAsia"/>
                <w:sz w:val="24"/>
                <w:szCs w:val="24"/>
              </w:rPr>
              <w:t>4K/8K</w:t>
            </w:r>
            <w:r>
              <w:rPr>
                <w:sz w:val="24"/>
                <w:szCs w:val="24"/>
              </w:rPr>
              <w:t>超高清、</w:t>
            </w:r>
            <w:r>
              <w:rPr>
                <w:rFonts w:hint="eastAsia"/>
                <w:sz w:val="24"/>
                <w:szCs w:val="24"/>
              </w:rPr>
              <w:t>5G、</w:t>
            </w:r>
            <w:r>
              <w:rPr>
                <w:sz w:val="24"/>
                <w:szCs w:val="24"/>
              </w:rPr>
              <w:t>人工智能、</w:t>
            </w:r>
            <w:r>
              <w:rPr>
                <w:rFonts w:hint="eastAsia"/>
                <w:sz w:val="24"/>
                <w:szCs w:val="24"/>
              </w:rPr>
              <w:t>虚拟现实等新技术在广电领域的落地应用。</w:t>
            </w:r>
          </w:p>
          <w:p>
            <w:pPr>
              <w:spacing w:line="360" w:lineRule="auto"/>
              <w:ind w:firstLine="482"/>
              <w:rPr>
                <w:sz w:val="24"/>
                <w:szCs w:val="24"/>
              </w:rPr>
            </w:pPr>
            <w:r>
              <w:rPr>
                <w:rFonts w:hint="eastAsia"/>
                <w:b/>
                <w:bCs/>
                <w:sz w:val="24"/>
                <w:szCs w:val="24"/>
              </w:rPr>
              <w:t>2. 影视+文旅融合</w:t>
            </w:r>
            <w:r>
              <w:rPr>
                <w:b/>
                <w:bCs/>
                <w:sz w:val="24"/>
                <w:szCs w:val="24"/>
              </w:rPr>
              <w:t>：</w:t>
            </w:r>
            <w:r>
              <w:rPr>
                <w:rFonts w:hint="eastAsia"/>
                <w:sz w:val="24"/>
                <w:szCs w:val="24"/>
              </w:rPr>
              <w:t>鼓励开发影视IP联名产品；借势热门影视现象，开发主题式餐饮、线路等联动产品。</w:t>
            </w:r>
          </w:p>
          <w:p>
            <w:pPr>
              <w:spacing w:line="360" w:lineRule="auto"/>
              <w:ind w:firstLine="482"/>
              <w:rPr>
                <w:sz w:val="24"/>
                <w:szCs w:val="24"/>
              </w:rPr>
            </w:pPr>
            <w:r>
              <w:rPr>
                <w:rFonts w:hint="eastAsia"/>
                <w:b/>
                <w:bCs/>
                <w:sz w:val="24"/>
                <w:szCs w:val="24"/>
              </w:rPr>
              <w:t>3. 鼓励</w:t>
            </w:r>
            <w:r>
              <w:rPr>
                <w:b/>
                <w:bCs/>
                <w:sz w:val="24"/>
                <w:szCs w:val="24"/>
              </w:rPr>
              <w:t>发展微短剧产业</w:t>
            </w:r>
            <w:r>
              <w:rPr>
                <w:rFonts w:hint="eastAsia"/>
                <w:b/>
                <w:bCs/>
                <w:sz w:val="24"/>
                <w:szCs w:val="24"/>
              </w:rPr>
              <w:t>：</w:t>
            </w:r>
            <w:r>
              <w:rPr>
                <w:rFonts w:hint="eastAsia"/>
                <w:sz w:val="24"/>
                <w:szCs w:val="24"/>
              </w:rPr>
              <w:t>力争每年创作以客家文化、红色文化为主题的精品微短剧不少于</w:t>
            </w:r>
            <w:r>
              <w:rPr>
                <w:sz w:val="24"/>
                <w:szCs w:val="24"/>
              </w:rPr>
              <w:t>3</w:t>
            </w:r>
            <w:r>
              <w:rPr>
                <w:rFonts w:hint="eastAsia"/>
                <w:sz w:val="24"/>
                <w:szCs w:val="24"/>
              </w:rPr>
              <w:t>部。</w:t>
            </w:r>
          </w:p>
        </w:tc>
      </w:tr>
    </w:tbl>
    <w:p>
      <w:pPr>
        <w:widowControl/>
        <w:jc w:val="left"/>
        <w:rPr>
          <w:rFonts w:hint="eastAsia" w:ascii="楷体" w:hAnsi="楷体" w:eastAsia="楷体"/>
          <w:bCs/>
          <w:sz w:val="36"/>
          <w:szCs w:val="36"/>
        </w:rPr>
      </w:pPr>
      <w:bookmarkStart w:id="509" w:name="_Toc7967"/>
      <w:bookmarkStart w:id="510" w:name="_Toc15654"/>
      <w:bookmarkStart w:id="511" w:name="_Toc31059"/>
      <w:bookmarkStart w:id="512" w:name="_Toc26929"/>
      <w:bookmarkStart w:id="513" w:name="_Toc32072"/>
      <w:bookmarkStart w:id="514" w:name="_Toc12000"/>
      <w:bookmarkStart w:id="515" w:name="_Toc23475"/>
      <w:r>
        <w:rPr>
          <w:rFonts w:hint="eastAsia" w:ascii="楷体" w:hAnsi="楷体"/>
          <w:szCs w:val="36"/>
        </w:rPr>
        <w:br w:type="page"/>
      </w:r>
    </w:p>
    <w:p>
      <w:pPr>
        <w:pStyle w:val="3"/>
        <w:snapToGrid w:val="0"/>
        <w:spacing w:before="312" w:after="312"/>
        <w:jc w:val="both"/>
        <w:rPr>
          <w:rFonts w:hint="eastAsia" w:ascii="楷体" w:hAnsi="楷体"/>
          <w:color w:val="auto"/>
          <w:szCs w:val="36"/>
        </w:rPr>
      </w:pPr>
      <w:bookmarkStart w:id="516" w:name="_Toc235696673"/>
      <w:r>
        <w:rPr>
          <w:rFonts w:hint="eastAsia" w:ascii="楷体" w:hAnsi="楷体"/>
          <w:color w:val="auto"/>
          <w:szCs w:val="36"/>
        </w:rPr>
        <w:t xml:space="preserve">第五节 </w:t>
      </w:r>
      <w:bookmarkEnd w:id="467"/>
      <w:bookmarkEnd w:id="468"/>
      <w:r>
        <w:rPr>
          <w:rFonts w:hint="eastAsia" w:ascii="楷体" w:hAnsi="楷体"/>
          <w:color w:val="auto"/>
          <w:szCs w:val="36"/>
        </w:rPr>
        <w:t>强化文旅品牌塑造，提升梅县客家文旅影响力</w:t>
      </w:r>
      <w:bookmarkEnd w:id="509"/>
      <w:bookmarkEnd w:id="510"/>
      <w:bookmarkEnd w:id="511"/>
      <w:bookmarkEnd w:id="512"/>
      <w:bookmarkEnd w:id="513"/>
      <w:bookmarkEnd w:id="514"/>
      <w:bookmarkEnd w:id="515"/>
      <w:bookmarkEnd w:id="516"/>
    </w:p>
    <w:p>
      <w:pPr>
        <w:pStyle w:val="4"/>
        <w:adjustRightInd w:val="0"/>
        <w:snapToGrid w:val="0"/>
        <w:spacing w:before="234" w:beforeLines="75"/>
        <w:jc w:val="both"/>
        <w:rPr>
          <w:rFonts w:hint="eastAsia" w:ascii="黑体" w:hAnsi="黑体"/>
          <w:color w:val="auto"/>
        </w:rPr>
      </w:pPr>
      <w:bookmarkStart w:id="517" w:name="_Toc16544"/>
      <w:bookmarkStart w:id="518" w:name="_Toc13600"/>
      <w:bookmarkStart w:id="519" w:name="_Toc18490"/>
      <w:bookmarkStart w:id="520" w:name="_Toc624"/>
      <w:bookmarkStart w:id="521" w:name="_Toc3107"/>
      <w:bookmarkStart w:id="522" w:name="_Toc27231"/>
      <w:bookmarkStart w:id="523" w:name="_Toc233399993"/>
      <w:bookmarkStart w:id="524" w:name="_Toc235696674"/>
      <w:bookmarkStart w:id="525" w:name="_Toc233396483"/>
      <w:bookmarkStart w:id="526" w:name="_Toc233399602"/>
      <w:r>
        <w:rPr>
          <w:rFonts w:hint="eastAsia" w:ascii="黑体" w:hAnsi="黑体"/>
          <w:color w:val="auto"/>
        </w:rPr>
        <w:t>一、构建全方位品牌宣传推广</w:t>
      </w:r>
      <w:bookmarkEnd w:id="517"/>
      <w:bookmarkEnd w:id="518"/>
      <w:bookmarkEnd w:id="519"/>
      <w:bookmarkEnd w:id="520"/>
      <w:bookmarkEnd w:id="521"/>
      <w:bookmarkEnd w:id="522"/>
      <w:r>
        <w:rPr>
          <w:rFonts w:hint="eastAsia" w:ascii="黑体" w:hAnsi="黑体"/>
          <w:color w:val="auto"/>
        </w:rPr>
        <w:t>矩阵</w:t>
      </w:r>
      <w:bookmarkEnd w:id="523"/>
      <w:bookmarkEnd w:id="524"/>
      <w:bookmarkEnd w:id="525"/>
      <w:bookmarkEnd w:id="526"/>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立足全媒体时代传播特点，构建多渠道、多元化、全方位的文旅品牌宣传推广体系，打造“叶帅故里·大美梅县”“三色三脉”的特色品牌形象。</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激活自有传播阵地，充分利用“相约梅县”微信公众号、视频号等现有新媒体资源，常态化推送景区优惠、活动预告、文旅攻略、民俗风情等内容，提升品牌曝光度和用户黏性。</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深化跨界合作引流，加强与网红达人、流量媒体、在线旅游平台的协同合作，结合各平台传播优势，打造优质短视频、直播带货、图文攻略等营销内容，精准触达年轻消费群体。</w:t>
      </w:r>
      <w:bookmarkStart w:id="527" w:name="_Hlk235529484"/>
    </w:p>
    <w:bookmarkEnd w:id="527"/>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借力主流媒体赋能，积极争取国家、省、市、区各级主流媒体支持，深化战略合作关系，充分发挥主流媒体的传播影响力和融媒体宣传优势，全方位、多角度宣传梅县文旅资源和发展成果，持续提升“叶帅故里·大美梅县”品牌的知名度、美誉度和影响力。</w:t>
      </w:r>
    </w:p>
    <w:p>
      <w:pPr>
        <w:pStyle w:val="4"/>
        <w:adjustRightInd w:val="0"/>
        <w:snapToGrid w:val="0"/>
        <w:spacing w:before="234" w:beforeLines="75"/>
        <w:jc w:val="both"/>
        <w:rPr>
          <w:rFonts w:hint="eastAsia" w:ascii="黑体" w:hAnsi="黑体"/>
          <w:color w:val="auto"/>
        </w:rPr>
      </w:pPr>
      <w:bookmarkStart w:id="528" w:name="_Toc13132"/>
      <w:bookmarkStart w:id="529" w:name="_Toc233396484"/>
      <w:bookmarkStart w:id="530" w:name="_Toc17435"/>
      <w:bookmarkStart w:id="531" w:name="_Toc11710"/>
      <w:bookmarkStart w:id="532" w:name="_Toc29355"/>
      <w:bookmarkStart w:id="533" w:name="_Toc233399603"/>
      <w:bookmarkStart w:id="534" w:name="_Toc235696675"/>
      <w:bookmarkStart w:id="535" w:name="_Toc29661"/>
      <w:bookmarkStart w:id="536" w:name="_Toc30153"/>
      <w:bookmarkStart w:id="537" w:name="_Toc233399994"/>
      <w:r>
        <w:rPr>
          <w:rFonts w:hint="eastAsia" w:ascii="黑体" w:hAnsi="黑体"/>
          <w:color w:val="auto"/>
        </w:rPr>
        <w:t>二、</w:t>
      </w:r>
      <w:bookmarkStart w:id="538" w:name="_Hlk235529604"/>
      <w:r>
        <w:rPr>
          <w:rFonts w:hint="eastAsia" w:ascii="黑体" w:hAnsi="黑体"/>
          <w:color w:val="auto"/>
        </w:rPr>
        <w:t>持续培育特色文旅节会品牌</w:t>
      </w:r>
      <w:bookmarkEnd w:id="528"/>
      <w:bookmarkEnd w:id="529"/>
      <w:bookmarkEnd w:id="530"/>
      <w:bookmarkEnd w:id="531"/>
      <w:bookmarkEnd w:id="532"/>
      <w:bookmarkEnd w:id="533"/>
      <w:bookmarkEnd w:id="534"/>
      <w:bookmarkEnd w:id="535"/>
      <w:bookmarkEnd w:id="536"/>
      <w:bookmarkEnd w:id="537"/>
      <w:bookmarkEnd w:id="53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 xml:space="preserve">进一步激活文旅发展动能，深化农文旅体商融合，持续提升“叶帅故里·大美梅县”文旅品牌影响力，在现有节会活动提质升级的基础上，深挖本土文化、生态、产业、民俗资源，培育一批主题鲜明、体验性强、辨识度高的特色主题活动，推动节会品牌化、常态化、精品化发展。 </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提质现有核心节会，做强做大品牌影响。重点提升金柚嘉年华，深加工体验，创新文创与非遗融合，拓展沉浸式体验及茶旅联动线路。创新中秋山歌节，创新山歌呈现形式，融入中秋民俗，打造山歌研学品牌。办好春节分会场，丰富景区民俗活动，完善消费场景，联动红色资源推出研学游。配合全市文旅节会安排，做好“</w:t>
      </w:r>
      <w:r>
        <w:rPr>
          <w:rFonts w:hint="eastAsia" w:ascii="仿宋_GB2312" w:hAnsi="仿宋_GB2312" w:eastAsia="仿宋_GB2312" w:cs="仿宋_GB2312"/>
          <w:sz w:val="32"/>
          <w:szCs w:val="32"/>
          <w:lang w:bidi="ar"/>
        </w:rPr>
        <w:t>请到中国松口过大年</w:t>
      </w:r>
      <w:r>
        <w:rPr>
          <w:rFonts w:hint="eastAsia" w:ascii="仿宋_GB2312" w:hAnsi="方正仿宋_GB2312" w:eastAsia="仿宋_GB2312" w:cs="方正仿宋_GB2312"/>
          <w:sz w:val="32"/>
          <w:szCs w:val="32"/>
        </w:rPr>
        <w:t>”“五一嘉年华系列活动”“米香酒文化周系列活动”“‘梅’好时光”等主题文旅活动。</w:t>
      </w:r>
    </w:p>
    <w:p>
      <w:pPr>
        <w:spacing w:line="560" w:lineRule="exact"/>
        <w:ind w:firstLine="640" w:firstLineChars="200"/>
        <w:rPr>
          <w:rFonts w:hint="eastAsia" w:ascii="仿宋_GB2312" w:hAnsi="方正仿宋_GB2312" w:eastAsia="仿宋_GB2312" w:cs="方正仿宋_GB2312"/>
          <w:sz w:val="32"/>
          <w:szCs w:val="32"/>
        </w:rPr>
      </w:pPr>
      <w:bookmarkStart w:id="539" w:name="OLE_LINK42"/>
      <w:r>
        <w:rPr>
          <w:rFonts w:hint="eastAsia" w:ascii="仿宋_GB2312" w:hAnsi="方正仿宋_GB2312" w:eastAsia="仿宋_GB2312" w:cs="方正仿宋_GB2312"/>
          <w:sz w:val="32"/>
          <w:szCs w:val="32"/>
        </w:rPr>
        <w:t>进一步挖掘培育特色主题活动，丰富品牌矩阵。重点培育六大特色活动：客家非遗文化活动、梅县茶旅文化活动、红色文旅活动、侨乡文化活动、农趣文旅活动、生态康养旅游活动。</w:t>
      </w:r>
    </w:p>
    <w:bookmarkEnd w:id="539"/>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梅县区丰富文旅资源大力发展“演艺经济”。积极招引优质演艺活动落地，整合“吃住行游购娱”各要素，鼓励企业推出“门票+住宿+餐饮+购物”优惠套餐，精准分析观众消费需求，丰富“情绪消费”场景，增加产品供给，切实把演艺“流量”变为经济增量。</w:t>
      </w:r>
    </w:p>
    <w:p>
      <w:pPr>
        <w:pStyle w:val="4"/>
        <w:adjustRightInd w:val="0"/>
        <w:snapToGrid w:val="0"/>
        <w:spacing w:before="234" w:beforeLines="75"/>
        <w:jc w:val="both"/>
        <w:rPr>
          <w:rFonts w:hint="eastAsia" w:ascii="黑体" w:hAnsi="黑体"/>
          <w:color w:val="auto"/>
        </w:rPr>
      </w:pPr>
      <w:bookmarkStart w:id="540" w:name="_Toc2411"/>
      <w:bookmarkStart w:id="541" w:name="_Toc13469"/>
      <w:bookmarkStart w:id="542" w:name="_Toc233399995"/>
      <w:bookmarkStart w:id="543" w:name="_Toc233399604"/>
      <w:bookmarkStart w:id="544" w:name="_Toc17157"/>
      <w:bookmarkStart w:id="545" w:name="_Toc151"/>
      <w:bookmarkStart w:id="546" w:name="_Toc235696676"/>
      <w:bookmarkStart w:id="547" w:name="_Toc25995"/>
      <w:bookmarkStart w:id="548" w:name="_Toc2861"/>
      <w:bookmarkStart w:id="549" w:name="_Toc233396485"/>
      <w:r>
        <w:rPr>
          <w:rFonts w:hint="eastAsia" w:ascii="黑体" w:hAnsi="黑体"/>
          <w:color w:val="auto"/>
        </w:rPr>
        <w:t>三、推进客家美食旅游品牌建设</w:t>
      </w:r>
      <w:bookmarkEnd w:id="540"/>
      <w:bookmarkEnd w:id="541"/>
      <w:bookmarkEnd w:id="542"/>
      <w:bookmarkEnd w:id="543"/>
      <w:bookmarkEnd w:id="544"/>
      <w:bookmarkEnd w:id="545"/>
      <w:bookmarkEnd w:id="546"/>
      <w:bookmarkEnd w:id="547"/>
      <w:bookmarkEnd w:id="548"/>
      <w:bookmarkEnd w:id="549"/>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以盐焗鸡、酿豆腐、梅菜扣肉等客家标志性美食为纽带，深度挖掘客家美食文化内涵，策划推出客家美食主题旅游线路，推动美食文化和旅游体验、乡村休闲、节庆活动深度融合。培育客家美食特色街区、美食体验店，打造“客家美食+旅游”消费场景，让客家美食成为梅县区文旅品牌的重要名片，增强文旅吸引力和美誉度。</w:t>
      </w:r>
    </w:p>
    <w:p>
      <w:pPr>
        <w:pStyle w:val="4"/>
        <w:adjustRightInd w:val="0"/>
        <w:snapToGrid w:val="0"/>
        <w:spacing w:before="234" w:beforeLines="75"/>
        <w:jc w:val="both"/>
        <w:rPr>
          <w:rFonts w:hint="eastAsia" w:ascii="黑体" w:hAnsi="黑体"/>
          <w:color w:val="auto"/>
        </w:rPr>
      </w:pPr>
      <w:bookmarkStart w:id="550" w:name="_Toc233396486"/>
      <w:bookmarkStart w:id="551" w:name="_Toc233399996"/>
      <w:bookmarkStart w:id="552" w:name="_Toc233399605"/>
      <w:bookmarkStart w:id="553" w:name="_Toc235696677"/>
      <w:r>
        <w:rPr>
          <w:rFonts w:hint="eastAsia" w:ascii="黑体" w:hAnsi="黑体"/>
          <w:color w:val="auto"/>
        </w:rPr>
        <w:t>四、提升“细柚”IP价值</w:t>
      </w:r>
      <w:bookmarkEnd w:id="550"/>
      <w:bookmarkEnd w:id="551"/>
      <w:bookmarkEnd w:id="552"/>
      <w:bookmarkEnd w:id="553"/>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入挖掘梅县区地域特色、历史文化等核心资源，以“细柚”IP为核心载体，推动IP价值深度释放。积极推动“细柚”IP形象的衍生品设计，将客家文化、红色文化、农事文化等元素与IP形象深度融合，指导相关企业采用市场化经营模式，开展IP相关内容创作、文创产品开发、场景化呈现等工作，丰富IP产品矩阵。积极探索IP版权商业化路径，通过举办招商推介会、行业交流活动等形式，促进IP版权与市场需求精准对接，拓展文旅景区、农特产品、联名快消品等多元合作场景，推动IP版权从文化资源向经济资产转化，提升IP商业附加值。</w:t>
      </w:r>
    </w:p>
    <w:p>
      <w:pPr>
        <w:pStyle w:val="4"/>
        <w:keepNext w:val="0"/>
        <w:keepLines w:val="0"/>
        <w:widowControl/>
        <w:adjustRightInd w:val="0"/>
        <w:snapToGrid w:val="0"/>
        <w:spacing w:before="234" w:beforeLines="75" w:line="240" w:lineRule="auto"/>
        <w:jc w:val="both"/>
        <w:rPr>
          <w:rFonts w:hint="eastAsia" w:ascii="黑体" w:hAnsi="黑体"/>
          <w:color w:val="auto"/>
        </w:rPr>
      </w:pPr>
      <w:bookmarkStart w:id="554" w:name="_Toc233399606"/>
      <w:bookmarkStart w:id="555" w:name="_Toc233396487"/>
      <w:bookmarkStart w:id="556" w:name="_Toc233399997"/>
      <w:bookmarkStart w:id="557" w:name="_Toc235696678"/>
      <w:r>
        <w:rPr>
          <w:rFonts w:hint="eastAsia" w:ascii="黑体" w:hAnsi="黑体"/>
          <w:color w:val="auto"/>
        </w:rPr>
        <w:t>五、“梅超”赛事擦亮“足球之乡”名片</w:t>
      </w:r>
      <w:bookmarkEnd w:id="554"/>
      <w:bookmarkEnd w:id="555"/>
      <w:bookmarkEnd w:id="556"/>
      <w:bookmarkEnd w:id="557"/>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紧扣国家深化商旅文体健融合、发展赛事经济的战略部署，对标借鉴贵州“村超”、江苏“苏超”等全民赛事的成功经验，立足我区深厚足球文化底蕴与扎实青训基础，以品牌化、本土化、全民化为方向，创新打造具有梅县辨识度、群众参与度、产业带动力的特色体育赛事“梅超”体系，将体育势能转化为体旅融合发展动能。</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政府引导、市场运作、社会参与模式，完善场地设施、赛事运营、安全保障、宣传推广体系，联动文旅、商务、农业等部门，推动“赛事+旅游+消费+文化”深度融合。通过“梅超”赛事IP赋能乡村振兴与城市营销，吸引观赛人流、激活消费市场、传播梅县形象，将特色赛事打造成为展示发展成果、凝聚群众共识、赋能区域经济的重要载体，助力我区体育事业与文旅产业高质量融合发展，擦亮“足球之乡”金字招牌，助力打造全省体旅融合示范标杆。</w:t>
      </w:r>
    </w:p>
    <w:p>
      <w:pPr>
        <w:pStyle w:val="4"/>
        <w:adjustRightInd w:val="0"/>
        <w:snapToGrid w:val="0"/>
        <w:spacing w:before="234" w:beforeLines="75"/>
        <w:jc w:val="both"/>
        <w:rPr>
          <w:rFonts w:hint="eastAsia" w:ascii="黑体" w:hAnsi="黑体"/>
          <w:color w:val="auto"/>
        </w:rPr>
      </w:pPr>
      <w:bookmarkStart w:id="558" w:name="_Toc235696679"/>
      <w:bookmarkStart w:id="559" w:name="_Toc233399998"/>
      <w:bookmarkStart w:id="560" w:name="_Toc233399607"/>
      <w:r>
        <w:rPr>
          <w:rFonts w:hint="eastAsia" w:ascii="黑体" w:hAnsi="黑体"/>
          <w:color w:val="auto"/>
        </w:rPr>
        <w:t>六、加强对外文旅交流合作</w:t>
      </w:r>
      <w:bookmarkEnd w:id="558"/>
      <w:bookmarkEnd w:id="559"/>
      <w:bookmarkEnd w:id="560"/>
    </w:p>
    <w:p>
      <w:pPr>
        <w:spacing w:line="560" w:lineRule="exact"/>
        <w:ind w:firstLine="640" w:firstLineChars="200"/>
        <w:rPr>
          <w:rFonts w:hint="eastAsia" w:ascii="仿宋_GB2312" w:hAnsi="方正仿宋_GB2312" w:eastAsia="仿宋_GB2312" w:cs="方正仿宋_GB2312"/>
          <w:sz w:val="32"/>
          <w:szCs w:val="32"/>
        </w:rPr>
      </w:pPr>
      <w:bookmarkStart w:id="561" w:name="OLE_LINK4"/>
      <w:bookmarkStart w:id="562" w:name="_Toc15632"/>
      <w:r>
        <w:rPr>
          <w:rFonts w:hint="eastAsia" w:ascii="仿宋_GB2312" w:hAnsi="方正仿宋_GB2312" w:eastAsia="仿宋_GB2312" w:cs="方正仿宋_GB2312"/>
          <w:sz w:val="32"/>
          <w:szCs w:val="32"/>
        </w:rPr>
        <w:t>牢牢把握广东省旅游控股集团有限公司对口帮扶梅县区的契机，持续深化产业协作和人才交流，积极推动“客源互送”，促进旅游市场繁荣发展，实现互利共赢。</w:t>
      </w:r>
      <w:bookmarkEnd w:id="56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积极组织重点文旅企业和非遗美食商家参加广东国际旅游产业博览会、海峡旅游博览会等，大力推广我区文旅产业和非遗文化品牌，加强与海内外文旅业界信息交流，促进产品销售和招商引资对接。</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充分发挥“南洋海丝路·客侨第一镇”松口镇对华侨华人的文化吸引力，鼓励华侨华人社团、协会等民间组织参与文化交流、促进合作</w:t>
      </w:r>
      <w:bookmarkEnd w:id="562"/>
      <w:r>
        <w:rPr>
          <w:rFonts w:hint="eastAsia" w:ascii="仿宋_GB2312" w:hAnsi="方正仿宋_GB2312" w:eastAsia="仿宋_GB2312" w:cs="方正仿宋_GB2312"/>
          <w:sz w:val="32"/>
          <w:szCs w:val="32"/>
        </w:rPr>
        <w:t>，加强与境外客属地区互通互联，通过资源共享、旅游推介、客源互送、文创开发等开展深度合作。</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方正仿宋_GB2312" w:hAnsi="方正仿宋_GB2312" w:eastAsia="方正仿宋_GB2312" w:cs="方正仿宋_GB2312"/>
                <w:sz w:val="32"/>
                <w:szCs w:val="32"/>
                <w:lang w:bidi="ar"/>
              </w:rPr>
              <w:br w:type="page"/>
            </w:r>
            <w:r>
              <w:rPr>
                <w:rFonts w:hint="eastAsia" w:ascii="Times New Roman" w:hAnsi="Times New Roman"/>
              </w:rPr>
              <w:t>专栏11 文化品牌建设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spacing w:line="360" w:lineRule="auto"/>
              <w:ind w:firstLine="482"/>
              <w:rPr>
                <w:sz w:val="24"/>
                <w:szCs w:val="24"/>
              </w:rPr>
            </w:pPr>
            <w:r>
              <w:rPr>
                <w:b/>
                <w:bCs/>
                <w:sz w:val="24"/>
                <w:szCs w:val="24"/>
              </w:rPr>
              <w:t xml:space="preserve">1. </w:t>
            </w:r>
            <w:r>
              <w:rPr>
                <w:rFonts w:hint="eastAsia"/>
                <w:b/>
                <w:bCs/>
                <w:sz w:val="24"/>
                <w:szCs w:val="24"/>
              </w:rPr>
              <w:t>培育特色文旅节会品牌</w:t>
            </w:r>
            <w:r>
              <w:rPr>
                <w:b/>
                <w:bCs/>
                <w:sz w:val="24"/>
                <w:szCs w:val="24"/>
              </w:rPr>
              <w:t>：</w:t>
            </w:r>
            <w:r>
              <w:rPr>
                <w:rFonts w:hint="eastAsia"/>
                <w:sz w:val="24"/>
                <w:szCs w:val="24"/>
              </w:rPr>
              <w:t>提质金柚嘉年华、中秋山歌节、春节分会场三大核心节会，培育客家非遗文化节、梅县茶旅文化节、红色文旅节、侨乡文化节、农趣文旅节、生态康养旅游节等六大特色活动。</w:t>
            </w:r>
          </w:p>
          <w:p>
            <w:pPr>
              <w:spacing w:line="360" w:lineRule="auto"/>
              <w:ind w:firstLine="482" w:firstLineChars="200"/>
              <w:rPr>
                <w:sz w:val="24"/>
                <w:szCs w:val="24"/>
              </w:rPr>
            </w:pPr>
            <w:r>
              <w:rPr>
                <w:rFonts w:hint="eastAsia"/>
                <w:b/>
                <w:bCs/>
                <w:sz w:val="24"/>
                <w:szCs w:val="24"/>
              </w:rPr>
              <w:t>2. 推进客家美食旅游品牌建设：</w:t>
            </w:r>
            <w:r>
              <w:rPr>
                <w:rFonts w:hint="eastAsia"/>
                <w:sz w:val="24"/>
                <w:szCs w:val="24"/>
              </w:rPr>
              <w:t>推出客家美食主题旅游线路，培育客家美食特色街区、美食体验店。</w:t>
            </w:r>
          </w:p>
          <w:p>
            <w:pPr>
              <w:spacing w:line="360" w:lineRule="auto"/>
              <w:ind w:firstLine="482" w:firstLineChars="200"/>
              <w:rPr>
                <w:sz w:val="24"/>
                <w:szCs w:val="24"/>
              </w:rPr>
            </w:pPr>
            <w:r>
              <w:rPr>
                <w:rFonts w:hint="eastAsia"/>
                <w:b/>
                <w:bCs/>
                <w:sz w:val="24"/>
                <w:szCs w:val="24"/>
              </w:rPr>
              <w:t>3. 提升“细柚”IP价值：</w:t>
            </w:r>
            <w:r>
              <w:rPr>
                <w:rFonts w:hint="eastAsia"/>
                <w:sz w:val="24"/>
                <w:szCs w:val="24"/>
              </w:rPr>
              <w:t>推动“细柚”IP形象的衍生品设计，探索IP版权商业化路径。</w:t>
            </w:r>
          </w:p>
          <w:p>
            <w:pPr>
              <w:spacing w:line="360" w:lineRule="auto"/>
              <w:ind w:firstLine="482" w:firstLineChars="200"/>
              <w:rPr>
                <w:sz w:val="24"/>
                <w:szCs w:val="24"/>
              </w:rPr>
            </w:pPr>
            <w:r>
              <w:rPr>
                <w:rFonts w:hint="eastAsia"/>
                <w:b/>
                <w:bCs/>
                <w:sz w:val="24"/>
                <w:szCs w:val="24"/>
              </w:rPr>
              <w:t xml:space="preserve">4. </w:t>
            </w:r>
            <w:r>
              <w:rPr>
                <w:rFonts w:hint="eastAsia"/>
                <w:b/>
                <w:sz w:val="24"/>
                <w:szCs w:val="24"/>
              </w:rPr>
              <w:t>擦亮“足球之乡”名片：</w:t>
            </w:r>
            <w:r>
              <w:rPr>
                <w:rFonts w:hint="eastAsia"/>
                <w:sz w:val="24"/>
                <w:szCs w:val="24"/>
              </w:rPr>
              <w:t>构建“区级联赛+镇街赛事+校园竞赛”三级赛事网络，打造“梅超”赛事体系。</w:t>
            </w:r>
          </w:p>
          <w:p>
            <w:pPr>
              <w:spacing w:line="360" w:lineRule="auto"/>
              <w:ind w:firstLine="482" w:firstLineChars="200"/>
              <w:rPr>
                <w:sz w:val="24"/>
                <w:szCs w:val="24"/>
              </w:rPr>
            </w:pPr>
            <w:r>
              <w:rPr>
                <w:rFonts w:hint="eastAsia"/>
                <w:b/>
                <w:sz w:val="24"/>
                <w:szCs w:val="24"/>
              </w:rPr>
              <w:t>5. 擦亮“文化之乡”品牌：</w:t>
            </w:r>
            <w:r>
              <w:rPr>
                <w:rFonts w:hint="eastAsia"/>
                <w:sz w:val="24"/>
                <w:szCs w:val="24"/>
              </w:rPr>
              <w:t>推进松口铜琶村文物修缮工作。</w:t>
            </w:r>
          </w:p>
          <w:p>
            <w:pPr>
              <w:spacing w:line="360" w:lineRule="auto"/>
              <w:ind w:firstLine="482" w:firstLineChars="200"/>
              <w:rPr>
                <w:sz w:val="24"/>
                <w:szCs w:val="24"/>
              </w:rPr>
            </w:pPr>
            <w:r>
              <w:rPr>
                <w:b/>
                <w:sz w:val="24"/>
                <w:szCs w:val="24"/>
              </w:rPr>
              <w:t xml:space="preserve">6. </w:t>
            </w:r>
            <w:r>
              <w:rPr>
                <w:rFonts w:hint="eastAsia"/>
                <w:b/>
                <w:sz w:val="24"/>
                <w:szCs w:val="24"/>
              </w:rPr>
              <w:t>加强对外交流：</w:t>
            </w:r>
            <w:r>
              <w:rPr>
                <w:rFonts w:hint="eastAsia"/>
                <w:sz w:val="24"/>
                <w:szCs w:val="24"/>
              </w:rPr>
              <w:t>抓住对口帮扶机遇，积极参加各类旅游博览会，利用好</w:t>
            </w:r>
            <w:r>
              <w:rPr>
                <w:sz w:val="24"/>
                <w:szCs w:val="24"/>
              </w:rPr>
              <w:t>侨胞、港澳台同胞资源</w:t>
            </w:r>
            <w:r>
              <w:rPr>
                <w:rFonts w:hint="eastAsia"/>
                <w:sz w:val="24"/>
                <w:szCs w:val="24"/>
              </w:rPr>
              <w:t>，拓展海外市场。</w:t>
            </w:r>
          </w:p>
        </w:tc>
      </w:tr>
    </w:tbl>
    <w:p>
      <w:pPr>
        <w:widowControl/>
        <w:rPr>
          <w:rFonts w:hint="eastAsia" w:ascii="方正仿宋_GB2312" w:hAnsi="方正仿宋_GB2312" w:eastAsia="方正仿宋_GB2312" w:cs="方正仿宋_GB2312"/>
          <w:sz w:val="32"/>
          <w:szCs w:val="32"/>
          <w:lang w:bidi="ar"/>
        </w:rPr>
      </w:pPr>
    </w:p>
    <w:p>
      <w:pPr>
        <w:widowControl/>
        <w:jc w:val="left"/>
        <w:rPr>
          <w:rFonts w:hint="eastAsia" w:ascii="方正仿宋_GB2312" w:hAnsi="方正仿宋_GB2312" w:eastAsia="方正仿宋_GB2312" w:cs="方正仿宋_GB2312"/>
          <w:sz w:val="32"/>
          <w:szCs w:val="32"/>
          <w:lang w:bidi="ar"/>
        </w:rPr>
      </w:pPr>
      <w:r>
        <w:rPr>
          <w:rFonts w:hint="eastAsia" w:ascii="方正仿宋_GB2312" w:hAnsi="方正仿宋_GB2312" w:eastAsia="方正仿宋_GB2312" w:cs="方正仿宋_GB2312"/>
          <w:sz w:val="32"/>
          <w:szCs w:val="32"/>
          <w:lang w:bidi="ar"/>
        </w:rPr>
        <w:br w:type="page"/>
      </w:r>
    </w:p>
    <w:p>
      <w:pPr>
        <w:pStyle w:val="3"/>
        <w:snapToGrid w:val="0"/>
        <w:spacing w:before="312" w:after="312"/>
        <w:jc w:val="both"/>
        <w:rPr>
          <w:rFonts w:hint="eastAsia" w:ascii="楷体" w:hAnsi="楷体"/>
          <w:color w:val="auto"/>
          <w:szCs w:val="36"/>
        </w:rPr>
      </w:pPr>
      <w:bookmarkStart w:id="563" w:name="_Toc27679"/>
      <w:bookmarkStart w:id="564" w:name="_Toc19006"/>
      <w:bookmarkStart w:id="565" w:name="_Toc235696680"/>
      <w:bookmarkStart w:id="566" w:name="_Toc11241"/>
      <w:bookmarkStart w:id="567" w:name="_Toc20960"/>
      <w:bookmarkStart w:id="568" w:name="_Toc2745"/>
      <w:bookmarkStart w:id="569" w:name="_Toc22104"/>
      <w:bookmarkStart w:id="570" w:name="_Toc31269"/>
      <w:r>
        <w:rPr>
          <w:rFonts w:hint="eastAsia" w:ascii="楷体" w:hAnsi="楷体"/>
          <w:color w:val="auto"/>
          <w:szCs w:val="36"/>
        </w:rPr>
        <w:t>第六节 培育壮大市场主体，增强文旅产业发展活力</w:t>
      </w:r>
      <w:bookmarkEnd w:id="563"/>
      <w:bookmarkEnd w:id="564"/>
      <w:bookmarkEnd w:id="565"/>
      <w:bookmarkEnd w:id="566"/>
      <w:bookmarkEnd w:id="567"/>
      <w:bookmarkEnd w:id="568"/>
      <w:bookmarkEnd w:id="569"/>
      <w:bookmarkEnd w:id="570"/>
    </w:p>
    <w:p>
      <w:pPr>
        <w:pStyle w:val="4"/>
        <w:adjustRightInd w:val="0"/>
        <w:snapToGrid w:val="0"/>
        <w:spacing w:before="234" w:beforeLines="75"/>
        <w:jc w:val="both"/>
        <w:rPr>
          <w:rFonts w:hint="eastAsia" w:ascii="黑体" w:hAnsi="黑体"/>
          <w:color w:val="auto"/>
        </w:rPr>
      </w:pPr>
      <w:bookmarkStart w:id="571" w:name="_Toc4156"/>
      <w:bookmarkStart w:id="572" w:name="_Toc11129"/>
      <w:bookmarkStart w:id="573" w:name="_Toc233400000"/>
      <w:bookmarkStart w:id="574" w:name="_Toc233399609"/>
      <w:bookmarkStart w:id="575" w:name="_Toc235696681"/>
      <w:bookmarkStart w:id="576" w:name="_Toc5733"/>
      <w:bookmarkStart w:id="577" w:name="_Toc233396491"/>
      <w:bookmarkStart w:id="578" w:name="_Toc24577"/>
      <w:bookmarkStart w:id="579" w:name="_Toc24789"/>
      <w:bookmarkStart w:id="580" w:name="_Toc20988"/>
      <w:bookmarkStart w:id="581" w:name="_Toc3503"/>
      <w:r>
        <w:rPr>
          <w:rFonts w:hint="eastAsia" w:ascii="黑体" w:hAnsi="黑体"/>
          <w:color w:val="auto"/>
        </w:rPr>
        <w:t>一、培育龙头文旅企业，打造产业发展“主引擎”</w:t>
      </w:r>
      <w:bookmarkEnd w:id="571"/>
      <w:bookmarkEnd w:id="572"/>
      <w:bookmarkEnd w:id="573"/>
      <w:bookmarkEnd w:id="574"/>
      <w:bookmarkEnd w:id="575"/>
      <w:bookmarkEnd w:id="576"/>
      <w:bookmarkEnd w:id="577"/>
      <w:bookmarkEnd w:id="578"/>
      <w:bookmarkEnd w:id="579"/>
      <w:bookmarkEnd w:id="580"/>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聚焦雁南飞、雁山湖等核心景区，实施本土龙头培育计划，扶持企业通过兼并重组等方式整合资源，打造综合性文旅集团，培育营收超亿元、有区域影响力的龙头企业，支持相关企业争创国家级标杆。</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重点培育和扶持一批本地旅游企业，引导旅游企业以市场为导向，以资产为纽带，通过参股、控股等方式形成企业集团，培育一批酒店经营集团、景区经营集团、旅行社集团，提高梅县区旅游企业竞争力。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加快山歌剧团和木偶剧团管理体制改革，同步推进两家剧团整合重组，优化资源配置，激发剧团干事创业活力。</w:t>
      </w:r>
    </w:p>
    <w:p>
      <w:pPr>
        <w:pStyle w:val="4"/>
        <w:adjustRightInd w:val="0"/>
        <w:snapToGrid w:val="0"/>
        <w:spacing w:before="234" w:beforeLines="75"/>
        <w:jc w:val="both"/>
        <w:rPr>
          <w:rFonts w:hint="eastAsia" w:ascii="黑体" w:hAnsi="黑体"/>
          <w:color w:val="auto"/>
        </w:rPr>
      </w:pPr>
      <w:bookmarkStart w:id="582" w:name="_Toc5116"/>
      <w:bookmarkStart w:id="583" w:name="_Toc233396492"/>
      <w:bookmarkStart w:id="584" w:name="_Toc2720"/>
      <w:bookmarkStart w:id="585" w:name="_Toc235696682"/>
      <w:bookmarkStart w:id="586" w:name="_Toc4939"/>
      <w:bookmarkStart w:id="587" w:name="_Toc233399610"/>
      <w:bookmarkStart w:id="588" w:name="_Toc6604"/>
      <w:bookmarkStart w:id="589" w:name="_Toc22299"/>
      <w:bookmarkStart w:id="590" w:name="_Toc233400001"/>
      <w:bookmarkStart w:id="591" w:name="_Toc14559"/>
      <w:r>
        <w:rPr>
          <w:rFonts w:hint="eastAsia" w:ascii="黑体" w:hAnsi="黑体"/>
          <w:color w:val="auto"/>
        </w:rPr>
        <w:t>二、深化“走出去、引进来”战略，拓宽产业发展“新通道”</w:t>
      </w:r>
      <w:bookmarkEnd w:id="582"/>
      <w:bookmarkEnd w:id="583"/>
      <w:bookmarkEnd w:id="584"/>
      <w:bookmarkEnd w:id="585"/>
      <w:bookmarkEnd w:id="586"/>
      <w:bookmarkEnd w:id="587"/>
      <w:bookmarkEnd w:id="588"/>
      <w:bookmarkEnd w:id="589"/>
      <w:bookmarkEnd w:id="590"/>
      <w:bookmarkEnd w:id="59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深化“走出去、引进来”战略，主动对接广东省旅游控股集团等国内知名文旅企业，发挥其在规划设计、资本运作、品牌运营、市场营销等方面的优势，深度参与松口古镇“南洋海丝路・客侨第一镇”、丙雁松文旅集聚区等重点项目的整体开发、专业化运营与品牌提升；大力引进国内外知名旅游企业，结合梅县区苏区融湾先行区建设定位，构建与湾区接轨、兼具客家特色的旅游管理体制和运营机制，提升梅县区旅游产业的国际化、品质化水平，进一步强化龙头引领作用。</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组织重点文旅企业和非遗美食商家参加广东国际旅游产业博览会、海峡旅游博览会等，大力推广我区文旅产业和非遗文化品牌，加强与海内外文旅业界信息交流，促进产品销售和招商引资对接；充分发挥松口镇“南洋海丝路·客侨第一镇”对华侨华人的文化吸引力，鼓励华侨华人社团、协会等民间组织参与合作，联合闽赣两省客家地区共建“千里客家文化旅游长廊”，依托世界客商大会等平台加强旅游推介，拓宽文旅市场空间，带动各类市场主体提质增效。同时持续深化与广东省旅游控股集团有限公司的产业协作和人才交流，积极推动“客源互送”，助力文旅企业拓宽市场、提升竞争力。</w:t>
      </w:r>
    </w:p>
    <w:p>
      <w:pPr>
        <w:pStyle w:val="4"/>
        <w:adjustRightInd w:val="0"/>
        <w:snapToGrid w:val="0"/>
        <w:spacing w:before="234" w:beforeLines="75"/>
        <w:jc w:val="both"/>
        <w:rPr>
          <w:rFonts w:hint="eastAsia" w:ascii="黑体" w:hAnsi="黑体"/>
          <w:color w:val="auto"/>
        </w:rPr>
      </w:pPr>
      <w:bookmarkStart w:id="592" w:name="_Toc233399611"/>
      <w:bookmarkStart w:id="593" w:name="_Toc21682"/>
      <w:bookmarkStart w:id="594" w:name="_Toc233396493"/>
      <w:bookmarkStart w:id="595" w:name="_Toc3943"/>
      <w:bookmarkStart w:id="596" w:name="_Toc233400002"/>
      <w:bookmarkStart w:id="597" w:name="_Toc27419"/>
      <w:bookmarkStart w:id="598" w:name="_Toc235696683"/>
      <w:bookmarkStart w:id="599" w:name="_Toc11700"/>
      <w:bookmarkStart w:id="600" w:name="_Toc14067"/>
      <w:bookmarkStart w:id="601" w:name="_Toc5910"/>
      <w:r>
        <w:rPr>
          <w:rFonts w:hint="eastAsia" w:ascii="黑体" w:hAnsi="黑体"/>
          <w:color w:val="auto"/>
        </w:rPr>
        <w:t>三、扶持中小微文旅企业，激活产业发展“微细胞”</w:t>
      </w:r>
      <w:bookmarkEnd w:id="592"/>
      <w:bookmarkEnd w:id="593"/>
      <w:bookmarkEnd w:id="594"/>
      <w:bookmarkEnd w:id="595"/>
      <w:bookmarkEnd w:id="596"/>
      <w:bookmarkEnd w:id="597"/>
      <w:bookmarkEnd w:id="598"/>
      <w:bookmarkEnd w:id="599"/>
      <w:bookmarkEnd w:id="600"/>
      <w:bookmarkEnd w:id="60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在用地、金融、税收等方面精准支持客家文创、精品民宿等领域发展，落实“惠企梅州”政策降低创业门槛。搭建政企、银企等合作平台，培育“客韵梅宿”民宿品牌，打造特色民宿集群；推动非遗与文创结合，开发特色产品，将丙雁松片区打造成中小微文旅企业创新创业高地。</w:t>
      </w:r>
    </w:p>
    <w:p>
      <w:pPr>
        <w:pStyle w:val="4"/>
        <w:adjustRightInd w:val="0"/>
        <w:snapToGrid w:val="0"/>
        <w:spacing w:before="234" w:beforeLines="75"/>
        <w:jc w:val="both"/>
        <w:rPr>
          <w:rFonts w:hint="eastAsia" w:ascii="黑体" w:hAnsi="黑体"/>
          <w:color w:val="auto"/>
        </w:rPr>
      </w:pPr>
      <w:bookmarkStart w:id="602" w:name="_Toc9998"/>
      <w:bookmarkStart w:id="603" w:name="_Toc19372"/>
      <w:bookmarkStart w:id="604" w:name="_Toc13846"/>
      <w:bookmarkStart w:id="605" w:name="_Toc26298"/>
      <w:bookmarkStart w:id="606" w:name="_Toc233400003"/>
      <w:bookmarkStart w:id="607" w:name="_Toc233399612"/>
      <w:bookmarkStart w:id="608" w:name="_Toc2560"/>
      <w:bookmarkStart w:id="609" w:name="_Toc22957"/>
      <w:bookmarkStart w:id="610" w:name="_Toc235696684"/>
      <w:bookmarkStart w:id="611" w:name="_Toc233396494"/>
      <w:r>
        <w:rPr>
          <w:rFonts w:hint="eastAsia" w:ascii="黑体" w:hAnsi="黑体"/>
          <w:color w:val="auto"/>
        </w:rPr>
        <w:t>四、推动文旅项目招商落地，夯实产业发展“硬支撑”</w:t>
      </w:r>
      <w:bookmarkEnd w:id="602"/>
      <w:bookmarkEnd w:id="603"/>
      <w:bookmarkEnd w:id="604"/>
      <w:bookmarkEnd w:id="605"/>
      <w:bookmarkEnd w:id="606"/>
      <w:bookmarkEnd w:id="607"/>
      <w:bookmarkEnd w:id="608"/>
      <w:bookmarkEnd w:id="609"/>
      <w:bookmarkEnd w:id="610"/>
      <w:bookmarkEnd w:id="61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围绕客家文化、红色文化、绿色生态、客侨融合等四大主题，谋划农文旅体商融合重点项目，推进松口古镇保护提升等项目建设，建立区级重点项目库，实行清单化、动态化管理。优化营商环境，深化“放管服”改革，创新合作模式招引社会资本，建立项目跟踪服务机制，实行“一对一”精准服务，推动项目早开工、早见效。</w:t>
      </w:r>
    </w:p>
    <w:tbl>
      <w:tblPr>
        <w:tblStyle w:val="21"/>
        <w:tblW w:w="8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tcPr>
          <w:p>
            <w:pPr>
              <w:pStyle w:val="37"/>
              <w:numPr>
                <w:ilvl w:val="0"/>
                <w:numId w:val="0"/>
              </w:numPr>
              <w:rPr>
                <w:rFonts w:ascii="Times New Roman" w:hAnsi="Times New Roman"/>
              </w:rPr>
            </w:pPr>
            <w:r>
              <w:rPr>
                <w:rFonts w:hint="eastAsia" w:ascii="方正仿宋_GB2312" w:hAnsi="方正仿宋_GB2312" w:eastAsia="方正仿宋_GB2312" w:cs="方正仿宋_GB2312"/>
                <w:sz w:val="32"/>
                <w:szCs w:val="32"/>
                <w:lang w:bidi="ar"/>
              </w:rPr>
              <w:br w:type="page"/>
            </w:r>
            <w:r>
              <w:rPr>
                <w:rFonts w:hint="eastAsia" w:ascii="Times New Roman" w:hAnsi="Times New Roman"/>
              </w:rPr>
              <w:t>专栏12 培育市场主体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368" w:type="dxa"/>
            <w:tcBorders>
              <w:top w:val="single" w:color="auto" w:sz="4" w:space="0"/>
              <w:left w:val="single" w:color="auto" w:sz="4" w:space="0"/>
              <w:bottom w:val="single" w:color="auto" w:sz="4" w:space="0"/>
              <w:right w:val="single" w:color="auto" w:sz="4" w:space="0"/>
              <w:tl2br w:val="nil"/>
              <w:tr2bl w:val="nil"/>
            </w:tcBorders>
            <w:tcMar>
              <w:top w:w="0" w:type="dxa"/>
              <w:left w:w="108" w:type="dxa"/>
              <w:bottom w:w="0" w:type="dxa"/>
              <w:right w:w="108" w:type="dxa"/>
            </w:tcMar>
            <w:vAlign w:val="center"/>
          </w:tcPr>
          <w:p>
            <w:pPr>
              <w:pStyle w:val="30"/>
              <w:numPr>
                <w:ilvl w:val="0"/>
                <w:numId w:val="3"/>
              </w:numPr>
              <w:spacing w:line="360" w:lineRule="auto"/>
              <w:ind w:firstLineChars="0"/>
              <w:rPr>
                <w:sz w:val="24"/>
                <w:szCs w:val="24"/>
              </w:rPr>
            </w:pPr>
            <w:r>
              <w:rPr>
                <w:rFonts w:hint="eastAsia"/>
                <w:b/>
                <w:bCs/>
                <w:sz w:val="24"/>
                <w:szCs w:val="24"/>
              </w:rPr>
              <w:t>培育龙头文旅企业：</w:t>
            </w:r>
            <w:r>
              <w:rPr>
                <w:rFonts w:hint="eastAsia"/>
                <w:sz w:val="24"/>
                <w:szCs w:val="24"/>
              </w:rPr>
              <w:t>规上旅游企业2家；推进两家剧团整合重组。</w:t>
            </w:r>
          </w:p>
          <w:p>
            <w:pPr>
              <w:pStyle w:val="30"/>
              <w:numPr>
                <w:ilvl w:val="0"/>
                <w:numId w:val="3"/>
              </w:numPr>
              <w:spacing w:line="360" w:lineRule="auto"/>
              <w:ind w:firstLineChars="0"/>
              <w:rPr>
                <w:sz w:val="24"/>
                <w:szCs w:val="24"/>
              </w:rPr>
            </w:pPr>
            <w:r>
              <w:rPr>
                <w:rFonts w:hint="eastAsia"/>
                <w:b/>
                <w:bCs/>
                <w:sz w:val="24"/>
                <w:szCs w:val="24"/>
              </w:rPr>
              <w:t>扶持本地文旅企业：</w:t>
            </w:r>
            <w:r>
              <w:rPr>
                <w:rFonts w:hint="eastAsia"/>
                <w:sz w:val="24"/>
                <w:szCs w:val="24"/>
              </w:rPr>
              <w:t>将丙雁松片区打造成中小微文旅企业创新创业高地。</w:t>
            </w:r>
          </w:p>
          <w:p>
            <w:pPr>
              <w:pStyle w:val="30"/>
              <w:numPr>
                <w:ilvl w:val="0"/>
                <w:numId w:val="3"/>
              </w:numPr>
              <w:spacing w:line="360" w:lineRule="auto"/>
              <w:ind w:firstLineChars="0"/>
              <w:rPr>
                <w:sz w:val="24"/>
                <w:szCs w:val="24"/>
              </w:rPr>
            </w:pPr>
            <w:r>
              <w:rPr>
                <w:rFonts w:hint="eastAsia"/>
                <w:b/>
                <w:bCs/>
                <w:sz w:val="24"/>
                <w:szCs w:val="24"/>
              </w:rPr>
              <w:t>推动文旅项目招商落地：</w:t>
            </w:r>
            <w:r>
              <w:rPr>
                <w:rFonts w:hint="eastAsia"/>
                <w:sz w:val="24"/>
                <w:szCs w:val="24"/>
              </w:rPr>
              <w:t>重点推进松口古镇保护提升项目建设落地，建立区级重点项目库。</w:t>
            </w:r>
          </w:p>
        </w:tc>
      </w:tr>
    </w:tbl>
    <w:p>
      <w:pPr>
        <w:spacing w:line="560" w:lineRule="exact"/>
        <w:ind w:firstLine="640" w:firstLineChars="200"/>
        <w:rPr>
          <w:rFonts w:hint="eastAsia" w:ascii="方正仿宋_GB2312" w:hAnsi="方正仿宋_GB2312" w:eastAsia="方正仿宋_GB2312" w:cs="方正仿宋_GB2312"/>
          <w:sz w:val="32"/>
          <w:szCs w:val="32"/>
        </w:rPr>
      </w:pPr>
    </w:p>
    <w:p>
      <w:pPr>
        <w:widowControl/>
        <w:rPr>
          <w:rFonts w:hint="eastAsia" w:ascii="仿宋" w:hAnsi="仿宋" w:eastAsia="仿宋"/>
          <w:sz w:val="24"/>
          <w:szCs w:val="24"/>
        </w:rPr>
      </w:pPr>
      <w:r>
        <w:rPr>
          <w:rFonts w:ascii="仿宋" w:hAnsi="仿宋" w:eastAsia="仿宋"/>
          <w:sz w:val="24"/>
          <w:szCs w:val="24"/>
        </w:rPr>
        <w:br w:type="page"/>
      </w:r>
    </w:p>
    <w:p>
      <w:pPr>
        <w:snapToGrid w:val="0"/>
        <w:spacing w:before="78"/>
        <w:rPr>
          <w:rFonts w:hint="eastAsia" w:ascii="黑体" w:hAnsi="黑体"/>
        </w:rPr>
      </w:pPr>
    </w:p>
    <w:bookmarkEnd w:id="581"/>
    <w:p>
      <w:pPr>
        <w:pStyle w:val="2"/>
        <w:snapToGrid w:val="0"/>
        <w:jc w:val="center"/>
        <w:rPr>
          <w:rFonts w:hint="eastAsia" w:ascii="黑体" w:hAnsi="黑体"/>
          <w:color w:val="auto"/>
        </w:rPr>
      </w:pPr>
      <w:bookmarkStart w:id="612" w:name="_Toc8788"/>
      <w:bookmarkStart w:id="613" w:name="_Toc20800"/>
      <w:bookmarkStart w:id="614" w:name="_Toc2064"/>
      <w:bookmarkStart w:id="615" w:name="_Toc11713"/>
      <w:bookmarkStart w:id="616" w:name="_Toc235696685"/>
      <w:bookmarkStart w:id="617" w:name="_Toc25187"/>
      <w:bookmarkStart w:id="618" w:name="_Toc15134"/>
      <w:bookmarkStart w:id="619" w:name="_Toc11555"/>
      <w:r>
        <w:rPr>
          <w:rFonts w:ascii="黑体" w:hAnsi="黑体"/>
          <w:color w:val="auto"/>
        </w:rPr>
        <w:t>第</w:t>
      </w:r>
      <w:r>
        <w:rPr>
          <w:rFonts w:hint="eastAsia" w:ascii="黑体" w:hAnsi="黑体"/>
          <w:color w:val="auto"/>
        </w:rPr>
        <w:t>五</w:t>
      </w:r>
      <w:r>
        <w:rPr>
          <w:rFonts w:ascii="黑体" w:hAnsi="黑体"/>
          <w:color w:val="auto"/>
        </w:rPr>
        <w:t>章</w:t>
      </w:r>
      <w:r>
        <w:rPr>
          <w:rFonts w:ascii="微软雅黑" w:hAnsi="微软雅黑" w:eastAsia="微软雅黑"/>
          <w:color w:val="auto"/>
        </w:rPr>
        <w:t xml:space="preserve"> </w:t>
      </w:r>
      <w:r>
        <w:rPr>
          <w:rFonts w:ascii="黑体" w:hAnsi="黑体"/>
          <w:color w:val="auto"/>
        </w:rPr>
        <w:t>实施保障</w:t>
      </w:r>
      <w:bookmarkEnd w:id="612"/>
      <w:bookmarkEnd w:id="613"/>
      <w:bookmarkEnd w:id="614"/>
      <w:bookmarkEnd w:id="615"/>
      <w:bookmarkEnd w:id="616"/>
      <w:bookmarkEnd w:id="617"/>
      <w:bookmarkEnd w:id="618"/>
      <w:bookmarkEnd w:id="619"/>
    </w:p>
    <w:p>
      <w:pPr>
        <w:pStyle w:val="3"/>
        <w:snapToGrid w:val="0"/>
        <w:spacing w:before="312" w:after="312"/>
        <w:jc w:val="both"/>
        <w:rPr>
          <w:rFonts w:hint="eastAsia" w:ascii="楷体" w:hAnsi="楷体"/>
          <w:color w:val="auto"/>
          <w:szCs w:val="36"/>
        </w:rPr>
      </w:pPr>
      <w:bookmarkStart w:id="620" w:name="_Toc235696686"/>
      <w:bookmarkStart w:id="621" w:name="_Toc26614"/>
      <w:bookmarkStart w:id="622" w:name="_Toc20831"/>
      <w:bookmarkStart w:id="623" w:name="_Toc21190"/>
      <w:bookmarkStart w:id="624" w:name="_Toc25552"/>
      <w:bookmarkStart w:id="625" w:name="_Toc24407"/>
      <w:bookmarkStart w:id="626" w:name="_Toc4048"/>
      <w:r>
        <w:rPr>
          <w:rFonts w:hint="eastAsia" w:ascii="楷体" w:hAnsi="楷体"/>
          <w:color w:val="auto"/>
          <w:szCs w:val="36"/>
        </w:rPr>
        <w:t xml:space="preserve">第一节 </w:t>
      </w:r>
      <w:r>
        <w:rPr>
          <w:rFonts w:ascii="楷体" w:hAnsi="楷体"/>
          <w:color w:val="auto"/>
          <w:szCs w:val="36"/>
        </w:rPr>
        <w:t>组织机制保障</w:t>
      </w:r>
      <w:bookmarkEnd w:id="620"/>
      <w:bookmarkEnd w:id="621"/>
      <w:bookmarkEnd w:id="622"/>
      <w:bookmarkEnd w:id="623"/>
      <w:bookmarkEnd w:id="624"/>
      <w:bookmarkEnd w:id="625"/>
      <w:bookmarkEnd w:id="626"/>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强化核心职能引领。</w:t>
      </w:r>
      <w:r>
        <w:rPr>
          <w:rFonts w:hint="eastAsia" w:ascii="仿宋_GB2312" w:hAnsi="方正仿宋_GB2312" w:eastAsia="仿宋_GB2312" w:cs="方正仿宋_GB2312"/>
          <w:sz w:val="32"/>
          <w:szCs w:val="32"/>
        </w:rPr>
        <w:t>明确文化广电旅游体育局统筹主导作用，牵头制定全区旅游发展总体规划及专项衔接规划，统一市场管理与质量监管，指导A级旅游景区建设管理，组织整体营销推广“听山歌、赏繁花、摘金柚、品茗茶”特色品牌，常态化开展旅游从业人员培训，提升管理服务水平。</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深化资源统筹管理。</w:t>
      </w:r>
      <w:r>
        <w:rPr>
          <w:rFonts w:hint="eastAsia" w:ascii="仿宋_GB2312" w:hAnsi="方正仿宋_GB2312" w:eastAsia="仿宋_GB2312" w:cs="方正仿宋_GB2312"/>
          <w:sz w:val="32"/>
          <w:szCs w:val="32"/>
        </w:rPr>
        <w:t>打破多头管理壁垒，一体化统筹全区三色文旅资源，实施分类联动、错位发展，防范同质竞争与重复建设。以丙雁松片区省级农文旅融合发展试点为突破口，打造融合样板，优化资源布局，提升文旅产业市场竞争力，推动“美丽资源”向“美丽经济”转化。</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健全多元协同机制。</w:t>
      </w:r>
      <w:r>
        <w:rPr>
          <w:rFonts w:hint="eastAsia" w:ascii="仿宋_GB2312" w:hAnsi="方正仿宋_GB2312" w:eastAsia="仿宋_GB2312" w:cs="方正仿宋_GB2312"/>
          <w:sz w:val="32"/>
          <w:szCs w:val="32"/>
        </w:rPr>
        <w:t>构建部门、城乡、政企协同格局。建立多部门联动机制，协调解决规划实施重点难点；构建“政府引导、企业主体、市场运作”促销机制，借力梅龙高铁融湾优势，依托协同决策平台制定季节性营销计划，整合资源搭建数字营销平台、开展跨区域推广，建立数据共享反馈机制，推动“引客入梅”向“引客留梅”转变，实现政企共赢。</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强化要素保障支撑。</w:t>
      </w:r>
      <w:r>
        <w:rPr>
          <w:rFonts w:hint="eastAsia" w:ascii="仿宋_GB2312" w:hAnsi="方正仿宋_GB2312" w:eastAsia="仿宋_GB2312" w:cs="方正仿宋_GB2312"/>
          <w:sz w:val="32"/>
          <w:szCs w:val="32"/>
        </w:rPr>
        <w:t>完善体制机制，聚焦政策、人才、资金等关键要素，优化政策扶持导向，加大人才引育力度，健全多元化资金投入机制。推动公共文化服务提质增效，促进居游一体长效发展，确保“十五五”文旅规划各项任务落地见效。</w:t>
      </w:r>
    </w:p>
    <w:p>
      <w:pPr>
        <w:pStyle w:val="3"/>
        <w:snapToGrid w:val="0"/>
        <w:spacing w:before="312" w:after="312"/>
        <w:jc w:val="both"/>
        <w:rPr>
          <w:rFonts w:hint="eastAsia" w:ascii="楷体" w:hAnsi="楷体"/>
          <w:color w:val="auto"/>
          <w:szCs w:val="36"/>
        </w:rPr>
      </w:pPr>
      <w:bookmarkStart w:id="627" w:name="_Toc9069"/>
      <w:bookmarkStart w:id="628" w:name="_Toc14500"/>
      <w:bookmarkStart w:id="629" w:name="_Toc27814"/>
      <w:bookmarkStart w:id="630" w:name="_Toc2176"/>
      <w:bookmarkStart w:id="631" w:name="_Toc235696687"/>
      <w:bookmarkStart w:id="632" w:name="_Toc21519"/>
      <w:bookmarkStart w:id="633" w:name="_Toc22674"/>
      <w:r>
        <w:rPr>
          <w:rFonts w:hint="eastAsia" w:ascii="楷体" w:hAnsi="楷体"/>
          <w:color w:val="auto"/>
          <w:szCs w:val="36"/>
        </w:rPr>
        <w:t>第二节 政策法规保障</w:t>
      </w:r>
      <w:bookmarkEnd w:id="627"/>
      <w:bookmarkEnd w:id="628"/>
      <w:bookmarkEnd w:id="629"/>
      <w:bookmarkEnd w:id="630"/>
      <w:bookmarkEnd w:id="631"/>
      <w:bookmarkEnd w:id="632"/>
      <w:bookmarkEnd w:id="633"/>
    </w:p>
    <w:p>
      <w:pPr>
        <w:pStyle w:val="4"/>
        <w:adjustRightInd w:val="0"/>
        <w:snapToGrid w:val="0"/>
        <w:spacing w:before="234" w:beforeLines="75"/>
        <w:jc w:val="both"/>
        <w:rPr>
          <w:rFonts w:hint="eastAsia" w:ascii="黑体" w:hAnsi="黑体"/>
          <w:color w:val="auto"/>
        </w:rPr>
      </w:pPr>
      <w:bookmarkStart w:id="634" w:name="_Toc233400007"/>
      <w:bookmarkStart w:id="635" w:name="_Toc235696688"/>
      <w:r>
        <w:rPr>
          <w:rFonts w:hint="eastAsia" w:ascii="黑体" w:hAnsi="黑体"/>
          <w:color w:val="auto"/>
        </w:rPr>
        <w:t>一、强化资金保障，优化财税扶持体系</w:t>
      </w:r>
      <w:bookmarkEnd w:id="634"/>
      <w:bookmarkEnd w:id="63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区财政持续加大文旅产业投入，重点用于旅游宣传促销、重点文旅项目建设补贴，以及对业绩突出旅游企业的奖励；针对企业在客家非遗文创开发、智慧景区建设、文旅直播运营、客家文化跨界IP合作等创新运营模式，设立专项评优激励机制。</w:t>
      </w:r>
    </w:p>
    <w:p>
      <w:pPr>
        <w:spacing w:line="560" w:lineRule="exact"/>
        <w:ind w:firstLine="640" w:firstLineChars="200"/>
        <w:rPr>
          <w:rFonts w:hint="eastAsia" w:ascii="方正仿宋_GB2312" w:hAnsi="方正仿宋_GB2312" w:eastAsia="方正仿宋_GB2312" w:cs="方正仿宋_GB2312"/>
          <w:sz w:val="32"/>
          <w:szCs w:val="32"/>
        </w:rPr>
      </w:pPr>
      <w:r>
        <w:rPr>
          <w:rFonts w:hint="eastAsia" w:ascii="仿宋_GB2312" w:hAnsi="方正仿宋_GB2312" w:eastAsia="仿宋_GB2312" w:cs="方正仿宋_GB2312"/>
          <w:sz w:val="32"/>
          <w:szCs w:val="32"/>
        </w:rPr>
        <w:t>各乡镇结合美丽圩镇建设实际，统筹整合农业、工业、交通、城建、园林、科技、水利、环保、文化等领域相关资金，向具备旅游功能的项目倾斜，重点支持农文旅深度融合、红色旅游提质、客家古村落保护等重点项目建设。同时。进一步争取上级财政税收扶持政策，对A级以上旅游区、农业旅游示范点、星级饭店、规模以上旅行社及旅游定点单位，实行专项税收优惠政策，重点扶持南寿峰、大观天下、南福金柚基地等新晋或新建A级旅游景区提质升级，培育一批具有核心竞争力的旅游市场主体。</w:t>
      </w:r>
    </w:p>
    <w:p>
      <w:pPr>
        <w:pStyle w:val="4"/>
        <w:adjustRightInd w:val="0"/>
        <w:snapToGrid w:val="0"/>
        <w:spacing w:before="234" w:beforeLines="75"/>
        <w:jc w:val="both"/>
        <w:rPr>
          <w:rFonts w:hint="eastAsia" w:ascii="黑体" w:hAnsi="黑体"/>
          <w:color w:val="auto"/>
        </w:rPr>
      </w:pPr>
      <w:bookmarkStart w:id="636" w:name="_Toc235696689"/>
      <w:bookmarkStart w:id="637" w:name="_Toc233400009"/>
      <w:r>
        <w:rPr>
          <w:rFonts w:hint="eastAsia" w:ascii="黑体" w:hAnsi="黑体"/>
          <w:color w:val="auto"/>
        </w:rPr>
        <w:t>二、抢抓政策机遇，强化上位政策衔接落实</w:t>
      </w:r>
      <w:bookmarkEnd w:id="636"/>
      <w:bookmarkEnd w:id="637"/>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依托国家、省对革命老区、原中央苏区文化旅游发展的财税优惠政策和重点项目扶持导向，精准对接《关于新时代支持革命老区振兴发展的意见》《广东省加快推进文化和旅游融合发展三年行动计划》《广东省关于进一步提升革命老区和原中央苏区公共文化服务水平三年行动计划》等上级政策文件，梳理重点扶持项目清单，全力争取上级资金、项目、政策支持。</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充分发挥政策引导激励作用，加强旅游业发展战略性、前瞻性研究，做好政策储备工作，针对“十五五”期间旅游业发展新形势、新需求，及时制定或完善规划配套政策，确保规划落地见效。同时，加大已有各项扶持政策的执行力度，建立政策执行监督机制，定期开展政策实施效果评估，及时解决政策执行中存在的问题，确保各项政策红利直达快享、落地生根，为梅县区旅游业高质量发展提供坚实政策支撑。</w:t>
      </w:r>
    </w:p>
    <w:p>
      <w:pPr>
        <w:pStyle w:val="3"/>
        <w:snapToGrid w:val="0"/>
        <w:spacing w:before="312" w:after="312"/>
        <w:jc w:val="both"/>
        <w:rPr>
          <w:rFonts w:hint="eastAsia" w:ascii="楷体" w:hAnsi="楷体"/>
          <w:color w:val="auto"/>
          <w:szCs w:val="36"/>
        </w:rPr>
      </w:pPr>
      <w:bookmarkStart w:id="638" w:name="_Toc14338"/>
      <w:bookmarkStart w:id="639" w:name="_Toc5852"/>
      <w:bookmarkStart w:id="640" w:name="_Toc235696690"/>
      <w:bookmarkStart w:id="641" w:name="_Toc2543"/>
      <w:bookmarkStart w:id="642" w:name="_Toc29305"/>
      <w:bookmarkStart w:id="643" w:name="_Toc24533"/>
      <w:bookmarkStart w:id="644" w:name="_Toc23956"/>
      <w:r>
        <w:rPr>
          <w:rFonts w:hint="eastAsia" w:ascii="楷体" w:hAnsi="楷体"/>
          <w:color w:val="auto"/>
          <w:szCs w:val="36"/>
        </w:rPr>
        <w:t>第三节 投融资保障</w:t>
      </w:r>
      <w:bookmarkEnd w:id="638"/>
      <w:bookmarkEnd w:id="639"/>
      <w:bookmarkEnd w:id="640"/>
      <w:bookmarkEnd w:id="641"/>
      <w:bookmarkEnd w:id="642"/>
      <w:bookmarkEnd w:id="643"/>
      <w:bookmarkEnd w:id="644"/>
    </w:p>
    <w:p>
      <w:pPr>
        <w:pStyle w:val="4"/>
        <w:adjustRightInd w:val="0"/>
        <w:snapToGrid w:val="0"/>
        <w:spacing w:before="234" w:beforeLines="75"/>
        <w:jc w:val="both"/>
        <w:rPr>
          <w:rFonts w:hint="eastAsia" w:ascii="黑体" w:hAnsi="黑体"/>
          <w:color w:val="auto"/>
        </w:rPr>
      </w:pPr>
      <w:bookmarkStart w:id="645" w:name="_Toc233400011"/>
      <w:bookmarkStart w:id="646" w:name="_Toc235696691"/>
      <w:r>
        <w:rPr>
          <w:rFonts w:hint="eastAsia" w:ascii="黑体" w:hAnsi="黑体"/>
          <w:color w:val="auto"/>
        </w:rPr>
        <w:t>一、强化政府引导，发挥财政资金杠杆效能</w:t>
      </w:r>
      <w:bookmarkEnd w:id="645"/>
      <w:bookmarkEnd w:id="646"/>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立足政府引导、市场主导原则，充分发挥财政资金的撬动作用，整合各级财政资源，为旅游投融资工作筑牢基础。</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整合各级财政扶持资金。</w:t>
      </w:r>
      <w:r>
        <w:rPr>
          <w:rFonts w:hint="eastAsia" w:ascii="仿宋_GB2312" w:hAnsi="方正仿宋_GB2312" w:eastAsia="仿宋_GB2312" w:cs="方正仿宋_GB2312"/>
          <w:sz w:val="32"/>
          <w:szCs w:val="32"/>
        </w:rPr>
        <w:t>统筹中央、省、市各级财政支农资金、苏区振兴资金、扶贫基金，重点向雁洋、松口等文旅重点镇倾斜，助力乡村旅游提质发展；优化财政预算资源分配，优先保障旅游重大项目支出，积极争取中央、省级财政对老区苏区公共文化及旅游产业的投入支持，用好乡村振兴等“三农”相关资金，多渠道整合文体旅游发展资源；加大政府向社会力量购买公共文化服务力度，对符合培育条件的文旅企业给予专项资金扶持，激发企业发展活力。同时，激活农民私有财产，推动农村集体资产合理流动，引导农村民间资本投入乡村旅游项目，助力村级集体经济提质增效。</w:t>
      </w:r>
    </w:p>
    <w:p>
      <w:pPr>
        <w:pStyle w:val="4"/>
        <w:adjustRightInd w:val="0"/>
        <w:snapToGrid w:val="0"/>
        <w:spacing w:before="234" w:beforeLines="75"/>
        <w:jc w:val="both"/>
        <w:rPr>
          <w:rFonts w:hint="eastAsia" w:ascii="黑体" w:hAnsi="黑体"/>
          <w:color w:val="auto"/>
        </w:rPr>
      </w:pPr>
      <w:bookmarkStart w:id="647" w:name="_Toc233400012"/>
      <w:bookmarkStart w:id="648" w:name="_Toc235696692"/>
      <w:r>
        <w:rPr>
          <w:rFonts w:hint="eastAsia" w:ascii="黑体" w:hAnsi="黑体"/>
          <w:color w:val="auto"/>
        </w:rPr>
        <w:t>二、深化市场化运作，拓宽社会资本投入渠道</w:t>
      </w:r>
      <w:bookmarkEnd w:id="647"/>
      <w:bookmarkEnd w:id="64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坚持市场化导向，创新投融资模式，优化投资环境，充分调动社会资本积极性，构建多元化、多层次的投融资体系。</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优化投融资环境。</w:t>
      </w:r>
      <w:r>
        <w:rPr>
          <w:rFonts w:hint="eastAsia" w:ascii="仿宋_GB2312" w:hAnsi="方正仿宋_GB2312" w:eastAsia="仿宋_GB2312" w:cs="方正仿宋_GB2312"/>
          <w:sz w:val="32"/>
          <w:szCs w:val="32"/>
        </w:rPr>
        <w:t>整合政府资源与市场资本，盘活雁山湖、松口古镇等核心文旅资产，推动旅游基础设施和公共服务设施升级；依托梅州综保区、梅县产业园等平台优势，加大招商引资力度，重点吸引实力企业投资梅县旅游产业，鼓励区内民营企业家回乡创业投资，以松口印象、丙雁松农文旅试点等重大项目、新业态为抓手，吸引大规模投资落地。</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创新市场化融资模式。</w:t>
      </w:r>
      <w:r>
        <w:rPr>
          <w:rFonts w:hint="eastAsia" w:ascii="仿宋_GB2312" w:hAnsi="方正仿宋_GB2312" w:eastAsia="仿宋_GB2312" w:cs="方正仿宋_GB2312"/>
          <w:sz w:val="32"/>
          <w:szCs w:val="32"/>
        </w:rPr>
        <w:t>鼓励采用PPP、BOT、EPCO等市场化融资模式，开展旅游项目资金筹措与开发建设，树立运营导向思维，强化项目全生命周期管理，保障项目建设与运营质量。</w:t>
      </w:r>
    </w:p>
    <w:p>
      <w:pPr>
        <w:pStyle w:val="4"/>
        <w:adjustRightInd w:val="0"/>
        <w:snapToGrid w:val="0"/>
        <w:spacing w:before="234" w:beforeLines="75"/>
        <w:jc w:val="both"/>
        <w:rPr>
          <w:rFonts w:hint="eastAsia" w:ascii="黑体" w:hAnsi="黑体"/>
          <w:color w:val="auto"/>
        </w:rPr>
      </w:pPr>
      <w:bookmarkStart w:id="649" w:name="_Toc233400013"/>
      <w:bookmarkStart w:id="650" w:name="_Toc235696693"/>
      <w:r>
        <w:rPr>
          <w:rFonts w:hint="eastAsia" w:ascii="黑体" w:hAnsi="黑体"/>
          <w:color w:val="auto"/>
        </w:rPr>
        <w:t>三、完善资金保障机制，提升资金使用效益</w:t>
      </w:r>
      <w:bookmarkEnd w:id="649"/>
      <w:bookmarkEnd w:id="650"/>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健全旅游投融资保障机制，优化资金配置，强化资金监管，确保各项资金高效规范使用，为旅游产业高质量发展提供有力支撑。加大公共文化服务和旅游公共服务投入力度，聚焦基础设施建设、数字化升级、品牌打造、人才培养等重点工作，优化资金使用效益；积极争取上级资金支持，鼓励社会资本参与公共文化和旅游公共服务建设运营，构建“政府投入+社会参与”的多元化资金投入机制，为“十五五”期间梅县区旅游产业各项任务落地实施提供坚实保障。</w:t>
      </w:r>
    </w:p>
    <w:p>
      <w:pPr>
        <w:pStyle w:val="3"/>
        <w:snapToGrid w:val="0"/>
        <w:spacing w:before="312" w:after="312"/>
        <w:jc w:val="both"/>
        <w:rPr>
          <w:rFonts w:hint="eastAsia" w:ascii="楷体" w:hAnsi="楷体"/>
          <w:color w:val="auto"/>
          <w:szCs w:val="36"/>
        </w:rPr>
      </w:pPr>
      <w:bookmarkStart w:id="651" w:name="_Toc29604"/>
      <w:bookmarkStart w:id="652" w:name="_Toc24869"/>
      <w:bookmarkStart w:id="653" w:name="_Toc22407"/>
      <w:bookmarkStart w:id="654" w:name="_Toc458"/>
      <w:bookmarkStart w:id="655" w:name="_Toc29844"/>
      <w:bookmarkStart w:id="656" w:name="_Toc10277"/>
      <w:bookmarkStart w:id="657" w:name="_Toc235696694"/>
      <w:r>
        <w:rPr>
          <w:rFonts w:hint="eastAsia" w:ascii="楷体" w:hAnsi="楷体"/>
          <w:color w:val="auto"/>
          <w:szCs w:val="36"/>
        </w:rPr>
        <w:t>第四节 人力资源保障</w:t>
      </w:r>
      <w:bookmarkEnd w:id="651"/>
      <w:bookmarkEnd w:id="652"/>
      <w:bookmarkEnd w:id="653"/>
      <w:bookmarkEnd w:id="654"/>
      <w:bookmarkEnd w:id="655"/>
      <w:bookmarkEnd w:id="656"/>
      <w:bookmarkEnd w:id="657"/>
    </w:p>
    <w:p>
      <w:pPr>
        <w:pStyle w:val="4"/>
        <w:adjustRightInd w:val="0"/>
        <w:snapToGrid w:val="0"/>
        <w:spacing w:before="234" w:beforeLines="75"/>
        <w:jc w:val="both"/>
        <w:rPr>
          <w:rFonts w:hint="eastAsia" w:ascii="黑体" w:hAnsi="黑体"/>
          <w:color w:val="auto"/>
        </w:rPr>
      </w:pPr>
      <w:bookmarkStart w:id="658" w:name="_Toc233400015"/>
      <w:bookmarkStart w:id="659" w:name="_Toc235696695"/>
      <w:r>
        <w:rPr>
          <w:rFonts w:hint="eastAsia" w:ascii="黑体" w:hAnsi="黑体"/>
          <w:color w:val="auto"/>
        </w:rPr>
        <w:t>一、拓宽引才渠道，汇聚高端智力支撑</w:t>
      </w:r>
      <w:bookmarkEnd w:id="658"/>
      <w:bookmarkEnd w:id="659"/>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聚焦文旅产业提质升级需求，精准引进各类高端人才与专业力量。建立梅县区高端旅游人才库，面向社会广泛征集文旅规划、品牌营销、智慧旅游运营等重点领域高端人才，实现人才资源精准储备与动态管理。</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同时，充分利用粤港澳大湾区高校集群优势，紧扣梅县区融湾发展定位，由政府牵头搭建校企合作桥梁，推动企业与大湾区高校建立人才合作计划，推行定向培养、定制培训、学生顶岗实习等多元化校企合作模式，择优选取符合产业需求的专业人才，为文旅产业注入新鲜血液。</w:t>
      </w:r>
    </w:p>
    <w:p>
      <w:pPr>
        <w:pStyle w:val="4"/>
        <w:adjustRightInd w:val="0"/>
        <w:snapToGrid w:val="0"/>
        <w:spacing w:before="234" w:beforeLines="75"/>
        <w:jc w:val="both"/>
        <w:rPr>
          <w:rFonts w:hint="eastAsia" w:ascii="黑体" w:hAnsi="黑体"/>
          <w:color w:val="auto"/>
        </w:rPr>
      </w:pPr>
      <w:bookmarkStart w:id="660" w:name="_Toc233400016"/>
      <w:bookmarkStart w:id="661" w:name="_Toc235696696"/>
      <w:r>
        <w:rPr>
          <w:rFonts w:hint="eastAsia" w:ascii="黑体" w:hAnsi="黑体"/>
          <w:color w:val="auto"/>
        </w:rPr>
        <w:t>二、强化本土培育，夯实人才队伍根基</w:t>
      </w:r>
      <w:bookmarkEnd w:id="660"/>
      <w:bookmarkEnd w:id="661"/>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坚持本土人才培育与外来人才引进并重，构建梯次分明、结构合理的人才队伍。</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完善非遗传承人才培育体系。</w:t>
      </w:r>
      <w:r>
        <w:rPr>
          <w:rFonts w:hint="eastAsia" w:ascii="仿宋_GB2312" w:hAnsi="方正仿宋_GB2312" w:eastAsia="仿宋_GB2312" w:cs="方正仿宋_GB2312"/>
          <w:sz w:val="32"/>
          <w:szCs w:val="32"/>
        </w:rPr>
        <w:t>优化非遗代表性传承人四级名录体系，打造梯次合理、传承有力的非遗传承队伍；研究制定更具针对性的非遗传承人激励政策，为传承人提供技能培训、法律咨询、社会保障等全方位支持，鼓励传承人坚守传承初心、推动技艺创新；深入开展“非遗进校园”“非遗进社区”活动，将客家山歌、提线木偶等非遗项目融入校园教育，推动传统传承方式与现代教育体系深度融合，提升非遗对年轻群体的吸引力，推动客家非遗薪火相传。同时，设立专项资金，汇集客家山歌、竹板歌、娘酒酿造技艺等非遗传承人才，金柚、茶叶种植加工等农特产品技术人才，老字号经营人才及文旅创新人才，组建梅县区“文旅人才专家团”，开展常态化研讨与技术指导，助力人才抱团发展、融合创新。</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健全文旅专业人才培养机制。</w:t>
      </w:r>
      <w:r>
        <w:rPr>
          <w:rFonts w:hint="eastAsia" w:ascii="仿宋_GB2312" w:hAnsi="方正仿宋_GB2312" w:eastAsia="仿宋_GB2312" w:cs="方正仿宋_GB2312"/>
          <w:sz w:val="32"/>
          <w:szCs w:val="32"/>
        </w:rPr>
        <w:t>围绕文旅产业高质量发展需求，大力实施“青苗计划”，加大青年艺术骨干培养力度，力争5年内培育青年艺术骨干10名；落实市“1+N”人才政策中“桂竹计划”要求，深化与高等院校合作，开设“3+2”现代学徒制戏剧表演班，为剧团长远发展储备专业人才；健全职称评审和激励机制，提高艺术人才待遇保障水平，激发人才创新创造活力。创新人才发展模式，与抖音直播平台合作开展“艺播计划——抖音直播院团专项”，为院团演员提供线上“第二舞台”，探索线上创收新模式，拓展艺术人才线上发展空间，提升客家文艺的传播力和影响力。</w:t>
      </w:r>
    </w:p>
    <w:p>
      <w:pPr>
        <w:spacing w:line="560" w:lineRule="exact"/>
        <w:ind w:firstLine="643" w:firstLineChars="200"/>
        <w:rPr>
          <w:rFonts w:hint="eastAsia" w:ascii="仿宋_GB2312" w:hAnsi="方正仿宋_GB2312" w:eastAsia="仿宋_GB2312" w:cs="方正仿宋_GB2312"/>
          <w:sz w:val="32"/>
          <w:szCs w:val="32"/>
        </w:rPr>
      </w:pPr>
      <w:r>
        <w:rPr>
          <w:rFonts w:hint="eastAsia" w:ascii="仿宋" w:hAnsi="仿宋" w:eastAsia="仿宋" w:cs="仿宋"/>
          <w:b/>
          <w:bCs/>
          <w:sz w:val="32"/>
          <w:szCs w:val="32"/>
        </w:rPr>
        <w:t>提升从业人员专业素养。</w:t>
      </w:r>
      <w:r>
        <w:rPr>
          <w:rFonts w:hint="eastAsia" w:ascii="仿宋_GB2312" w:hAnsi="方正仿宋_GB2312" w:eastAsia="仿宋_GB2312" w:cs="方正仿宋_GB2312"/>
          <w:sz w:val="32"/>
          <w:szCs w:val="32"/>
        </w:rPr>
        <w:t>政企联合构建文旅产业专项人才培训体系，开设线上线下多样化培训课堂，结合企业实际需求开展定向培养，重点推进客家文化讲解、民宿服务、非遗传承等特色培训；将旅游从业人员资格认证、准入制度与行业管理、达标升级紧密结合，规范从业人员行为，提升服务质量。针对领导型、职业经理型、短缺专业型、教育培训师型重点人才，实施与大湾区高校、文旅企业双向人员交流计划，开展品质化素质培训，推动人才能力与大湾区标准接轨。同时，加强公共文化服务和旅游服务专业人才培养，定期开展业务培训、交流学习活动，挖掘培育本土文化人才、旅游服务能手，充实基层人才队伍，为公共服务提质和居游一体发展提供支撑；加强公共图书馆、博物馆、文化馆（站）干部专业化建设，提升基层文旅队伍职业素质。</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衔接省市文化和旅游行业标准化工作，推进旅行社等级评定，实施导游服务质量标准与规范，完善导游教育培训体系，全面提升导游从业人员技能素质和服务水平。</w:t>
      </w:r>
    </w:p>
    <w:p>
      <w:pPr>
        <w:pStyle w:val="4"/>
        <w:adjustRightInd w:val="0"/>
        <w:snapToGrid w:val="0"/>
        <w:spacing w:before="234" w:beforeLines="75"/>
        <w:jc w:val="both"/>
        <w:rPr>
          <w:rFonts w:hint="eastAsia" w:ascii="黑体" w:hAnsi="黑体"/>
          <w:color w:val="auto"/>
        </w:rPr>
      </w:pPr>
      <w:bookmarkStart w:id="662" w:name="_Toc233400017"/>
      <w:bookmarkStart w:id="663" w:name="_Toc235696697"/>
      <w:r>
        <w:rPr>
          <w:rFonts w:hint="eastAsia" w:ascii="黑体" w:hAnsi="黑体"/>
          <w:color w:val="auto"/>
        </w:rPr>
        <w:t>三、创新发展模式，优化人才发展环境</w:t>
      </w:r>
      <w:bookmarkEnd w:id="662"/>
      <w:bookmarkEnd w:id="663"/>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充分利用互联网教育资源，整合高校旅游相关课程，打破时空限制，便捷人才学习提升。探索本地乡村“党建+产业”模式，强化支部引领，鼓励多元主体共建人才发展平台，凝聚人才工作合力，推动旅游产业向全域融合转型。</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同时，完善人才培养机制，持续挖掘培育现有文化机构、文艺院团、民间组织中的优秀人才，优化人才培养方案，坚持引进与培育相结合，鼓励精英返乡、高水平人才落地，形成“引育并举、双向发力”的良好格局。</w:t>
      </w:r>
    </w:p>
    <w:p>
      <w:pPr>
        <w:pStyle w:val="4"/>
        <w:adjustRightInd w:val="0"/>
        <w:snapToGrid w:val="0"/>
        <w:spacing w:before="234" w:beforeLines="75"/>
        <w:jc w:val="both"/>
        <w:rPr>
          <w:rFonts w:hint="eastAsia" w:ascii="黑体" w:hAnsi="黑体"/>
          <w:color w:val="auto"/>
        </w:rPr>
      </w:pPr>
      <w:bookmarkStart w:id="664" w:name="_Toc233400018"/>
      <w:bookmarkStart w:id="665" w:name="_Toc235696698"/>
      <w:r>
        <w:rPr>
          <w:rFonts w:hint="eastAsia" w:ascii="黑体" w:hAnsi="黑体"/>
          <w:color w:val="auto"/>
        </w:rPr>
        <w:t>四、深化全民参与，营造良好人才氛围</w:t>
      </w:r>
      <w:bookmarkEnd w:id="664"/>
      <w:bookmarkEnd w:id="665"/>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实施全民旅游素质提升计划，推动文旅发展全民参与、全民共建。由旅游管理部门牵头，加强与宣传、教育、团委、消协等单位部门的协同合作，普及旅游知识，结合客家文化宣传，强化全民旅游意识和旅游兴区理念，引导群众主动参与文旅发展、自觉维护梅县区文旅形象。通过全方位宣传引导，营造全社会尊重人才、关爱人才、支持人才发展，以及共同保护传承客家传统文化的良好氛围，让人才在梅县区安心发展、积极奉献，为文旅产业高质量发展凝聚起全民力量。</w:t>
      </w:r>
    </w:p>
    <w:p>
      <w:pPr>
        <w:pStyle w:val="3"/>
        <w:snapToGrid w:val="0"/>
        <w:spacing w:before="312" w:after="312"/>
        <w:jc w:val="both"/>
        <w:rPr>
          <w:rFonts w:hint="eastAsia" w:ascii="楷体" w:hAnsi="楷体"/>
          <w:color w:val="auto"/>
          <w:szCs w:val="36"/>
        </w:rPr>
      </w:pPr>
      <w:bookmarkStart w:id="666" w:name="_Toc15830"/>
      <w:bookmarkStart w:id="667" w:name="_Toc235696699"/>
      <w:bookmarkStart w:id="668" w:name="_Toc7501"/>
      <w:bookmarkStart w:id="669" w:name="_Toc4656"/>
      <w:bookmarkStart w:id="670" w:name="_Toc22171"/>
      <w:bookmarkStart w:id="671" w:name="_Toc12775"/>
      <w:bookmarkStart w:id="672" w:name="_Toc7737"/>
      <w:r>
        <w:rPr>
          <w:rFonts w:hint="eastAsia" w:ascii="楷体" w:hAnsi="楷体"/>
          <w:color w:val="auto"/>
          <w:szCs w:val="36"/>
        </w:rPr>
        <w:t>第五节 实施管理保障</w:t>
      </w:r>
      <w:bookmarkEnd w:id="666"/>
      <w:bookmarkEnd w:id="667"/>
      <w:bookmarkEnd w:id="668"/>
      <w:bookmarkEnd w:id="669"/>
      <w:bookmarkEnd w:id="670"/>
      <w:bookmarkEnd w:id="671"/>
      <w:bookmarkEnd w:id="672"/>
    </w:p>
    <w:p>
      <w:pPr>
        <w:pStyle w:val="4"/>
        <w:adjustRightInd w:val="0"/>
        <w:snapToGrid w:val="0"/>
        <w:spacing w:before="234" w:beforeLines="75"/>
        <w:jc w:val="both"/>
        <w:rPr>
          <w:rFonts w:hint="eastAsia" w:ascii="黑体" w:hAnsi="黑体"/>
          <w:color w:val="auto"/>
        </w:rPr>
      </w:pPr>
      <w:bookmarkStart w:id="673" w:name="_Toc233400020"/>
      <w:bookmarkStart w:id="674" w:name="_Toc235696700"/>
      <w:r>
        <w:rPr>
          <w:rFonts w:hint="eastAsia" w:ascii="黑体" w:hAnsi="黑体"/>
          <w:color w:val="auto"/>
        </w:rPr>
        <w:t>一、强化规划实施统筹管理</w:t>
      </w:r>
      <w:bookmarkEnd w:id="673"/>
      <w:bookmarkEnd w:id="674"/>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坚持多规合一理念，统一全区旅游发展思路，建立健全全区旅游协调机制，将“十五五”旅游发展目标和重点任务细化分解至各相关部门，明确责任分工、细化推进举措，确保规划各项工作落地落细。</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严格维护规划的权威性和约束力，实行规划目标责任制，重点落实丙雁松片区农文旅融合发展省级试点、松口古镇保护提升等重点项目的规划要求，强化规划对旅游发展的引领和管控作用。</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加强规划实施动态监测，定期对主要规划目标实施情况进行跟踪分析，做好规划实施年度检查，建立规划中期评估制度，根据评估结果及时优化调整规划举措，保障规划实施方向不偏差、推进有力度。同时，通过网络、新媒体、节庆活动等多种渠道，广泛宣传“十五五”旅游规划内容，解读旅游产业发展方针政策和前景，引导全社会了解、支持并积极参与规划实施，凝聚起推动旅游产业高质量发展的强大合力。</w:t>
      </w:r>
    </w:p>
    <w:p>
      <w:pPr>
        <w:pStyle w:val="4"/>
        <w:adjustRightInd w:val="0"/>
        <w:snapToGrid w:val="0"/>
        <w:spacing w:before="234" w:beforeLines="75"/>
        <w:jc w:val="both"/>
        <w:rPr>
          <w:rFonts w:hint="eastAsia" w:ascii="黑体" w:hAnsi="黑体"/>
          <w:color w:val="auto"/>
        </w:rPr>
      </w:pPr>
      <w:bookmarkStart w:id="675" w:name="_Toc233400021"/>
      <w:bookmarkStart w:id="676" w:name="_Toc235696701"/>
      <w:r>
        <w:rPr>
          <w:rFonts w:hint="eastAsia" w:ascii="黑体" w:hAnsi="黑体"/>
          <w:color w:val="auto"/>
        </w:rPr>
        <w:t>二、规范重点项目建设管理</w:t>
      </w:r>
      <w:bookmarkEnd w:id="675"/>
      <w:bookmarkEnd w:id="676"/>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聚焦旅游项目提质增效，搭建区政府统筹主导的旅游项目全流程管理体系，覆盖项目选址、报建审查、建设管理及项目验收四个关键阶段，实现项目管理规范化、标准化、精细化。</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重点强化松口古镇、南福金柚基地文旅项目等重点项目的建设管理，在项目推进各阶段，加强与各相关部门的协同配合，联合开展工作研判、需求对接，严格把控规划要求、建设质量和安全标准，及时协调解决项目建设过程中出现的困难和问题，确保旅游项目顺利推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全力推动省市重点文旅项目落地见效，以重点项目建设为抓手，补齐旅游基础设施短板、丰富旅游产品供给，推动全区旅游产业转型升级。</w:t>
      </w:r>
    </w:p>
    <w:p>
      <w:pPr>
        <w:pStyle w:val="4"/>
        <w:adjustRightInd w:val="0"/>
        <w:snapToGrid w:val="0"/>
        <w:spacing w:before="234" w:beforeLines="75"/>
        <w:jc w:val="both"/>
        <w:rPr>
          <w:rFonts w:hint="eastAsia" w:ascii="黑体" w:hAnsi="黑体"/>
          <w:color w:val="auto"/>
        </w:rPr>
      </w:pPr>
      <w:bookmarkStart w:id="677" w:name="_Toc235696702"/>
      <w:bookmarkStart w:id="678" w:name="_Toc233400022"/>
      <w:r>
        <w:rPr>
          <w:rFonts w:hint="eastAsia" w:ascii="黑体" w:hAnsi="黑体"/>
          <w:color w:val="auto"/>
        </w:rPr>
        <w:t>三、坚持保护与发展协同推进</w:t>
      </w:r>
      <w:bookmarkEnd w:id="677"/>
      <w:bookmarkEnd w:id="678"/>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立足梅县区资源禀赋，坚守生态和文化两条底线，推动旅游产业可持续发展。在生态保护方面，持续践行“绿水青山就是金山银山”实践创新基地发展经验，强化旅游行业生态文明建设，旅游景区、旅游度假区、乡村旅游区等各类项目开发均严格遵循环境友好原则，坚守绿色生态发展底线，加强自然生态环境常态化保护，推动旅游与生态建设深度融合。</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在文化保护传承方面，扎实做好文物保护单位“四有”工作，加强各级重点文物保护单位的保护管理和整体维修，合理统筹使用革命文物保护资金，充分挖掘和传承利用红色文化资源。持续完善非遗名录体系和传承人体系建设，强化非遗文化活态传承，激发非遗文化可持续发展活力，有序推进历史古村落保护性开发，实现文化遗产保护与旅游发展良性互动，让文化资源转化为旅游发展优势。</w:t>
      </w:r>
    </w:p>
    <w:p>
      <w:pPr>
        <w:pStyle w:val="4"/>
        <w:adjustRightInd w:val="0"/>
        <w:snapToGrid w:val="0"/>
        <w:spacing w:before="234" w:beforeLines="75"/>
        <w:jc w:val="both"/>
        <w:rPr>
          <w:rFonts w:hint="eastAsia" w:ascii="黑体" w:hAnsi="黑体"/>
          <w:color w:val="auto"/>
        </w:rPr>
      </w:pPr>
      <w:bookmarkStart w:id="679" w:name="_Toc235696703"/>
      <w:bookmarkStart w:id="680" w:name="_Toc233400023"/>
      <w:r>
        <w:rPr>
          <w:rFonts w:hint="eastAsia" w:ascii="黑体" w:hAnsi="黑体"/>
          <w:color w:val="auto"/>
        </w:rPr>
        <w:t>四、健全全方位旅游安全保障体系</w:t>
      </w:r>
      <w:bookmarkEnd w:id="679"/>
      <w:bookmarkEnd w:id="680"/>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坚持安全第一、预防为主、综合治理，构建全覆盖、多层次、智能化的旅游安全保障体系，为游客提供安全、安心的旅游环境。</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完善制度标准保障，健全旅游安全相关法规制度与工作机制，推动形成有法可依、有章可循、执法必严的治理格局。制定重点景区风险防控目录，聚焦雁南飞、阴那山等山地景区及松口古镇等人流密集区域，推动景区规范化运营、标准化作业、科学化管控与精细化治理，实现安全风险动态监测、精准预警与有效防范。</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强化安全防范能力建设，加强防火、防洪等自然灾害旅游安全风险防范理论研究，结合梅县区山地景区特点，依托数字化设备搭建智慧风险监测、评估、预警体系，重点完善山地景区防火、暴雨天气预警机制，健全应急处置预案，加强应急演练，全面提升旅游安全应急处置能力。</w:t>
      </w:r>
    </w:p>
    <w:p>
      <w:pPr>
        <w:spacing w:line="56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夯实公共卫生保障基础，强化对旅游安全事故、突发疫情的统筹应急处置能力，建立景区医疗急救联动机制。加强旅游安全、科学防疫宣传教育培训，提升从业人员和游客的安全防护意识与自救互救能力，健全完善旅游安全保障体系，筑牢旅游安全防线。</w:t>
      </w:r>
    </w:p>
    <w:p/>
    <w:p>
      <w:pPr>
        <w:snapToGrid w:val="0"/>
        <w:spacing w:before="187" w:line="360" w:lineRule="auto"/>
        <w:ind w:firstLine="600" w:firstLineChars="200"/>
        <w:rPr>
          <w:rFonts w:hint="eastAsia" w:ascii="仿宋" w:hAnsi="仿宋" w:eastAsia="仿宋"/>
          <w:sz w:val="30"/>
          <w:szCs w:val="30"/>
        </w:rPr>
        <w:sectPr>
          <w:footerReference r:id="rId3" w:type="default"/>
          <w:pgSz w:w="11905" w:h="16838"/>
          <w:pgMar w:top="1440" w:right="1803" w:bottom="1440" w:left="1803" w:header="851" w:footer="992" w:gutter="0"/>
          <w:pgNumType w:start="1"/>
          <w:cols w:space="720" w:num="1"/>
          <w:docGrid w:type="lines" w:linePitch="312" w:charSpace="0"/>
        </w:sectPr>
      </w:pPr>
    </w:p>
    <w:p>
      <w:pPr>
        <w:pStyle w:val="2"/>
        <w:adjustRightInd w:val="0"/>
        <w:snapToGrid w:val="0"/>
        <w:spacing w:before="120" w:after="0" w:line="240" w:lineRule="auto"/>
        <w:jc w:val="both"/>
        <w:rPr>
          <w:rFonts w:hint="eastAsia" w:ascii="黑体" w:hAnsi="黑体"/>
          <w:color w:val="auto"/>
          <w:sz w:val="36"/>
          <w:szCs w:val="36"/>
        </w:rPr>
      </w:pPr>
      <w:bookmarkStart w:id="681" w:name="_Toc235696704"/>
      <w:bookmarkStart w:id="682" w:name="_Toc4215"/>
      <w:bookmarkStart w:id="683" w:name="_Toc14201"/>
      <w:bookmarkStart w:id="684" w:name="_Toc28958"/>
      <w:bookmarkStart w:id="685" w:name="_Toc16990"/>
      <w:bookmarkStart w:id="686" w:name="_Toc15083"/>
      <w:bookmarkStart w:id="687" w:name="_Toc6536"/>
      <w:bookmarkStart w:id="688" w:name="_Toc9000"/>
      <w:r>
        <w:rPr>
          <w:rFonts w:ascii="黑体" w:hAnsi="黑体"/>
          <w:color w:val="auto"/>
          <w:sz w:val="36"/>
          <w:szCs w:val="36"/>
        </w:rPr>
        <w:t>附录：梅县区</w:t>
      </w:r>
      <w:r>
        <w:rPr>
          <w:rFonts w:hint="eastAsia" w:ascii="黑体" w:hAnsi="黑体"/>
          <w:color w:val="auto"/>
          <w:sz w:val="36"/>
          <w:szCs w:val="36"/>
        </w:rPr>
        <w:t>文广旅体局</w:t>
      </w:r>
      <w:r>
        <w:rPr>
          <w:rFonts w:ascii="黑体" w:hAnsi="黑体"/>
          <w:color w:val="auto"/>
          <w:sz w:val="36"/>
          <w:szCs w:val="36"/>
        </w:rPr>
        <w:t>“十</w:t>
      </w:r>
      <w:r>
        <w:rPr>
          <w:rFonts w:hint="eastAsia" w:ascii="黑体" w:hAnsi="黑体"/>
          <w:color w:val="auto"/>
          <w:sz w:val="36"/>
          <w:szCs w:val="36"/>
        </w:rPr>
        <w:t>五</w:t>
      </w:r>
      <w:r>
        <w:rPr>
          <w:rFonts w:ascii="黑体" w:hAnsi="黑体"/>
          <w:color w:val="auto"/>
          <w:sz w:val="36"/>
          <w:szCs w:val="36"/>
        </w:rPr>
        <w:t>五”重点项目库</w:t>
      </w:r>
      <w:bookmarkEnd w:id="681"/>
      <w:bookmarkEnd w:id="682"/>
      <w:bookmarkEnd w:id="683"/>
      <w:bookmarkEnd w:id="684"/>
      <w:bookmarkEnd w:id="685"/>
      <w:bookmarkEnd w:id="686"/>
      <w:bookmarkEnd w:id="687"/>
      <w:bookmarkEnd w:id="688"/>
    </w:p>
    <w:p>
      <w:pPr>
        <w:pStyle w:val="4"/>
        <w:tabs>
          <w:tab w:val="left" w:pos="0"/>
        </w:tabs>
        <w:adjustRightInd w:val="0"/>
        <w:snapToGrid w:val="0"/>
        <w:spacing w:before="234" w:beforeLines="75"/>
        <w:jc w:val="both"/>
        <w:rPr>
          <w:rFonts w:hint="eastAsia" w:ascii="黑体" w:hAnsi="黑体"/>
          <w:color w:val="auto"/>
        </w:rPr>
      </w:pPr>
      <w:bookmarkStart w:id="689" w:name="_Toc221538710"/>
      <w:bookmarkStart w:id="690" w:name="_Toc235696705"/>
      <w:r>
        <w:rPr>
          <w:rFonts w:hint="eastAsia" w:ascii="黑体" w:hAnsi="黑体"/>
          <w:color w:val="auto"/>
        </w:rPr>
        <w:t>一、文化重点项目</w:t>
      </w:r>
      <w:bookmarkEnd w:id="689"/>
      <w:bookmarkEnd w:id="690"/>
    </w:p>
    <w:tbl>
      <w:tblPr>
        <w:tblStyle w:val="22"/>
        <w:tblW w:w="14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60" w:type="dxa"/>
          <w:bottom w:w="120" w:type="dxa"/>
          <w:right w:w="60" w:type="dxa"/>
        </w:tblCellMar>
      </w:tblPr>
      <w:tblGrid>
        <w:gridCol w:w="467"/>
        <w:gridCol w:w="1992"/>
        <w:gridCol w:w="8184"/>
        <w:gridCol w:w="1608"/>
        <w:gridCol w:w="1105"/>
        <w:gridCol w:w="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blHeader/>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rPr>
                <w:rFonts w:hint="eastAsia" w:ascii="方正仿宋_GB2312" w:hAnsi="方正仿宋_GB2312" w:eastAsia="方正仿宋_GB2312" w:cs="方正仿宋_GB2312"/>
                <w:b/>
                <w:bCs/>
                <w:szCs w:val="21"/>
              </w:rPr>
            </w:pPr>
            <w:bookmarkStart w:id="691" w:name="_Toc996"/>
            <w:bookmarkStart w:id="692" w:name="_Toc16495"/>
            <w:r>
              <w:rPr>
                <w:rFonts w:hint="eastAsia" w:ascii="方正仿宋_GB2312" w:hAnsi="方正仿宋_GB2312" w:eastAsia="方正仿宋_GB2312" w:cs="方正仿宋_GB2312"/>
                <w:b/>
                <w:bCs/>
                <w:szCs w:val="21"/>
              </w:rPr>
              <w:t>序号</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rPr>
                <w:rFonts w:hint="eastAsia" w:ascii="方正仿宋_GB2312" w:hAnsi="方正仿宋_GB2312" w:eastAsia="方正仿宋_GB2312" w:cs="方正仿宋_GB2312"/>
                <w:b/>
                <w:bCs/>
                <w:szCs w:val="21"/>
              </w:rPr>
            </w:pPr>
            <w:r>
              <w:rPr>
                <w:rFonts w:hint="eastAsia" w:ascii="方正仿宋_GB2312" w:hAnsi="方正仿宋_GB2312" w:eastAsia="方正仿宋_GB2312" w:cs="方正仿宋_GB2312"/>
                <w:b/>
                <w:bCs/>
                <w:szCs w:val="21"/>
              </w:rPr>
              <w:t>项目名称</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rPr>
                <w:rFonts w:hint="eastAsia" w:ascii="方正仿宋_GB2312" w:hAnsi="方正仿宋_GB2312" w:eastAsia="方正仿宋_GB2312" w:cs="方正仿宋_GB2312"/>
                <w:b/>
                <w:bCs/>
                <w:szCs w:val="21"/>
              </w:rPr>
            </w:pPr>
            <w:r>
              <w:rPr>
                <w:rFonts w:hint="eastAsia" w:ascii="方正仿宋_GB2312" w:hAnsi="方正仿宋_GB2312" w:eastAsia="方正仿宋_GB2312" w:cs="方正仿宋_GB2312"/>
                <w:b/>
                <w:bCs/>
                <w:szCs w:val="21"/>
              </w:rPr>
              <w:t>建设内容及规模</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rPr>
                <w:rFonts w:hint="eastAsia" w:ascii="方正仿宋_GB2312" w:hAnsi="方正仿宋_GB2312" w:eastAsia="方正仿宋_GB2312" w:cs="方正仿宋_GB2312"/>
                <w:b/>
                <w:bCs/>
                <w:szCs w:val="21"/>
              </w:rPr>
            </w:pPr>
            <w:r>
              <w:rPr>
                <w:rFonts w:hint="eastAsia" w:ascii="方正仿宋_GB2312" w:hAnsi="方正仿宋_GB2312" w:eastAsia="方正仿宋_GB2312" w:cs="方正仿宋_GB2312"/>
                <w:b/>
                <w:bCs/>
                <w:szCs w:val="21"/>
              </w:rPr>
              <w:t>建设起止年限</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rPr>
                <w:rFonts w:hint="eastAsia" w:ascii="方正仿宋_GB2312" w:hAnsi="方正仿宋_GB2312" w:eastAsia="方正仿宋_GB2312" w:cs="方正仿宋_GB2312"/>
                <w:b/>
                <w:bCs/>
                <w:szCs w:val="21"/>
              </w:rPr>
            </w:pPr>
            <w:r>
              <w:rPr>
                <w:rFonts w:hint="eastAsia" w:ascii="方正仿宋_GB2312" w:hAnsi="方正仿宋_GB2312" w:eastAsia="方正仿宋_GB2312" w:cs="方正仿宋_GB2312"/>
                <w:b/>
                <w:bCs/>
                <w:szCs w:val="21"/>
              </w:rPr>
              <w:t>总投资</w:t>
            </w:r>
          </w:p>
          <w:p>
            <w:pPr>
              <w:keepNext/>
              <w:snapToGrid w:val="0"/>
              <w:rPr>
                <w:rFonts w:hint="eastAsia" w:ascii="方正仿宋_GB2312" w:hAnsi="方正仿宋_GB2312" w:eastAsia="方正仿宋_GB2312" w:cs="方正仿宋_GB2312"/>
                <w:b/>
                <w:bCs/>
                <w:szCs w:val="21"/>
              </w:rPr>
            </w:pPr>
            <w:r>
              <w:rPr>
                <w:rFonts w:hint="eastAsia" w:ascii="方正仿宋_GB2312" w:hAnsi="方正仿宋_GB2312" w:eastAsia="方正仿宋_GB2312" w:cs="方正仿宋_GB2312"/>
                <w:b/>
                <w:bCs/>
                <w:szCs w:val="21"/>
              </w:rPr>
              <w:t>（万元）</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rPr>
                <w:rFonts w:hint="eastAsia" w:ascii="方正仿宋_GB2312" w:hAnsi="方正仿宋_GB2312" w:eastAsia="方正仿宋_GB2312" w:cs="方正仿宋_GB2312"/>
                <w:b/>
                <w:bCs/>
                <w:szCs w:val="21"/>
              </w:rPr>
            </w:pPr>
            <w:r>
              <w:rPr>
                <w:rFonts w:hint="eastAsia" w:ascii="方正仿宋_GB2312" w:hAnsi="方正仿宋_GB2312" w:eastAsia="方正仿宋_GB2312" w:cs="方正仿宋_GB2312"/>
                <w:b/>
                <w:bCs/>
                <w:szCs w:val="21"/>
              </w:rPr>
              <w:t>项目建设阶段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1</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省级文物保护单位修缮工程</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推动已有修缮设计方案的作庐、世德堂、喆庐、张民达旧居等省级文物保护单位的修缮保护工程，谋划未制定修缮设计方案的德馨堂、干庐等省保的修缮计划。</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bookmarkStart w:id="693" w:name="OLE_LINK40"/>
            <w:r>
              <w:rPr>
                <w:rFonts w:hint="eastAsia" w:ascii="仿宋" w:hAnsi="仿宋" w:eastAsia="仿宋" w:cs="仿宋"/>
                <w:color w:val="000000"/>
                <w:kern w:val="0"/>
                <w:sz w:val="20"/>
                <w:szCs w:val="20"/>
                <w:lang w:bidi="ar"/>
              </w:rPr>
              <w:t>2026-2030</w:t>
            </w:r>
            <w:bookmarkEnd w:id="693"/>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3000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2</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辑瑞庐活化利用项目</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将辑瑞庐进行活化利用，计划对传统建筑进行修缮，优化空间布局，规划建设主题展览和活动区域，改善周边配套设施，打造梅县区文化活动新空间。</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2026-2030</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6000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bookmarkStart w:id="694" w:name="OLE_LINK41"/>
            <w:r>
              <w:rPr>
                <w:rFonts w:hint="eastAsia" w:ascii="方正仿宋_GB2312" w:hAnsi="方正仿宋_GB2312" w:eastAsia="方正仿宋_GB2312" w:cs="方正仿宋_GB2312"/>
                <w:szCs w:val="21"/>
              </w:rPr>
              <w:t>储备</w:t>
            </w:r>
            <w:bookmarkEnd w:id="69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3</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文物保护单位消防工程</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对全区各级文物保护单位开展消防安全防护提质工程，增加火灾预警、扑救等装置，组织人员培训，消除消防安全隐患。</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2026-2030</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740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储备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4</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围龙屋修缮保护项目</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根据《梅州市客家围龙屋保护条例》和围龙屋资源普查结果，通过吸纳社会资金，完善政府补助机制，对辖区大量的围龙屋建筑进行修缮保护和活化利用</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2026-2030</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5000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储备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5</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深化客家文化生态保护区建设</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实施非遗传承设施提质工程，进行非遗活动创新，开展多元化主题宣传活动，促进“非遗＋”多方面多层次融合发展。</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2026-2030</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500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88" w:hRule="atLeast"/>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6</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重大艺术剧目创作展演</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依托梅县区优秀特色文化底蕴，计划创排2-3部具有本土特色的重大剧目，开展系列展演，弘扬客家文化。</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2026-2030</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600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储备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88" w:hRule="atLeast"/>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7</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梅县区桥溪村古民居建筑群提质升级 （16座单体）</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对仕德堂、朱氏祖祠、守庆公祠、世德楼、燕诒楼、慎安居、凌云馆、宝善楼、桥溪小学、宝善家塾、衍庆楼、宝庆居、继善楼、逸庐、世安居、祖德居共计16座单体建筑进行修缮、消防安防及周边环境整治等。</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2027-2029</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10400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88" w:hRule="atLeast"/>
          <w:jc w:val="center"/>
        </w:trPr>
        <w:tc>
          <w:tcPr>
            <w:tcW w:w="46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jc w:val="center"/>
              <w:rPr>
                <w:rFonts w:hint="eastAsia" w:ascii="方正仿宋_GB2312" w:hAnsi="方正仿宋_GB2312" w:eastAsia="方正仿宋_GB2312" w:cs="方正仿宋_GB2312"/>
                <w:szCs w:val="21"/>
              </w:rPr>
            </w:pPr>
            <w:r>
              <w:rPr>
                <w:rFonts w:hint="eastAsia" w:ascii="仿宋" w:eastAsia="仿宋" w:cs="宋体"/>
                <w:kern w:val="0"/>
                <w:sz w:val="20"/>
                <w:szCs w:val="20"/>
              </w:rPr>
              <w:t>8</w:t>
            </w:r>
          </w:p>
        </w:tc>
        <w:tc>
          <w:tcPr>
            <w:tcW w:w="19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梅县区未定级不可移动文物的修缮保护利用</w:t>
            </w:r>
          </w:p>
        </w:tc>
        <w:tc>
          <w:tcPr>
            <w:tcW w:w="818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对约280处尚未定级不可移动文物进行系统性保护修缮、抢修加固及周边环境整治工作，根据各文物的实际情况通过打造爱国主义教育基地、建设纪念馆、布置展览等方式推进活化利用，以利用促保护，加强未定级不可移动文物的修缮保护利用工作。</w:t>
            </w:r>
          </w:p>
        </w:tc>
        <w:tc>
          <w:tcPr>
            <w:tcW w:w="1608"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2027-2029</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42000</w:t>
            </w:r>
          </w:p>
        </w:tc>
        <w:tc>
          <w:tcPr>
            <w:tcW w:w="81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snapToGrid w:val="0"/>
              <w:jc w:val="center"/>
              <w:rPr>
                <w:rFonts w:hint="eastAsia" w:ascii="方正仿宋_GB2312" w:hAnsi="方正仿宋_GB2312" w:eastAsia="方正仿宋_GB2312" w:cs="方正仿宋_GB2312"/>
                <w:szCs w:val="21"/>
              </w:rPr>
            </w:pPr>
            <w:r>
              <w:rPr>
                <w:rFonts w:hint="eastAsia" w:ascii="仿宋" w:hAnsi="仿宋" w:eastAsia="仿宋" w:cs="仿宋"/>
                <w:color w:val="000000"/>
                <w:kern w:val="0"/>
                <w:sz w:val="20"/>
                <w:szCs w:val="20"/>
                <w:lang w:bidi="ar"/>
              </w:rPr>
              <w:t>谋划</w:t>
            </w:r>
          </w:p>
        </w:tc>
      </w:tr>
    </w:tbl>
    <w:p>
      <w:pPr>
        <w:pStyle w:val="4"/>
        <w:tabs>
          <w:tab w:val="left" w:pos="0"/>
        </w:tabs>
        <w:adjustRightInd w:val="0"/>
        <w:snapToGrid w:val="0"/>
        <w:spacing w:before="234" w:beforeLines="75"/>
        <w:ind w:left="29"/>
        <w:jc w:val="both"/>
        <w:rPr>
          <w:rFonts w:hint="eastAsia" w:ascii="黑体" w:hAnsi="黑体"/>
          <w:color w:val="FF0000"/>
        </w:rPr>
      </w:pPr>
      <w:bookmarkStart w:id="695" w:name="_Toc5294"/>
      <w:bookmarkStart w:id="696" w:name="_Toc4682"/>
      <w:bookmarkStart w:id="697" w:name="_Toc221538711"/>
      <w:bookmarkStart w:id="698" w:name="_Toc235696706"/>
      <w:r>
        <w:rPr>
          <w:rFonts w:hint="eastAsia" w:ascii="黑体" w:hAnsi="黑体"/>
          <w:color w:val="auto"/>
        </w:rPr>
        <w:t>二、旅游产业项目</w:t>
      </w:r>
      <w:bookmarkEnd w:id="691"/>
      <w:bookmarkEnd w:id="692"/>
      <w:bookmarkEnd w:id="695"/>
      <w:bookmarkEnd w:id="696"/>
      <w:bookmarkEnd w:id="697"/>
      <w:bookmarkEnd w:id="698"/>
    </w:p>
    <w:tbl>
      <w:tblPr>
        <w:tblStyle w:val="22"/>
        <w:tblW w:w="14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6" w:type="dxa"/>
          <w:left w:w="96" w:type="dxa"/>
          <w:bottom w:w="56" w:type="dxa"/>
          <w:right w:w="96" w:type="dxa"/>
        </w:tblCellMar>
      </w:tblPr>
      <w:tblGrid>
        <w:gridCol w:w="481"/>
        <w:gridCol w:w="2201"/>
        <w:gridCol w:w="7701"/>
        <w:gridCol w:w="1609"/>
        <w:gridCol w:w="1208"/>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821" w:hRule="atLeast"/>
          <w:tblHeader/>
          <w:jc w:val="center"/>
        </w:trPr>
        <w:tc>
          <w:tcPr>
            <w:tcW w:w="48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b/>
                <w:bCs/>
                <w:kern w:val="0"/>
                <w:sz w:val="20"/>
                <w:szCs w:val="20"/>
              </w:rPr>
            </w:pPr>
            <w:r>
              <w:rPr>
                <w:rFonts w:hint="eastAsia" w:ascii="仿宋" w:hAnsi="仿宋" w:eastAsia="仿宋"/>
                <w:b/>
                <w:bCs/>
                <w:kern w:val="0"/>
                <w:sz w:val="20"/>
                <w:szCs w:val="20"/>
              </w:rPr>
              <w:t>序号</w:t>
            </w:r>
          </w:p>
        </w:tc>
        <w:tc>
          <w:tcPr>
            <w:tcW w:w="22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b/>
                <w:bCs/>
                <w:kern w:val="0"/>
                <w:sz w:val="20"/>
                <w:szCs w:val="20"/>
              </w:rPr>
            </w:pPr>
            <w:r>
              <w:rPr>
                <w:rFonts w:hint="eastAsia" w:ascii="仿宋" w:hAnsi="仿宋" w:eastAsia="仿宋"/>
                <w:b/>
                <w:bCs/>
                <w:kern w:val="0"/>
                <w:sz w:val="20"/>
                <w:szCs w:val="20"/>
              </w:rPr>
              <w:t>项目名称</w:t>
            </w:r>
          </w:p>
        </w:tc>
        <w:tc>
          <w:tcPr>
            <w:tcW w:w="77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b/>
                <w:bCs/>
                <w:kern w:val="0"/>
                <w:sz w:val="20"/>
                <w:szCs w:val="20"/>
              </w:rPr>
            </w:pPr>
            <w:r>
              <w:rPr>
                <w:rFonts w:hint="eastAsia" w:ascii="仿宋" w:hAnsi="仿宋" w:eastAsia="仿宋"/>
                <w:b/>
                <w:bCs/>
                <w:kern w:val="0"/>
                <w:sz w:val="20"/>
                <w:szCs w:val="20"/>
              </w:rPr>
              <w:t>建设内容及规模</w:t>
            </w:r>
          </w:p>
        </w:tc>
        <w:tc>
          <w:tcPr>
            <w:tcW w:w="160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b/>
                <w:bCs/>
                <w:kern w:val="0"/>
                <w:sz w:val="20"/>
                <w:szCs w:val="20"/>
              </w:rPr>
            </w:pPr>
            <w:r>
              <w:rPr>
                <w:rFonts w:hint="eastAsia" w:ascii="仿宋" w:hAnsi="仿宋" w:eastAsia="仿宋"/>
                <w:b/>
                <w:bCs/>
                <w:kern w:val="0"/>
                <w:sz w:val="20"/>
                <w:szCs w:val="20"/>
              </w:rPr>
              <w:t>建设起止年限</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b/>
                <w:bCs/>
                <w:kern w:val="0"/>
                <w:sz w:val="20"/>
                <w:szCs w:val="20"/>
              </w:rPr>
            </w:pPr>
            <w:r>
              <w:rPr>
                <w:rFonts w:hint="eastAsia" w:ascii="仿宋" w:hAnsi="仿宋" w:eastAsia="仿宋"/>
                <w:b/>
                <w:bCs/>
                <w:kern w:val="0"/>
                <w:sz w:val="20"/>
                <w:szCs w:val="20"/>
              </w:rPr>
              <w:t>总投资</w:t>
            </w:r>
          </w:p>
          <w:p>
            <w:pPr>
              <w:keepNext/>
              <w:snapToGrid w:val="0"/>
              <w:spacing w:before="156" w:beforeLines="50" w:after="156" w:afterLines="50"/>
              <w:rPr>
                <w:rFonts w:hint="eastAsia" w:ascii="仿宋" w:hAnsi="仿宋" w:eastAsia="仿宋"/>
                <w:b/>
                <w:bCs/>
                <w:kern w:val="0"/>
                <w:sz w:val="20"/>
                <w:szCs w:val="20"/>
              </w:rPr>
            </w:pPr>
            <w:r>
              <w:rPr>
                <w:rFonts w:hint="eastAsia" w:ascii="仿宋" w:hAnsi="仿宋" w:eastAsia="仿宋"/>
                <w:b/>
                <w:bCs/>
                <w:kern w:val="0"/>
                <w:sz w:val="20"/>
                <w:szCs w:val="20"/>
              </w:rPr>
              <w:t>（万元）</w:t>
            </w:r>
          </w:p>
        </w:tc>
        <w:tc>
          <w:tcPr>
            <w:tcW w:w="97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b/>
                <w:bCs/>
                <w:kern w:val="0"/>
                <w:sz w:val="20"/>
                <w:szCs w:val="20"/>
              </w:rPr>
            </w:pPr>
            <w:r>
              <w:rPr>
                <w:rFonts w:hint="eastAsia" w:ascii="仿宋" w:hAnsi="仿宋" w:eastAsia="仿宋"/>
                <w:b/>
                <w:bCs/>
                <w:kern w:val="0"/>
                <w:sz w:val="20"/>
                <w:szCs w:val="20"/>
              </w:rPr>
              <w:t>项目建设阶段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798" w:hRule="atLeast"/>
          <w:jc w:val="center"/>
        </w:trPr>
        <w:tc>
          <w:tcPr>
            <w:tcW w:w="48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1</w:t>
            </w:r>
          </w:p>
        </w:tc>
        <w:tc>
          <w:tcPr>
            <w:tcW w:w="220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松口古镇历史文化名镇开发运营项目</w:t>
            </w:r>
          </w:p>
        </w:tc>
        <w:tc>
          <w:tcPr>
            <w:tcW w:w="770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依托古镇丰富的文化旅游资源和完整的古街肌理，打造古镇旅游区（度假区），发展酒店、民宿、小城镇综合体等“吃住行游娱购产学研”产业。</w:t>
            </w:r>
          </w:p>
        </w:tc>
        <w:tc>
          <w:tcPr>
            <w:tcW w:w="1609"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2026-2030</w:t>
            </w:r>
          </w:p>
        </w:tc>
        <w:tc>
          <w:tcPr>
            <w:tcW w:w="1208"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100000</w:t>
            </w:r>
          </w:p>
        </w:tc>
        <w:tc>
          <w:tcPr>
            <w:tcW w:w="973"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48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hint="eastAsia" w:ascii="仿宋" w:hAnsi="楷体" w:eastAsia="仿宋"/>
                <w:sz w:val="20"/>
              </w:rPr>
            </w:pPr>
            <w:r>
              <w:rPr>
                <w:rFonts w:hint="eastAsia" w:ascii="仿宋" w:hAnsi="楷体" w:eastAsia="仿宋"/>
                <w:sz w:val="20"/>
              </w:rPr>
              <w:t>2</w:t>
            </w:r>
          </w:p>
        </w:tc>
        <w:tc>
          <w:tcPr>
            <w:tcW w:w="22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梅桂山生态旅游综艺园项目</w:t>
            </w:r>
          </w:p>
        </w:tc>
        <w:tc>
          <w:tcPr>
            <w:tcW w:w="77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项目建筑面积共计约211500平方米，由服务中心、野趣谷、云闲谷、归心谷、养生园等组成。</w:t>
            </w:r>
          </w:p>
        </w:tc>
        <w:tc>
          <w:tcPr>
            <w:tcW w:w="160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2019-2026</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160000</w:t>
            </w:r>
          </w:p>
        </w:tc>
        <w:tc>
          <w:tcPr>
            <w:tcW w:w="97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rHeight w:val="1261" w:hRule="atLeast"/>
          <w:jc w:val="center"/>
        </w:trPr>
        <w:tc>
          <w:tcPr>
            <w:tcW w:w="48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hint="eastAsia" w:ascii="仿宋" w:hAnsi="楷体" w:eastAsia="仿宋"/>
                <w:sz w:val="20"/>
              </w:rPr>
            </w:pPr>
            <w:r>
              <w:rPr>
                <w:rFonts w:hint="eastAsia" w:ascii="仿宋" w:hAnsi="楷体" w:eastAsia="仿宋"/>
                <w:sz w:val="20"/>
              </w:rPr>
              <w:t>3</w:t>
            </w:r>
          </w:p>
        </w:tc>
        <w:tc>
          <w:tcPr>
            <w:tcW w:w="22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kern w:val="0"/>
                <w:sz w:val="20"/>
                <w:szCs w:val="20"/>
              </w:rPr>
            </w:pPr>
            <w:r>
              <w:rPr>
                <w:rFonts w:hint="eastAsia" w:ascii="仿宋" w:hAnsi="仿宋" w:eastAsia="仿宋"/>
                <w:kern w:val="0"/>
                <w:sz w:val="20"/>
                <w:szCs w:val="20"/>
              </w:rPr>
              <w:t>王寿山旅游项目</w:t>
            </w:r>
          </w:p>
        </w:tc>
        <w:tc>
          <w:tcPr>
            <w:tcW w:w="77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王寿山旅游项目预计占地面积72003平方米，建筑面积10000平方米（酒店4000平方米，停车场3500，广场2500平方米），计划按服务区、度假娱乐区、山地休闲区、高山揽胜区等4大功能区分两期进行建设。计划总投资人民币2亿元，前期投资0.3亿元进行栈道后露营基地建设，待建设完工后，追加后续投资1.7亿元。</w:t>
            </w:r>
          </w:p>
        </w:tc>
        <w:tc>
          <w:tcPr>
            <w:tcW w:w="160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hAnsi="仿宋" w:eastAsia="仿宋"/>
                <w:kern w:val="0"/>
                <w:sz w:val="20"/>
                <w:szCs w:val="20"/>
              </w:rPr>
              <w:t>2023-2028</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hAnsi="仿宋" w:eastAsia="仿宋"/>
                <w:kern w:val="0"/>
                <w:sz w:val="20"/>
                <w:szCs w:val="20"/>
              </w:rPr>
              <w:t>20000</w:t>
            </w:r>
          </w:p>
        </w:tc>
        <w:tc>
          <w:tcPr>
            <w:tcW w:w="97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eastAsia="仿宋" w:cs="宋体"/>
                <w:kern w:val="0"/>
                <w:sz w:val="20"/>
                <w:szCs w:val="20"/>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48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hint="eastAsia" w:ascii="仿宋" w:hAnsi="楷体" w:eastAsia="仿宋"/>
                <w:sz w:val="20"/>
              </w:rPr>
            </w:pPr>
            <w:r>
              <w:rPr>
                <w:rFonts w:hint="eastAsia" w:ascii="仿宋" w:hAnsi="楷体" w:eastAsia="仿宋"/>
                <w:sz w:val="20"/>
              </w:rPr>
              <w:t>4</w:t>
            </w:r>
          </w:p>
        </w:tc>
        <w:tc>
          <w:tcPr>
            <w:tcW w:w="22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rPr>
                <w:rFonts w:hint="eastAsia" w:ascii="仿宋" w:hAnsi="仿宋" w:eastAsia="仿宋"/>
                <w:kern w:val="0"/>
                <w:sz w:val="20"/>
                <w:szCs w:val="20"/>
              </w:rPr>
            </w:pPr>
            <w:r>
              <w:rPr>
                <w:rFonts w:hint="eastAsia" w:ascii="仿宋" w:hAnsi="仿宋" w:eastAsia="仿宋"/>
                <w:kern w:val="0"/>
                <w:sz w:val="20"/>
                <w:szCs w:val="20"/>
              </w:rPr>
              <w:t>梅南九龙嶂革命根据地旅游区项目</w:t>
            </w:r>
          </w:p>
        </w:tc>
        <w:tc>
          <w:tcPr>
            <w:tcW w:w="77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rPr>
                <w:rFonts w:ascii="仿宋" w:eastAsia="仿宋" w:cs="宋体"/>
                <w:kern w:val="0"/>
                <w:sz w:val="20"/>
                <w:szCs w:val="20"/>
              </w:rPr>
            </w:pPr>
            <w:r>
              <w:rPr>
                <w:rFonts w:hint="eastAsia" w:ascii="仿宋" w:eastAsia="仿宋" w:cs="宋体"/>
                <w:kern w:val="0"/>
                <w:sz w:val="20"/>
                <w:szCs w:val="20"/>
              </w:rPr>
              <w:t>对粤东北九龙嶂革命根据地旧址群进行修缮、保护和开发利用，</w:t>
            </w:r>
            <w:r>
              <w:rPr>
                <w:rFonts w:ascii="仿宋" w:eastAsia="仿宋" w:cs="宋体"/>
                <w:kern w:val="0"/>
                <w:sz w:val="20"/>
                <w:szCs w:val="20"/>
              </w:rPr>
              <w:t>优化提升基地沿线道路建设、配套场馆建设。</w:t>
            </w:r>
          </w:p>
        </w:tc>
        <w:tc>
          <w:tcPr>
            <w:tcW w:w="160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jc w:val="center"/>
              <w:rPr>
                <w:rFonts w:hint="eastAsia" w:ascii="仿宋" w:hAnsi="仿宋" w:eastAsia="仿宋"/>
                <w:kern w:val="0"/>
                <w:sz w:val="20"/>
                <w:szCs w:val="20"/>
              </w:rPr>
            </w:pPr>
            <w:r>
              <w:rPr>
                <w:rFonts w:hint="eastAsia" w:ascii="仿宋" w:hAnsi="仿宋" w:eastAsia="仿宋"/>
                <w:kern w:val="0"/>
                <w:sz w:val="20"/>
                <w:szCs w:val="20"/>
              </w:rPr>
              <w:t>2026-2030</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jc w:val="center"/>
              <w:rPr>
                <w:rFonts w:hint="eastAsia" w:ascii="仿宋" w:hAnsi="仿宋" w:eastAsia="仿宋"/>
                <w:kern w:val="0"/>
                <w:sz w:val="20"/>
                <w:szCs w:val="20"/>
              </w:rPr>
            </w:pPr>
            <w:r>
              <w:rPr>
                <w:rFonts w:hint="eastAsia" w:ascii="仿宋" w:hAnsi="仿宋" w:eastAsia="仿宋"/>
                <w:kern w:val="0"/>
                <w:sz w:val="20"/>
                <w:szCs w:val="20"/>
              </w:rPr>
              <w:t>20</w:t>
            </w:r>
            <w:r>
              <w:rPr>
                <w:rFonts w:ascii="仿宋" w:hAnsi="仿宋" w:eastAsia="仿宋"/>
                <w:kern w:val="0"/>
                <w:sz w:val="20"/>
                <w:szCs w:val="20"/>
              </w:rPr>
              <w:t>000</w:t>
            </w:r>
          </w:p>
        </w:tc>
        <w:tc>
          <w:tcPr>
            <w:tcW w:w="97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48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hint="eastAsia" w:ascii="仿宋" w:hAnsi="楷体" w:eastAsia="仿宋"/>
                <w:sz w:val="20"/>
              </w:rPr>
            </w:pPr>
            <w:r>
              <w:rPr>
                <w:rFonts w:hint="eastAsia" w:ascii="仿宋" w:hAnsi="楷体" w:eastAsia="仿宋"/>
                <w:sz w:val="20"/>
              </w:rPr>
              <w:t>5</w:t>
            </w:r>
          </w:p>
        </w:tc>
        <w:tc>
          <w:tcPr>
            <w:tcW w:w="22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rPr>
                <w:rFonts w:ascii="仿宋" w:eastAsia="仿宋" w:cs="宋体"/>
                <w:kern w:val="0"/>
                <w:sz w:val="20"/>
                <w:szCs w:val="20"/>
              </w:rPr>
            </w:pPr>
            <w:r>
              <w:rPr>
                <w:rFonts w:ascii="仿宋" w:eastAsia="仿宋" w:cs="宋体"/>
                <w:kern w:val="0"/>
                <w:sz w:val="20"/>
                <w:szCs w:val="20"/>
              </w:rPr>
              <w:t>松源同怀别墅</w:t>
            </w:r>
            <w:r>
              <w:rPr>
                <w:rFonts w:hint="eastAsia" w:ascii="仿宋" w:eastAsia="仿宋" w:cs="宋体"/>
                <w:kern w:val="0"/>
                <w:sz w:val="20"/>
                <w:szCs w:val="20"/>
              </w:rPr>
              <w:t>中央</w:t>
            </w:r>
            <w:r>
              <w:rPr>
                <w:rFonts w:ascii="仿宋" w:eastAsia="仿宋" w:cs="宋体"/>
                <w:kern w:val="0"/>
                <w:sz w:val="20"/>
                <w:szCs w:val="20"/>
              </w:rPr>
              <w:t>九月来信红色旅游</w:t>
            </w:r>
            <w:r>
              <w:rPr>
                <w:rFonts w:hint="eastAsia" w:ascii="仿宋" w:eastAsia="仿宋" w:cs="宋体"/>
                <w:kern w:val="0"/>
                <w:sz w:val="20"/>
                <w:szCs w:val="20"/>
              </w:rPr>
              <w:t>区</w:t>
            </w:r>
            <w:r>
              <w:rPr>
                <w:rFonts w:ascii="仿宋" w:eastAsia="仿宋" w:cs="宋体"/>
                <w:kern w:val="0"/>
                <w:sz w:val="20"/>
                <w:szCs w:val="20"/>
              </w:rPr>
              <w:t>项目</w:t>
            </w:r>
          </w:p>
        </w:tc>
        <w:tc>
          <w:tcPr>
            <w:tcW w:w="77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rPr>
                <w:rFonts w:ascii="仿宋" w:eastAsia="仿宋" w:cs="宋体"/>
                <w:kern w:val="0"/>
                <w:sz w:val="20"/>
                <w:szCs w:val="20"/>
              </w:rPr>
            </w:pPr>
            <w:r>
              <w:rPr>
                <w:rFonts w:ascii="仿宋" w:eastAsia="仿宋" w:cs="宋体"/>
                <w:kern w:val="0"/>
                <w:sz w:val="20"/>
                <w:szCs w:val="20"/>
              </w:rPr>
              <w:t>进一步保护利用好松源镇同怀别墅中央九月来信的丰富红色资源</w:t>
            </w:r>
            <w:r>
              <w:rPr>
                <w:rFonts w:hint="eastAsia" w:ascii="仿宋" w:eastAsia="仿宋" w:cs="宋体"/>
                <w:kern w:val="0"/>
                <w:sz w:val="20"/>
                <w:szCs w:val="20"/>
              </w:rPr>
              <w:t>，</w:t>
            </w:r>
            <w:r>
              <w:rPr>
                <w:rFonts w:ascii="仿宋" w:eastAsia="仿宋" w:cs="宋体"/>
                <w:kern w:val="0"/>
                <w:sz w:val="20"/>
                <w:szCs w:val="20"/>
              </w:rPr>
              <w:t>以军旅研学为核心业态，对以同怀别墅为中心的红色资源进行全面提升建设</w:t>
            </w:r>
            <w:r>
              <w:rPr>
                <w:rFonts w:hint="eastAsia" w:ascii="仿宋" w:eastAsia="仿宋" w:cs="宋体"/>
                <w:kern w:val="0"/>
                <w:sz w:val="20"/>
                <w:szCs w:val="20"/>
              </w:rPr>
              <w:t>，内容包括</w:t>
            </w:r>
            <w:r>
              <w:rPr>
                <w:rFonts w:ascii="仿宋" w:eastAsia="仿宋" w:cs="宋体"/>
                <w:kern w:val="0"/>
                <w:sz w:val="20"/>
                <w:szCs w:val="20"/>
              </w:rPr>
              <w:t>同怀别墅核心游览区、红色教育研学营地及其他景区基础设施</w:t>
            </w:r>
            <w:r>
              <w:rPr>
                <w:rFonts w:hint="eastAsia" w:ascii="仿宋" w:eastAsia="仿宋" w:cs="宋体"/>
                <w:kern w:val="0"/>
                <w:sz w:val="20"/>
                <w:szCs w:val="20"/>
              </w:rPr>
              <w:t>建设</w:t>
            </w:r>
            <w:r>
              <w:rPr>
                <w:rFonts w:ascii="仿宋" w:eastAsia="仿宋" w:cs="宋体"/>
                <w:kern w:val="0"/>
                <w:sz w:val="20"/>
                <w:szCs w:val="20"/>
              </w:rPr>
              <w:t>。</w:t>
            </w:r>
          </w:p>
        </w:tc>
        <w:tc>
          <w:tcPr>
            <w:tcW w:w="160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jc w:val="center"/>
              <w:rPr>
                <w:rFonts w:ascii="仿宋" w:eastAsia="仿宋" w:cs="宋体"/>
                <w:kern w:val="0"/>
                <w:sz w:val="20"/>
                <w:szCs w:val="20"/>
              </w:rPr>
            </w:pPr>
            <w:r>
              <w:rPr>
                <w:rFonts w:hint="eastAsia" w:ascii="仿宋" w:hAnsi="仿宋" w:eastAsia="仿宋"/>
                <w:kern w:val="0"/>
                <w:sz w:val="20"/>
                <w:szCs w:val="20"/>
              </w:rPr>
              <w:t>2026-2030</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jc w:val="center"/>
              <w:rPr>
                <w:rFonts w:ascii="仿宋" w:eastAsia="仿宋" w:cs="宋体"/>
                <w:kern w:val="0"/>
                <w:sz w:val="20"/>
                <w:szCs w:val="20"/>
              </w:rPr>
            </w:pPr>
            <w:r>
              <w:rPr>
                <w:rFonts w:hint="eastAsia" w:ascii="仿宋" w:hAnsi="仿宋" w:eastAsia="仿宋"/>
                <w:kern w:val="0"/>
                <w:sz w:val="20"/>
                <w:szCs w:val="20"/>
              </w:rPr>
              <w:t>20</w:t>
            </w:r>
            <w:r>
              <w:rPr>
                <w:rFonts w:ascii="仿宋" w:hAnsi="仿宋" w:eastAsia="仿宋"/>
                <w:kern w:val="0"/>
                <w:sz w:val="20"/>
                <w:szCs w:val="20"/>
              </w:rPr>
              <w:t>000</w:t>
            </w:r>
          </w:p>
        </w:tc>
        <w:tc>
          <w:tcPr>
            <w:tcW w:w="97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48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hint="eastAsia" w:ascii="仿宋" w:hAnsi="楷体" w:eastAsia="仿宋"/>
                <w:sz w:val="20"/>
              </w:rPr>
            </w:pPr>
            <w:r>
              <w:rPr>
                <w:rFonts w:hint="eastAsia" w:ascii="仿宋" w:hAnsi="楷体" w:eastAsia="仿宋"/>
                <w:sz w:val="20"/>
              </w:rPr>
              <w:t>6</w:t>
            </w:r>
          </w:p>
        </w:tc>
        <w:tc>
          <w:tcPr>
            <w:tcW w:w="22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kern w:val="0"/>
                <w:sz w:val="20"/>
                <w:szCs w:val="20"/>
              </w:rPr>
            </w:pPr>
            <w:r>
              <w:rPr>
                <w:rFonts w:hint="eastAsia" w:ascii="仿宋" w:hAnsi="仿宋" w:eastAsia="仿宋"/>
                <w:kern w:val="0"/>
                <w:sz w:val="20"/>
                <w:szCs w:val="20"/>
              </w:rPr>
              <w:t>辖区景点</w:t>
            </w:r>
            <w:r>
              <w:rPr>
                <w:rFonts w:ascii="仿宋" w:hAnsi="仿宋" w:eastAsia="仿宋"/>
                <w:kern w:val="0"/>
                <w:sz w:val="20"/>
                <w:szCs w:val="20"/>
              </w:rPr>
              <w:t>景区旅游基础设施</w:t>
            </w:r>
            <w:r>
              <w:rPr>
                <w:rFonts w:hint="eastAsia" w:ascii="仿宋" w:hAnsi="仿宋" w:eastAsia="仿宋"/>
                <w:kern w:val="0"/>
                <w:sz w:val="20"/>
                <w:szCs w:val="20"/>
              </w:rPr>
              <w:t>提升、</w:t>
            </w:r>
            <w:r>
              <w:rPr>
                <w:rFonts w:ascii="仿宋" w:hAnsi="仿宋" w:eastAsia="仿宋"/>
                <w:kern w:val="0"/>
                <w:sz w:val="20"/>
                <w:szCs w:val="20"/>
              </w:rPr>
              <w:t>智慧旅游提升</w:t>
            </w:r>
            <w:r>
              <w:rPr>
                <w:rFonts w:hint="eastAsia" w:ascii="仿宋" w:hAnsi="仿宋" w:eastAsia="仿宋"/>
                <w:kern w:val="0"/>
                <w:sz w:val="20"/>
                <w:szCs w:val="20"/>
              </w:rPr>
              <w:t>项目</w:t>
            </w:r>
          </w:p>
        </w:tc>
        <w:tc>
          <w:tcPr>
            <w:tcW w:w="77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ascii="仿宋" w:eastAsia="仿宋" w:cs="宋体"/>
                <w:kern w:val="0"/>
                <w:sz w:val="20"/>
                <w:szCs w:val="20"/>
              </w:rPr>
              <w:t>对辖区内</w:t>
            </w:r>
            <w:r>
              <w:rPr>
                <w:rFonts w:hint="eastAsia" w:ascii="仿宋" w:hAnsi="仿宋" w:eastAsia="仿宋"/>
                <w:kern w:val="0"/>
                <w:sz w:val="20"/>
                <w:szCs w:val="20"/>
              </w:rPr>
              <w:t>景点</w:t>
            </w:r>
            <w:r>
              <w:rPr>
                <w:rFonts w:ascii="仿宋" w:eastAsia="仿宋" w:cs="宋体"/>
                <w:kern w:val="0"/>
                <w:sz w:val="20"/>
                <w:szCs w:val="20"/>
              </w:rPr>
              <w:t>旅游景区基础设施</w:t>
            </w:r>
            <w:r>
              <w:rPr>
                <w:rFonts w:hint="eastAsia" w:ascii="仿宋" w:eastAsia="仿宋" w:cs="宋体"/>
                <w:kern w:val="0"/>
                <w:sz w:val="20"/>
                <w:szCs w:val="20"/>
              </w:rPr>
              <w:t>、智慧旅游进行提升</w:t>
            </w:r>
            <w:r>
              <w:rPr>
                <w:rFonts w:ascii="仿宋" w:eastAsia="仿宋" w:cs="宋体"/>
                <w:kern w:val="0"/>
                <w:sz w:val="20"/>
                <w:szCs w:val="20"/>
              </w:rPr>
              <w:t>，包括打造旅游景区智慧停车场、汽车充电设施、智慧导览系统提升</w:t>
            </w:r>
            <w:r>
              <w:rPr>
                <w:rFonts w:hint="eastAsia" w:ascii="仿宋" w:eastAsia="仿宋" w:cs="宋体"/>
                <w:kern w:val="0"/>
                <w:sz w:val="20"/>
                <w:szCs w:val="20"/>
              </w:rPr>
              <w:t>，</w:t>
            </w:r>
            <w:r>
              <w:rPr>
                <w:rFonts w:ascii="仿宋" w:eastAsia="仿宋" w:cs="宋体"/>
                <w:kern w:val="0"/>
                <w:sz w:val="20"/>
                <w:szCs w:val="20"/>
              </w:rPr>
              <w:t>建设旅游咨询中心、提升改造景区内旅游服务中心</w:t>
            </w:r>
            <w:r>
              <w:rPr>
                <w:rFonts w:hint="eastAsia" w:ascii="仿宋" w:eastAsia="仿宋" w:cs="宋体"/>
                <w:kern w:val="0"/>
                <w:sz w:val="20"/>
                <w:szCs w:val="20"/>
              </w:rPr>
              <w:t>，深化数字化转型，应用人工智能和大数据优化服务流程与产品开发。</w:t>
            </w:r>
          </w:p>
        </w:tc>
        <w:tc>
          <w:tcPr>
            <w:tcW w:w="160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hAnsi="仿宋" w:eastAsia="仿宋"/>
                <w:kern w:val="0"/>
                <w:sz w:val="20"/>
                <w:szCs w:val="20"/>
              </w:rPr>
              <w:t>2026-2030</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hAnsi="仿宋" w:eastAsia="仿宋"/>
                <w:kern w:val="0"/>
                <w:sz w:val="20"/>
                <w:szCs w:val="20"/>
              </w:rPr>
              <w:t>10000</w:t>
            </w:r>
          </w:p>
        </w:tc>
        <w:tc>
          <w:tcPr>
            <w:tcW w:w="97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eastAsia="仿宋" w:cs="宋体"/>
                <w:kern w:val="0"/>
                <w:sz w:val="20"/>
                <w:szCs w:val="20"/>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481" w:type="dxa"/>
            <w:tcBorders>
              <w:top w:val="single" w:color="auto" w:sz="4" w:space="0"/>
              <w:left w:val="single" w:color="auto" w:sz="4" w:space="0"/>
              <w:bottom w:val="single" w:color="auto" w:sz="4" w:space="0"/>
              <w:right w:val="single" w:color="auto" w:sz="4" w:space="0"/>
            </w:tcBorders>
            <w:vAlign w:val="center"/>
          </w:tcPr>
          <w:p>
            <w:pPr>
              <w:keepNext/>
              <w:snapToGrid w:val="0"/>
              <w:spacing w:before="156" w:beforeLines="50" w:after="156" w:afterLines="50"/>
              <w:jc w:val="center"/>
              <w:rPr>
                <w:rFonts w:hint="eastAsia" w:ascii="仿宋" w:hAnsi="楷体" w:eastAsia="仿宋"/>
                <w:sz w:val="20"/>
              </w:rPr>
            </w:pPr>
            <w:r>
              <w:rPr>
                <w:rFonts w:hint="eastAsia" w:ascii="仿宋" w:hAnsi="楷体" w:eastAsia="仿宋"/>
                <w:sz w:val="20"/>
              </w:rPr>
              <w:t>7</w:t>
            </w:r>
          </w:p>
        </w:tc>
        <w:tc>
          <w:tcPr>
            <w:tcW w:w="22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hint="eastAsia" w:ascii="仿宋" w:hAnsi="仿宋" w:eastAsia="仿宋"/>
                <w:kern w:val="0"/>
                <w:sz w:val="20"/>
                <w:szCs w:val="20"/>
              </w:rPr>
            </w:pPr>
            <w:r>
              <w:rPr>
                <w:rFonts w:hint="eastAsia" w:ascii="仿宋" w:hAnsi="仿宋" w:eastAsia="仿宋"/>
                <w:kern w:val="0"/>
                <w:sz w:val="20"/>
                <w:szCs w:val="20"/>
                <w:lang w:eastAsia="zh-CN"/>
              </w:rPr>
              <w:t>梅县</w:t>
            </w:r>
            <w:r>
              <w:rPr>
                <w:rFonts w:hint="eastAsia" w:ascii="仿宋" w:hAnsi="仿宋" w:eastAsia="仿宋"/>
                <w:kern w:val="0"/>
                <w:sz w:val="20"/>
                <w:szCs w:val="20"/>
              </w:rPr>
              <w:t>游客服务中心</w:t>
            </w:r>
          </w:p>
        </w:tc>
        <w:tc>
          <w:tcPr>
            <w:tcW w:w="770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rPr>
                <w:rFonts w:ascii="仿宋" w:eastAsia="仿宋" w:cs="宋体"/>
                <w:kern w:val="0"/>
                <w:sz w:val="20"/>
                <w:szCs w:val="20"/>
              </w:rPr>
            </w:pPr>
            <w:r>
              <w:rPr>
                <w:rFonts w:hint="eastAsia" w:ascii="仿宋" w:eastAsia="仿宋" w:cs="宋体"/>
                <w:kern w:val="0"/>
                <w:sz w:val="20"/>
                <w:szCs w:val="20"/>
              </w:rPr>
              <w:t>谋划建设梅县区游客服务中心，拟选址雁洋镇富力足球学校侧，占地20亩。建设内容包括但不限于接待大厅、游客休息区、母婴室、旅游厕所、无障碍设施、文化展示区、商品展销区、特色餐饮区、办公管理区、数字化管理平台、智慧服务系统、综合安防监控等，以及加油站、充电站、旅游集散站场</w:t>
            </w:r>
            <w:bookmarkStart w:id="703" w:name="_GoBack"/>
            <w:bookmarkEnd w:id="703"/>
            <w:r>
              <w:rPr>
                <w:rFonts w:hint="eastAsia" w:ascii="仿宋" w:eastAsia="仿宋" w:cs="宋体"/>
                <w:kern w:val="0"/>
                <w:sz w:val="20"/>
                <w:szCs w:val="20"/>
              </w:rPr>
              <w:t>、停车场、场外道路、绿化景观、标识标牌等室外附属工程。</w:t>
            </w:r>
          </w:p>
        </w:tc>
        <w:tc>
          <w:tcPr>
            <w:tcW w:w="160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hAnsi="仿宋" w:eastAsia="仿宋"/>
                <w:kern w:val="0"/>
                <w:sz w:val="20"/>
                <w:szCs w:val="20"/>
              </w:rPr>
              <w:t>202</w:t>
            </w:r>
            <w:r>
              <w:rPr>
                <w:rFonts w:hint="eastAsia" w:ascii="仿宋" w:hAnsi="仿宋" w:eastAsia="仿宋"/>
                <w:kern w:val="0"/>
                <w:sz w:val="20"/>
                <w:szCs w:val="20"/>
                <w:lang w:val="en-US" w:eastAsia="zh-CN"/>
              </w:rPr>
              <w:t>7</w:t>
            </w:r>
            <w:r>
              <w:rPr>
                <w:rFonts w:hint="eastAsia" w:ascii="仿宋" w:hAnsi="仿宋" w:eastAsia="仿宋"/>
                <w:kern w:val="0"/>
                <w:sz w:val="20"/>
                <w:szCs w:val="20"/>
              </w:rPr>
              <w:t>-2030</w:t>
            </w:r>
          </w:p>
        </w:tc>
        <w:tc>
          <w:tcPr>
            <w:tcW w:w="120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hint="eastAsia" w:ascii="仿宋" w:hAnsi="仿宋" w:eastAsia="仿宋"/>
                <w:kern w:val="0"/>
                <w:sz w:val="20"/>
                <w:szCs w:val="20"/>
              </w:rPr>
            </w:pPr>
            <w:r>
              <w:rPr>
                <w:rFonts w:hint="eastAsia" w:ascii="仿宋" w:hAnsi="仿宋" w:eastAsia="仿宋"/>
                <w:kern w:val="0"/>
                <w:sz w:val="20"/>
                <w:szCs w:val="20"/>
                <w:lang w:val="en-US" w:eastAsia="zh-CN"/>
              </w:rPr>
              <w:t>15</w:t>
            </w:r>
            <w:r>
              <w:rPr>
                <w:rFonts w:hint="eastAsia" w:ascii="仿宋" w:hAnsi="仿宋" w:eastAsia="仿宋"/>
                <w:kern w:val="0"/>
                <w:sz w:val="20"/>
                <w:szCs w:val="20"/>
              </w:rPr>
              <w:t>00</w:t>
            </w:r>
          </w:p>
        </w:tc>
        <w:tc>
          <w:tcPr>
            <w:tcW w:w="97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snapToGrid w:val="0"/>
              <w:spacing w:before="156" w:beforeLines="50" w:after="156" w:afterLines="50"/>
              <w:jc w:val="center"/>
              <w:rPr>
                <w:rFonts w:ascii="仿宋" w:eastAsia="仿宋" w:cs="宋体"/>
                <w:kern w:val="0"/>
                <w:sz w:val="20"/>
                <w:szCs w:val="20"/>
              </w:rPr>
            </w:pPr>
            <w:r>
              <w:rPr>
                <w:rFonts w:hint="eastAsia" w:ascii="仿宋" w:eastAsia="仿宋" w:cs="宋体"/>
                <w:kern w:val="0"/>
                <w:sz w:val="20"/>
                <w:szCs w:val="20"/>
              </w:rPr>
              <w:t>谋划</w:t>
            </w:r>
          </w:p>
        </w:tc>
      </w:tr>
    </w:tbl>
    <w:p>
      <w:pPr>
        <w:widowControl/>
      </w:pPr>
    </w:p>
    <w:p>
      <w:pPr>
        <w:pStyle w:val="4"/>
        <w:tabs>
          <w:tab w:val="left" w:pos="0"/>
        </w:tabs>
        <w:adjustRightInd w:val="0"/>
        <w:snapToGrid w:val="0"/>
        <w:spacing w:before="234" w:beforeLines="75"/>
        <w:ind w:left="29"/>
        <w:jc w:val="both"/>
        <w:rPr>
          <w:rFonts w:hint="eastAsia" w:ascii="黑体" w:hAnsi="黑体"/>
          <w:color w:val="auto"/>
        </w:rPr>
      </w:pPr>
      <w:bookmarkStart w:id="699" w:name="_Toc30900"/>
      <w:bookmarkStart w:id="700" w:name="_Toc235696707"/>
      <w:bookmarkStart w:id="701" w:name="_Toc221538712"/>
      <w:r>
        <w:rPr>
          <w:rFonts w:hint="eastAsia" w:ascii="黑体" w:hAnsi="黑体"/>
          <w:color w:val="auto"/>
        </w:rPr>
        <w:t>三、农文旅融合项目</w:t>
      </w:r>
      <w:bookmarkEnd w:id="699"/>
      <w:bookmarkEnd w:id="700"/>
      <w:bookmarkEnd w:id="701"/>
    </w:p>
    <w:p>
      <w:pPr>
        <w:widowControl/>
      </w:pPr>
    </w:p>
    <w:tbl>
      <w:tblPr>
        <w:tblStyle w:val="22"/>
        <w:tblW w:w="14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2155"/>
        <w:gridCol w:w="7632"/>
        <w:gridCol w:w="1642"/>
        <w:gridCol w:w="1161"/>
        <w:gridCol w:w="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37" w:type="dxa"/>
            <w:shd w:val="clear" w:color="auto" w:fill="FFFFFF"/>
            <w:vAlign w:val="center"/>
          </w:tcPr>
          <w:p>
            <w:pPr>
              <w:keepNext/>
              <w:snapToGrid w:val="0"/>
              <w:spacing w:before="156" w:beforeLines="50" w:after="156" w:afterLines="50"/>
              <w:rPr>
                <w:rFonts w:hint="eastAsia" w:ascii="仿宋" w:hAnsi="仿宋" w:eastAsia="仿宋" w:cs="仿宋"/>
                <w:b/>
                <w:bCs/>
                <w:kern w:val="0"/>
                <w:sz w:val="20"/>
                <w:szCs w:val="20"/>
              </w:rPr>
            </w:pPr>
            <w:r>
              <w:rPr>
                <w:rFonts w:hint="eastAsia" w:ascii="仿宋" w:hAnsi="仿宋" w:eastAsia="仿宋" w:cs="仿宋"/>
                <w:b/>
                <w:bCs/>
                <w:kern w:val="0"/>
                <w:sz w:val="20"/>
                <w:szCs w:val="20"/>
              </w:rPr>
              <w:t>序号</w:t>
            </w:r>
          </w:p>
        </w:tc>
        <w:tc>
          <w:tcPr>
            <w:tcW w:w="2155" w:type="dxa"/>
            <w:shd w:val="clear" w:color="auto" w:fill="FFFFFF"/>
            <w:vAlign w:val="center"/>
          </w:tcPr>
          <w:p>
            <w:pPr>
              <w:keepNext/>
              <w:snapToGrid w:val="0"/>
              <w:spacing w:before="156" w:beforeLines="50" w:after="156" w:afterLines="50"/>
              <w:rPr>
                <w:rFonts w:hint="eastAsia" w:ascii="仿宋" w:hAnsi="仿宋" w:eastAsia="仿宋" w:cs="仿宋"/>
                <w:b/>
                <w:bCs/>
                <w:kern w:val="0"/>
                <w:sz w:val="20"/>
                <w:szCs w:val="20"/>
              </w:rPr>
            </w:pPr>
            <w:r>
              <w:rPr>
                <w:rFonts w:hint="eastAsia" w:ascii="仿宋" w:hAnsi="仿宋" w:eastAsia="仿宋" w:cs="仿宋"/>
                <w:b/>
                <w:bCs/>
                <w:kern w:val="0"/>
                <w:sz w:val="20"/>
                <w:szCs w:val="20"/>
              </w:rPr>
              <w:t>项目名称</w:t>
            </w:r>
          </w:p>
        </w:tc>
        <w:tc>
          <w:tcPr>
            <w:tcW w:w="7632" w:type="dxa"/>
            <w:shd w:val="clear" w:color="auto" w:fill="FFFFFF"/>
            <w:vAlign w:val="center"/>
          </w:tcPr>
          <w:p>
            <w:pPr>
              <w:keepNext/>
              <w:snapToGrid w:val="0"/>
              <w:spacing w:before="156" w:beforeLines="50" w:after="156" w:afterLines="50"/>
              <w:rPr>
                <w:rFonts w:hint="eastAsia" w:ascii="仿宋" w:hAnsi="仿宋" w:eastAsia="仿宋" w:cs="仿宋"/>
                <w:b/>
                <w:bCs/>
                <w:kern w:val="0"/>
                <w:sz w:val="20"/>
                <w:szCs w:val="20"/>
              </w:rPr>
            </w:pPr>
            <w:r>
              <w:rPr>
                <w:rFonts w:hint="eastAsia" w:ascii="仿宋" w:hAnsi="仿宋" w:eastAsia="仿宋" w:cs="仿宋"/>
                <w:b/>
                <w:bCs/>
                <w:kern w:val="0"/>
                <w:sz w:val="20"/>
                <w:szCs w:val="20"/>
              </w:rPr>
              <w:t>建设内容及规模</w:t>
            </w:r>
          </w:p>
        </w:tc>
        <w:tc>
          <w:tcPr>
            <w:tcW w:w="1642" w:type="dxa"/>
            <w:shd w:val="clear" w:color="auto" w:fill="FFFFFF"/>
            <w:vAlign w:val="center"/>
          </w:tcPr>
          <w:p>
            <w:pPr>
              <w:keepNext/>
              <w:snapToGrid w:val="0"/>
              <w:spacing w:before="156" w:beforeLines="50" w:after="156" w:afterLines="50"/>
              <w:rPr>
                <w:rFonts w:hint="eastAsia" w:ascii="仿宋" w:hAnsi="仿宋" w:eastAsia="仿宋" w:cs="仿宋"/>
                <w:b/>
                <w:bCs/>
                <w:kern w:val="0"/>
                <w:sz w:val="20"/>
                <w:szCs w:val="20"/>
              </w:rPr>
            </w:pPr>
            <w:r>
              <w:rPr>
                <w:rFonts w:hint="eastAsia" w:ascii="仿宋" w:hAnsi="仿宋" w:eastAsia="仿宋" w:cs="仿宋"/>
                <w:b/>
                <w:bCs/>
                <w:kern w:val="0"/>
                <w:sz w:val="20"/>
                <w:szCs w:val="20"/>
              </w:rPr>
              <w:t>建设起止年限</w:t>
            </w:r>
          </w:p>
        </w:tc>
        <w:tc>
          <w:tcPr>
            <w:tcW w:w="1161" w:type="dxa"/>
            <w:shd w:val="clear" w:color="auto" w:fill="FFFFFF"/>
            <w:vAlign w:val="center"/>
          </w:tcPr>
          <w:p>
            <w:pPr>
              <w:keepNext/>
              <w:snapToGrid w:val="0"/>
              <w:spacing w:before="156" w:beforeLines="50" w:after="156" w:afterLines="50"/>
              <w:rPr>
                <w:rFonts w:hint="eastAsia" w:ascii="仿宋" w:hAnsi="仿宋" w:eastAsia="仿宋" w:cs="仿宋"/>
                <w:b/>
                <w:bCs/>
                <w:kern w:val="0"/>
                <w:sz w:val="20"/>
                <w:szCs w:val="20"/>
              </w:rPr>
            </w:pPr>
            <w:r>
              <w:rPr>
                <w:rFonts w:hint="eastAsia" w:ascii="仿宋" w:hAnsi="仿宋" w:eastAsia="仿宋" w:cs="仿宋"/>
                <w:b/>
                <w:bCs/>
                <w:kern w:val="0"/>
                <w:sz w:val="20"/>
                <w:szCs w:val="20"/>
              </w:rPr>
              <w:t>总投资</w:t>
            </w:r>
          </w:p>
          <w:p>
            <w:pPr>
              <w:keepNext/>
              <w:snapToGrid w:val="0"/>
              <w:spacing w:before="156" w:beforeLines="50" w:after="156" w:afterLines="50"/>
              <w:rPr>
                <w:rFonts w:hint="eastAsia" w:ascii="仿宋" w:hAnsi="仿宋" w:eastAsia="仿宋" w:cs="仿宋"/>
                <w:b/>
                <w:bCs/>
                <w:kern w:val="0"/>
                <w:sz w:val="20"/>
                <w:szCs w:val="20"/>
              </w:rPr>
            </w:pPr>
            <w:r>
              <w:rPr>
                <w:rFonts w:hint="eastAsia" w:ascii="仿宋" w:hAnsi="仿宋" w:eastAsia="仿宋" w:cs="仿宋"/>
                <w:b/>
                <w:bCs/>
                <w:kern w:val="0"/>
                <w:sz w:val="20"/>
                <w:szCs w:val="20"/>
              </w:rPr>
              <w:t>（万元）</w:t>
            </w:r>
          </w:p>
        </w:tc>
        <w:tc>
          <w:tcPr>
            <w:tcW w:w="946" w:type="dxa"/>
            <w:shd w:val="clear" w:color="auto" w:fill="FFFFFF"/>
            <w:vAlign w:val="center"/>
          </w:tcPr>
          <w:p>
            <w:pPr>
              <w:keepNext/>
              <w:snapToGrid w:val="0"/>
              <w:spacing w:before="156" w:beforeLines="50" w:after="156" w:afterLines="50"/>
              <w:rPr>
                <w:rFonts w:hint="eastAsia" w:ascii="仿宋" w:hAnsi="仿宋" w:eastAsia="仿宋" w:cs="仿宋"/>
                <w:b/>
                <w:bCs/>
                <w:kern w:val="0"/>
                <w:sz w:val="20"/>
                <w:szCs w:val="20"/>
              </w:rPr>
            </w:pPr>
            <w:r>
              <w:rPr>
                <w:rFonts w:hint="eastAsia" w:ascii="仿宋" w:hAnsi="仿宋" w:eastAsia="仿宋" w:cs="仿宋"/>
                <w:b/>
                <w:bCs/>
                <w:kern w:val="0"/>
                <w:sz w:val="20"/>
                <w:szCs w:val="20"/>
              </w:rPr>
              <w:t>项目建设阶段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Align w:val="center"/>
          </w:tcPr>
          <w:p>
            <w:pPr>
              <w:widowControl/>
              <w:snapToGrid w:val="0"/>
              <w:jc w:val="center"/>
              <w:rPr>
                <w:rFonts w:hint="eastAsia" w:ascii="仿宋" w:hAnsi="仿宋" w:eastAsia="仿宋" w:cs="仿宋"/>
              </w:rPr>
            </w:pPr>
            <w:r>
              <w:rPr>
                <w:rFonts w:hint="eastAsia" w:ascii="仿宋" w:hAnsi="仿宋" w:eastAsia="仿宋" w:cs="仿宋"/>
              </w:rPr>
              <w:t>1</w:t>
            </w:r>
          </w:p>
        </w:tc>
        <w:tc>
          <w:tcPr>
            <w:tcW w:w="2155"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梅县区丙雁松农文旅融合发展文化旅游基础设施及配套建设项目</w:t>
            </w:r>
          </w:p>
        </w:tc>
        <w:tc>
          <w:tcPr>
            <w:tcW w:w="7632"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1.完善雁洋镇南福村金柚种植基地停车场、接驳车、公共卫生间、标识指引等基础服务设施。推动雁洋镇灵光寺旅游区智慧停车场改造提升、汽车充电设施、景区外围村道两旁停车场拓宽和樱花园道路拓宽、通信基础设施改造工作。</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2.谋划建设松口古镇游客服务中心；大黄村金柚公园（游客服务中心+引导性产业展陈等共3000平方米）；松口古镇至大黄村游线旅游驿站、旅游厕所、公共文化休闲空间、智慧停车场（800个车位）、标识标牌、汽车充电设施、智慧旅游、智慧导览系统、供水、供电、供气、消防、防洪等基础配套设施。</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3.在丙村乡村大讲堂侧，建设创客中心（占地面积640平方米，建筑面积1100平方米，配套屋顶花园，停车位，光伏屋顶）；建设柚乐天地－儿童乐园，打造网红打卡、亲子互动、运动健身、趣味休闲为一体的儿童乐园。</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4.优化提升现有A级旅游景区智慧旅游系统及服务配套设施建设。</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2028-2030</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30000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Align w:val="center"/>
          </w:tcPr>
          <w:p>
            <w:pPr>
              <w:widowControl/>
              <w:snapToGrid w:val="0"/>
              <w:jc w:val="center"/>
              <w:rPr>
                <w:rFonts w:hint="eastAsia" w:ascii="仿宋" w:hAnsi="仿宋" w:eastAsia="仿宋" w:cs="仿宋"/>
              </w:rPr>
            </w:pPr>
            <w:r>
              <w:rPr>
                <w:rFonts w:hint="eastAsia" w:ascii="仿宋" w:hAnsi="仿宋" w:eastAsia="仿宋" w:cs="仿宋"/>
              </w:rPr>
              <w:t>2</w:t>
            </w:r>
          </w:p>
        </w:tc>
        <w:tc>
          <w:tcPr>
            <w:tcW w:w="2155"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梅县区梅南镇红色文旅</w:t>
            </w:r>
          </w:p>
        </w:tc>
        <w:tc>
          <w:tcPr>
            <w:tcW w:w="7632"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以水美村“红色村”为中心，辐射九龙、新塘、轩坑、顺里、蓝溪等村，重点打造三点一轴红色旅游线路</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2026-2030</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30000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Align w:val="center"/>
          </w:tcPr>
          <w:p>
            <w:pPr>
              <w:widowControl/>
              <w:snapToGrid w:val="0"/>
              <w:jc w:val="center"/>
              <w:rPr>
                <w:rFonts w:hint="eastAsia" w:ascii="仿宋" w:hAnsi="仿宋" w:eastAsia="仿宋" w:cs="仿宋"/>
              </w:rPr>
            </w:pPr>
            <w:r>
              <w:rPr>
                <w:rFonts w:hint="eastAsia" w:ascii="仿宋" w:hAnsi="仿宋" w:eastAsia="仿宋" w:cs="仿宋"/>
              </w:rPr>
              <w:t>3</w:t>
            </w:r>
          </w:p>
        </w:tc>
        <w:tc>
          <w:tcPr>
            <w:tcW w:w="2155"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2026年传统村落集中连片保护利用示范项目</w:t>
            </w:r>
          </w:p>
        </w:tc>
        <w:tc>
          <w:tcPr>
            <w:tcW w:w="7632"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一是对公共传统建筑和历史建筑修缮；二是周边文化旅游配套设施建设，完善乡村基础设施和公共服务设施，整治人居环境，发展乡村特色产业；三是制作传统村落数字影像资料；四是建设村史馆、客侨文化馆，农耕文化馆及非遗+农耕体验馆等；五是在对各村本身文化特性以及文化内涵深入挖掘的基础上，完善保护规划，保障传统村落风貌的延续；六是传统村落公共道路及附属设施加固维修</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2026-2028</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3500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储备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Align w:val="center"/>
          </w:tcPr>
          <w:p>
            <w:pPr>
              <w:widowControl/>
              <w:snapToGrid w:val="0"/>
              <w:jc w:val="center"/>
              <w:rPr>
                <w:rFonts w:hint="eastAsia" w:ascii="仿宋" w:hAnsi="仿宋" w:eastAsia="仿宋" w:cs="仿宋"/>
              </w:rPr>
            </w:pPr>
            <w:r>
              <w:rPr>
                <w:rFonts w:hint="eastAsia" w:ascii="仿宋" w:hAnsi="仿宋" w:eastAsia="仿宋" w:cs="仿宋"/>
              </w:rPr>
              <w:t>4</w:t>
            </w:r>
          </w:p>
        </w:tc>
        <w:tc>
          <w:tcPr>
            <w:tcW w:w="2155"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梅县区石坑镇名人故居群活化保护与文旅融合开发项目</w:t>
            </w:r>
          </w:p>
        </w:tc>
        <w:tc>
          <w:tcPr>
            <w:tcW w:w="7632" w:type="dxa"/>
            <w:vAlign w:val="center"/>
          </w:tcPr>
          <w:p>
            <w:pPr>
              <w:keepNext/>
              <w:widowControl/>
              <w:snapToGrid w:val="0"/>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李介夫故居：曾仲和烈士故居修缮；聚焦侨乡文化与名人生平，主打“侨文化传承”；楼栖故居：围绕文人著作与生平，主打 “地方文脉延续”；梅西区苏维埃旧址、葛藤窝革命烈士纪念碑，打造红色教育场景；依托文祠古塔、古树公园、铁山嶂、高峰嶂山顶公园、盘龙围等古建与生态资源支撑，打造集“红色教育、文化体验、生态休闲、乡村研学”于一体的全域文旅产业集群。</w:t>
            </w:r>
          </w:p>
          <w:p>
            <w:pPr>
              <w:keepNext/>
              <w:widowControl/>
              <w:snapToGrid w:val="0"/>
              <w:textAlignment w:val="center"/>
              <w:rPr>
                <w:rFonts w:hint="eastAsia" w:ascii="仿宋" w:hAnsi="仿宋" w:eastAsia="仿宋" w:cs="仿宋"/>
                <w:color w:val="000000"/>
                <w:kern w:val="0"/>
                <w:sz w:val="20"/>
                <w:szCs w:val="20"/>
                <w:lang w:bidi="ar"/>
              </w:rPr>
            </w:pP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2026-2030</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3200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储备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Align w:val="center"/>
          </w:tcPr>
          <w:p>
            <w:pPr>
              <w:widowControl/>
              <w:snapToGrid w:val="0"/>
              <w:jc w:val="center"/>
              <w:rPr>
                <w:rFonts w:hint="eastAsia" w:ascii="仿宋" w:hAnsi="仿宋" w:eastAsia="仿宋" w:cs="仿宋"/>
                <w:color w:val="000000"/>
                <w:sz w:val="20"/>
                <w:szCs w:val="20"/>
              </w:rPr>
            </w:pPr>
            <w:r>
              <w:rPr>
                <w:rFonts w:hint="eastAsia" w:ascii="仿宋" w:hAnsi="仿宋" w:eastAsia="仿宋" w:cs="仿宋"/>
              </w:rPr>
              <w:t>5</w:t>
            </w:r>
          </w:p>
        </w:tc>
        <w:tc>
          <w:tcPr>
            <w:tcW w:w="2155"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石坑镇铁山嶂沿线文化旅游项目</w:t>
            </w:r>
          </w:p>
        </w:tc>
        <w:tc>
          <w:tcPr>
            <w:tcW w:w="7632"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结合矿山修复项目，做好地质灾害工程治理、地形地貌重塑和土壤改良与植被恢复相关工作，在确保生态安全的前提下，完善文旅基础设施，实施景观营造工程。旨在通过系统性生态修复，消除矿山地质灾害隐患，恢复区域生态环境，并在此基础上植入文化旅游功能，打造一个集生态观光、科普教育、休闲度假、文化体验于一体的综合性文旅目的地。涉及规模：（石坑镇府－铁山公王庙段）道路沿线长度约10公里，涉及生态修复面积约500亩。</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2026-2027</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3000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dxa"/>
            <w:vAlign w:val="center"/>
          </w:tcPr>
          <w:p>
            <w:pPr>
              <w:widowControl/>
              <w:snapToGrid w:val="0"/>
              <w:jc w:val="center"/>
              <w:rPr>
                <w:rFonts w:hint="eastAsia" w:ascii="仿宋" w:hAnsi="仿宋" w:eastAsia="仿宋" w:cs="仿宋"/>
              </w:rPr>
            </w:pPr>
            <w:r>
              <w:rPr>
                <w:rFonts w:hint="eastAsia" w:ascii="仿宋" w:hAnsi="仿宋" w:eastAsia="仿宋" w:cs="仿宋"/>
              </w:rPr>
              <w:t>6</w:t>
            </w:r>
          </w:p>
        </w:tc>
        <w:tc>
          <w:tcPr>
            <w:tcW w:w="2155" w:type="dxa"/>
            <w:vAlign w:val="center"/>
          </w:tcPr>
          <w:p>
            <w:pPr>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广东省梅州市梅县区丙村镇现代农业“三产”融合示范基地建设项目</w:t>
            </w:r>
          </w:p>
        </w:tc>
        <w:tc>
          <w:tcPr>
            <w:tcW w:w="7632" w:type="dxa"/>
            <w:vAlign w:val="center"/>
          </w:tcPr>
          <w:p>
            <w:pPr>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一、交通街、仲元街、锦江南路、锦江北路各建筑物进行升级改造；建设垃圾中转站；对历史文化村落进行修缮；高速出口沿线、沿河升级改造；研学基地教研室升级改造，研学基地室外活动拓展区等。二、对农贸市场进行升级改造，完善周边设施；新建农产品批发物流市场；在农贸市场、物流市场、圩镇中心地带建设智慧停车场；对公产房及公租房升级改造；对S223线丙村镇段农房整治进行升级改造；对S224线与周边路段排水、排污管道改造等。三、围绕农产品物流线路规划设计一条高标准农田配套道路方便大型农用机械进出，并铺设沥青；规划新建一座跨江大桥。</w:t>
            </w:r>
          </w:p>
        </w:tc>
        <w:tc>
          <w:tcPr>
            <w:tcW w:w="1642" w:type="dxa"/>
            <w:vAlign w:val="center"/>
          </w:tcPr>
          <w:p>
            <w:pPr>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2025-2028</w:t>
            </w:r>
          </w:p>
        </w:tc>
        <w:tc>
          <w:tcPr>
            <w:tcW w:w="1161" w:type="dxa"/>
            <w:vAlign w:val="center"/>
          </w:tcPr>
          <w:p>
            <w:pPr>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25500</w:t>
            </w:r>
          </w:p>
        </w:tc>
        <w:tc>
          <w:tcPr>
            <w:tcW w:w="946" w:type="dxa"/>
            <w:vAlign w:val="center"/>
          </w:tcPr>
          <w:p>
            <w:pPr>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widowControl/>
              <w:snapToGrid w:val="0"/>
              <w:jc w:val="center"/>
              <w:rPr>
                <w:rFonts w:hint="eastAsia" w:ascii="仿宋" w:hAnsi="仿宋" w:eastAsia="仿宋" w:cs="仿宋"/>
              </w:rPr>
            </w:pPr>
            <w:r>
              <w:rPr>
                <w:rFonts w:hint="eastAsia" w:ascii="仿宋" w:hAnsi="仿宋" w:eastAsia="仿宋" w:cs="仿宋"/>
              </w:rPr>
              <w:t>7</w:t>
            </w:r>
          </w:p>
        </w:tc>
        <w:tc>
          <w:tcPr>
            <w:tcW w:w="2155" w:type="dxa"/>
            <w:vAlign w:val="center"/>
          </w:tcPr>
          <w:p>
            <w:pPr>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南口镇南龙侨乡农文旅教融合发展项目</w:t>
            </w:r>
          </w:p>
        </w:tc>
        <w:tc>
          <w:tcPr>
            <w:tcW w:w="7632" w:type="dxa"/>
            <w:vAlign w:val="center"/>
          </w:tcPr>
          <w:p>
            <w:pPr>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项目以“侨韵传承、农旅赋能、研学提质” 为方向，整合侨乡古村、特色农田、民俗非遗等资源，打造侨文化体验区、农耕研学基地、生态休闲廊道，配套完善游览服务与科普教育设施。</w:t>
            </w:r>
          </w:p>
        </w:tc>
        <w:tc>
          <w:tcPr>
            <w:tcW w:w="1642" w:type="dxa"/>
            <w:vAlign w:val="center"/>
          </w:tcPr>
          <w:p>
            <w:pPr>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2027-2030</w:t>
            </w:r>
          </w:p>
        </w:tc>
        <w:tc>
          <w:tcPr>
            <w:tcW w:w="1161" w:type="dxa"/>
            <w:vAlign w:val="center"/>
          </w:tcPr>
          <w:p>
            <w:pPr>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50000</w:t>
            </w:r>
          </w:p>
        </w:tc>
        <w:tc>
          <w:tcPr>
            <w:tcW w:w="946" w:type="dxa"/>
            <w:vAlign w:val="center"/>
          </w:tcPr>
          <w:p>
            <w:pPr>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widowControl/>
              <w:snapToGrid w:val="0"/>
              <w:jc w:val="center"/>
              <w:rPr>
                <w:rFonts w:hint="eastAsia" w:ascii="仿宋" w:hAnsi="仿宋" w:eastAsia="仿宋" w:cs="仿宋"/>
              </w:rPr>
            </w:pPr>
            <w:r>
              <w:rPr>
                <w:rFonts w:hint="eastAsia" w:ascii="仿宋" w:hAnsi="仿宋" w:eastAsia="仿宋" w:cs="仿宋"/>
              </w:rPr>
              <w:t>8</w:t>
            </w:r>
          </w:p>
        </w:tc>
        <w:tc>
          <w:tcPr>
            <w:tcW w:w="2155"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梅县非物质文化遗产中心项目</w:t>
            </w:r>
          </w:p>
        </w:tc>
        <w:tc>
          <w:tcPr>
            <w:tcW w:w="7632" w:type="dxa"/>
            <w:vAlign w:val="center"/>
          </w:tcPr>
          <w:p>
            <w:pPr>
              <w:keepNext/>
              <w:widowControl/>
              <w:snapToGrid w:val="0"/>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 xml:space="preserve">梅县非物质文化遗产中心项目建设内容包括传统建筑修缮、建筑空间改造与建设、基础设施提升及街区景观提升、非遗演出演艺设备更新提升、梅花山配套提升建设等。具体建设规模及内容如下： </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（一）传统建筑修缮。以再现古建筑传统风貌为落脚点，沿袭传统工艺，结构加固，并修复瓦面、墙面、地面、阁楼、木构件等传统元素的修缮，另外还需要对其他传统客家建筑进行修缮，合计约8445 平方米。</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（二）建筑空间改造与建设。区客家山歌传承保护中心、区木偶传习所、非遗综合性传习所、文创空间、民俗演艺标准剧场、报告厅等场馆的设计建设（环境改造、内外主题元素的搭建、配套设施补齐等）</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（三）基础设施提升及街区景观提升。生态停车场建设的改造约500 平方米；对景区内的电线或通讯电缆的下埋及附属等，预计改造长度500米； 管道（上水下水）改造或铺设，长度500米；</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四）梅花山配套提升。辑瑞庐至梅花山铺设登山2m宽步道，长100m；环山闭合路段铺设人行绿道形成完整闭环路宽1.5m，长1km；开辟长廊、凉亭或观景亭，制作一些客家元素的雕像、宣传栏，在山顶（富力角上方）打造梅花仙子雕像；增加儿童设施、休闲娱乐设施、健身器材、路灯、搭建负离子空气监测设施等。</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五）演艺演出设备购置。购置舞台机械、江苏中邦、19道电动吊杆；LED视频显示设备、洲明、200平方米；舞台音响、JBL音响，皇冠功放，森海塞尔话筒，DIGICO调音台、音响控制系统1套；数字灯光系统、彩熠数字灯光，彩熠数字灯光4型控台，灯光控制系统1套。安装监控系统、弱电系统及消防系统等。</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2027-2030</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10449</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widowControl/>
              <w:snapToGrid w:val="0"/>
              <w:rPr>
                <w:rFonts w:hint="eastAsia" w:ascii="仿宋" w:hAnsi="仿宋" w:eastAsia="仿宋" w:cs="仿宋"/>
              </w:rPr>
            </w:pPr>
            <w:r>
              <w:rPr>
                <w:rFonts w:hint="eastAsia" w:ascii="仿宋" w:hAnsi="仿宋" w:eastAsia="仿宋" w:cs="仿宋"/>
              </w:rPr>
              <w:t>9</w:t>
            </w:r>
          </w:p>
        </w:tc>
        <w:tc>
          <w:tcPr>
            <w:tcW w:w="2155"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梅县区客家文化生态保护区建设</w:t>
            </w:r>
          </w:p>
        </w:tc>
        <w:tc>
          <w:tcPr>
            <w:tcW w:w="7632"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1.实施非遗传承设施提质工程，进行非遗活动创新，建设非遗传习所，开展多元化主题宣传活动，促进“非遗＋”多方面多层次融合发展。</w:t>
            </w:r>
          </w:p>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2.重大艺术剧目创作展演：依托梅县区优秀特色文化底蕴，计划创排4-5部具备本土特色的重大剧目，开展系列展演，弘扬客家文化。</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2027-2029</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5500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widowControl/>
              <w:snapToGrid w:val="0"/>
              <w:rPr>
                <w:rFonts w:hint="eastAsia" w:ascii="仿宋" w:hAnsi="仿宋" w:eastAsia="仿宋" w:cs="仿宋"/>
              </w:rPr>
            </w:pPr>
            <w:r>
              <w:rPr>
                <w:rFonts w:hint="eastAsia" w:ascii="仿宋" w:hAnsi="仿宋" w:eastAsia="仿宋" w:cs="仿宋"/>
              </w:rPr>
              <w:t>10</w:t>
            </w:r>
          </w:p>
        </w:tc>
        <w:tc>
          <w:tcPr>
            <w:tcW w:w="2155"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梅县区西部片区文化旅游基础设施及配套建设项目</w:t>
            </w:r>
          </w:p>
        </w:tc>
        <w:tc>
          <w:tcPr>
            <w:tcW w:w="7632"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谋划建设梅县区西部片区游客服务中心，辐射梅西、大坪、上官塘水库等区域。在上官塘水库沿线建设</w:t>
            </w:r>
            <w:bookmarkStart w:id="702" w:name="OLE_LINK13"/>
            <w:r>
              <w:rPr>
                <w:rFonts w:hint="eastAsia" w:ascii="仿宋" w:hAnsi="仿宋" w:eastAsia="仿宋" w:cs="仿宋"/>
                <w:color w:val="000000"/>
                <w:kern w:val="0"/>
                <w:szCs w:val="21"/>
                <w:lang w:bidi="ar"/>
              </w:rPr>
              <w:t>旅游驿站、旅游厕所、栈道、游步道、骑行道、公共文化休闲空间、智慧停车场、标识标牌、汽车充电设施、智慧旅游、智慧导览系统、供水、供电、供气、消防、防洪等基础配套设施。</w:t>
            </w:r>
            <w:bookmarkEnd w:id="702"/>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2027-2030</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30000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widowControl/>
              <w:snapToGrid w:val="0"/>
              <w:rPr>
                <w:rFonts w:hint="eastAsia" w:ascii="仿宋" w:hAnsi="仿宋" w:eastAsia="仿宋" w:cs="仿宋"/>
              </w:rPr>
            </w:pPr>
            <w:r>
              <w:rPr>
                <w:rFonts w:hint="eastAsia" w:ascii="仿宋" w:hAnsi="仿宋" w:eastAsia="仿宋" w:cs="仿宋"/>
              </w:rPr>
              <w:t>11</w:t>
            </w:r>
          </w:p>
        </w:tc>
        <w:tc>
          <w:tcPr>
            <w:tcW w:w="2155"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梅县区松口镇大黄村游客服务中心项目</w:t>
            </w:r>
          </w:p>
        </w:tc>
        <w:tc>
          <w:tcPr>
            <w:tcW w:w="7632"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谋划建设大黄村游客服务中心，系统提升周边智慧停车场、智慧导览、旅游厕所等配套设施，打造集旅游综合服务、智慧旅游平台、金柚展销等于一体的综合性旅游服务平台。整治提升松口古镇至大黄村沿河环境，谋划打造沿河栈道，提升沿河防洪防汛能力。</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2027-2030</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10000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widowControl/>
              <w:snapToGrid w:val="0"/>
              <w:rPr>
                <w:rFonts w:hint="eastAsia" w:ascii="仿宋" w:hAnsi="仿宋" w:eastAsia="仿宋" w:cs="仿宋"/>
              </w:rPr>
            </w:pPr>
            <w:r>
              <w:rPr>
                <w:rFonts w:hint="eastAsia" w:ascii="仿宋" w:hAnsi="仿宋" w:eastAsia="仿宋" w:cs="仿宋"/>
              </w:rPr>
              <w:t>12</w:t>
            </w:r>
          </w:p>
        </w:tc>
        <w:tc>
          <w:tcPr>
            <w:tcW w:w="2155"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梅县区丙雁松示范带环阴那山户外综合体验基地</w:t>
            </w:r>
          </w:p>
        </w:tc>
        <w:tc>
          <w:tcPr>
            <w:tcW w:w="7632" w:type="dxa"/>
            <w:vAlign w:val="center"/>
          </w:tcPr>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梅县区丙雁松示范带环阴那山户外综合体验基地（包含骑行、马拉松、汽车营地、露营、滑翔伞、水上运动等项目）分三期建设。</w:t>
            </w:r>
          </w:p>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1.新建跑步道60公里、综合性汽车营地 2 处（面积各约 5000 平方米）、 6 处集自行车停放（面积各约 500 平方米）、补给点、医疗点等一体的综合驿站、3处露营地（面积各约2000 平方米）。</w:t>
            </w:r>
          </w:p>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2.规划建设 2 处飞行营地、总面积约 5 公顷（含起降区和休闲营地、停车场等），配套宽约 7 米进场道路约 3 公里，完善滑翔伞、头盔、对讲机、GPS等设备。</w:t>
            </w:r>
          </w:p>
          <w:p>
            <w:pPr>
              <w:keepNext/>
              <w:widowControl/>
              <w:snapToGrid w:val="0"/>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3.规划1处水上运动户外体验基地，总面积约5000平方米，配套皮划艇、游艇、龙舟、救生衣、救生船、GPS等设备。</w:t>
            </w:r>
          </w:p>
        </w:tc>
        <w:tc>
          <w:tcPr>
            <w:tcW w:w="1642"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2027-2030</w:t>
            </w:r>
          </w:p>
        </w:tc>
        <w:tc>
          <w:tcPr>
            <w:tcW w:w="1161"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12000</w:t>
            </w:r>
          </w:p>
        </w:tc>
        <w:tc>
          <w:tcPr>
            <w:tcW w:w="946" w:type="dxa"/>
            <w:vAlign w:val="center"/>
          </w:tcPr>
          <w:p>
            <w:pPr>
              <w:keepNext/>
              <w:widowControl/>
              <w:snapToGrid w:val="0"/>
              <w:jc w:val="center"/>
              <w:textAlignment w:val="cente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谋划</w:t>
            </w:r>
          </w:p>
        </w:tc>
      </w:tr>
    </w:tbl>
    <w:p>
      <w:pPr>
        <w:widowControl/>
        <w:rPr>
          <w:rFonts w:hint="eastAsia" w:ascii="仿宋" w:hAnsi="仿宋" w:eastAsia="仿宋" w:cs="仿宋"/>
        </w:rPr>
      </w:pPr>
    </w:p>
    <w:p>
      <w:pPr>
        <w:widowControl/>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283250-73BB-4E63-BB01-878FF90A47C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B0D7FB43-5906-449A-BC81-48F1071286F5}"/>
  </w:font>
  <w:font w:name="Cambria">
    <w:panose1 w:val="020405030504060A0204"/>
    <w:charset w:val="00"/>
    <w:family w:val="roman"/>
    <w:pitch w:val="default"/>
    <w:sig w:usb0="E00002FF" w:usb1="4000045F" w:usb2="00000000" w:usb3="00000000" w:csb0="2000019F" w:csb1="00000000"/>
    <w:embedRegular r:id="rId3" w:fontKey="{018F45F7-B123-4644-9BD0-9505A6AFBBB2}"/>
  </w:font>
  <w:font w:name="楷体">
    <w:panose1 w:val="02010609060101010101"/>
    <w:charset w:val="86"/>
    <w:family w:val="modern"/>
    <w:pitch w:val="default"/>
    <w:sig w:usb0="800002BF" w:usb1="38CF7CFA" w:usb2="00000016" w:usb3="00000000" w:csb0="00040001" w:csb1="00000000"/>
    <w:embedRegular r:id="rId4" w:fontKey="{9F75C42B-291A-4668-AAD4-757C2D9BED2A}"/>
  </w:font>
  <w:font w:name="仿宋">
    <w:panose1 w:val="02010609060101010101"/>
    <w:charset w:val="86"/>
    <w:family w:val="modern"/>
    <w:pitch w:val="default"/>
    <w:sig w:usb0="800002BF" w:usb1="38CF7CFA" w:usb2="00000016" w:usb3="00000000" w:csb0="00040001" w:csb1="00000000"/>
    <w:embedRegular r:id="rId5" w:fontKey="{207BD42F-877F-4955-B073-5192F2129986}"/>
  </w:font>
  <w:font w:name="方正仿宋_GB2312">
    <w:altName w:val="仿宋"/>
    <w:panose1 w:val="00000000000000000000"/>
    <w:charset w:val="86"/>
    <w:family w:val="auto"/>
    <w:pitch w:val="default"/>
    <w:sig w:usb0="00000000" w:usb1="00000000" w:usb2="00000012" w:usb3="00000000" w:csb0="00040001" w:csb1="00000000"/>
    <w:embedRegular r:id="rId6" w:fontKey="{875D46F0-A247-4948-BE98-38E270454EE8}"/>
  </w:font>
  <w:font w:name="方正黑体_GBK">
    <w:panose1 w:val="03000509000000000000"/>
    <w:charset w:val="86"/>
    <w:family w:val="auto"/>
    <w:pitch w:val="default"/>
    <w:sig w:usb0="00000001" w:usb1="080E0000" w:usb2="00000000" w:usb3="00000000" w:csb0="00040000" w:csb1="00000000"/>
  </w:font>
  <w:font w:name="方正公文小标宋">
    <w:altName w:val="微软雅黑"/>
    <w:panose1 w:val="00000000000000000000"/>
    <w:charset w:val="86"/>
    <w:family w:val="auto"/>
    <w:pitch w:val="default"/>
    <w:sig w:usb0="00000000" w:usb1="00000000" w:usb2="00000016" w:usb3="00000000" w:csb0="00040001" w:csb1="00000000"/>
    <w:embedRegular r:id="rId7" w:fontKey="{5A3F078F-BFFB-410E-89E6-ACFA1D2F4E53}"/>
  </w:font>
  <w:font w:name="微软雅黑">
    <w:panose1 w:val="020B0503020204020204"/>
    <w:charset w:val="86"/>
    <w:family w:val="swiss"/>
    <w:pitch w:val="default"/>
    <w:sig w:usb0="80000287" w:usb1="280F3C52" w:usb2="00000016" w:usb3="00000000" w:csb0="0004001F" w:csb1="00000000"/>
    <w:embedRegular r:id="rId8" w:fontKey="{39C0C4C9-A4A2-40DD-8CFE-D7138EF2B16A}"/>
  </w:font>
  <w:font w:name="仿宋_GB2312">
    <w:panose1 w:val="02010609030101010101"/>
    <w:charset w:val="86"/>
    <w:family w:val="modern"/>
    <w:pitch w:val="default"/>
    <w:sig w:usb0="00000001" w:usb1="080E0000" w:usb2="00000000" w:usb3="00000000" w:csb0="00040000" w:csb1="00000000"/>
    <w:embedRegular r:id="rId9" w:fontKey="{3742AB92-2233-413F-BCB1-4B117BF6D5DE}"/>
  </w:font>
  <w:font w:name="___WRD_EMBED_SUB_1367">
    <w:altName w:val="宋体"/>
    <w:panose1 w:val="00000000000000000000"/>
    <w:charset w:val="86"/>
    <w:family w:val="auto"/>
    <w:pitch w:val="default"/>
    <w:sig w:usb0="00000000" w:usb1="00000000" w:usb2="00000012" w:usb3="00000000" w:csb0="00040001" w:csb1="00000000"/>
    <w:embedRegular r:id="rId10" w:fontKey="{29CE6EA9-F9EB-49D5-B891-A71E36A3C0E9}"/>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PAGE   \* MERGEFORMAT</w:instrText>
    </w:r>
    <w:r>
      <w:fldChar w:fldCharType="separate"/>
    </w:r>
    <w:r>
      <w:rPr>
        <w:lang w:val="zh-CN"/>
      </w:rPr>
      <w:t>18</w:t>
    </w:r>
    <w:r>
      <w:fldChar w:fldCharType="end"/>
    </w:r>
  </w:p>
  <w:p>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5AE5F1"/>
    <w:multiLevelType w:val="multilevel"/>
    <w:tmpl w:val="E75AE5F1"/>
    <w:lvl w:ilvl="0" w:tentative="0">
      <w:start w:val="1"/>
      <w:numFmt w:val="decimal"/>
      <w:pStyle w:val="37"/>
      <w:lvlText w:val="专栏%1"/>
      <w:lvlJc w:val="left"/>
      <w:pPr>
        <w:tabs>
          <w:tab w:val="left" w:pos="420"/>
        </w:tabs>
        <w:ind w:left="425" w:hanging="425"/>
      </w:pPr>
      <w:rPr>
        <w:rFonts w:hint="default" w:ascii="黑体" w:hAnsi="黑体" w:eastAsia="黑体" w:cs="黑体"/>
        <w:b w:val="0"/>
        <w:bCs w:val="0"/>
        <w:color w:val="EE0000"/>
        <w:sz w:val="30"/>
        <w:szCs w:val="30"/>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1F275E6C"/>
    <w:multiLevelType w:val="multilevel"/>
    <w:tmpl w:val="1F275E6C"/>
    <w:lvl w:ilvl="0" w:tentative="0">
      <w:start w:val="1"/>
      <w:numFmt w:val="decimal"/>
      <w:lvlText w:val="%1."/>
      <w:lvlJc w:val="left"/>
      <w:pPr>
        <w:ind w:left="842" w:hanging="360"/>
      </w:pPr>
      <w:rPr>
        <w:rFonts w:ascii="Calibri" w:hAnsi="Calibri" w:eastAsia="宋体" w:cs="Times New Roman"/>
        <w:b/>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2">
    <w:nsid w:val="370735F2"/>
    <w:multiLevelType w:val="multilevel"/>
    <w:tmpl w:val="370735F2"/>
    <w:lvl w:ilvl="0" w:tentative="0">
      <w:start w:val="1"/>
      <w:numFmt w:val="decimal"/>
      <w:lvlText w:val="%1."/>
      <w:lvlJc w:val="left"/>
      <w:pPr>
        <w:ind w:left="842" w:hanging="36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NmYzcyMjM1OGNkZjEzMzQ0YjE5NWE3MzYyYWYyYjYifQ=="/>
  </w:docVars>
  <w:rsids>
    <w:rsidRoot w:val="00BA0C1A"/>
    <w:rsid w:val="000048DE"/>
    <w:rsid w:val="00004CFB"/>
    <w:rsid w:val="00007DBD"/>
    <w:rsid w:val="0001301E"/>
    <w:rsid w:val="00013D4A"/>
    <w:rsid w:val="000332FA"/>
    <w:rsid w:val="00037038"/>
    <w:rsid w:val="00043F81"/>
    <w:rsid w:val="00046488"/>
    <w:rsid w:val="0005206E"/>
    <w:rsid w:val="000555AC"/>
    <w:rsid w:val="0006145A"/>
    <w:rsid w:val="00061834"/>
    <w:rsid w:val="0006216D"/>
    <w:rsid w:val="00064A91"/>
    <w:rsid w:val="0006716F"/>
    <w:rsid w:val="0007680B"/>
    <w:rsid w:val="000768A5"/>
    <w:rsid w:val="00077B15"/>
    <w:rsid w:val="00080283"/>
    <w:rsid w:val="000A35EC"/>
    <w:rsid w:val="000A6640"/>
    <w:rsid w:val="000B1098"/>
    <w:rsid w:val="000B224A"/>
    <w:rsid w:val="000C1522"/>
    <w:rsid w:val="000C51B7"/>
    <w:rsid w:val="000D6D15"/>
    <w:rsid w:val="000E1C0B"/>
    <w:rsid w:val="000E2031"/>
    <w:rsid w:val="000E20CA"/>
    <w:rsid w:val="000E26A7"/>
    <w:rsid w:val="000F14B4"/>
    <w:rsid w:val="000F273F"/>
    <w:rsid w:val="000F4F12"/>
    <w:rsid w:val="000F66CB"/>
    <w:rsid w:val="000F7091"/>
    <w:rsid w:val="00100491"/>
    <w:rsid w:val="00106909"/>
    <w:rsid w:val="001201D4"/>
    <w:rsid w:val="00121BCE"/>
    <w:rsid w:val="0012585B"/>
    <w:rsid w:val="001500E9"/>
    <w:rsid w:val="00151890"/>
    <w:rsid w:val="001603A2"/>
    <w:rsid w:val="00164244"/>
    <w:rsid w:val="001724B2"/>
    <w:rsid w:val="00177294"/>
    <w:rsid w:val="001815A8"/>
    <w:rsid w:val="00182DB5"/>
    <w:rsid w:val="001924E1"/>
    <w:rsid w:val="00192ADA"/>
    <w:rsid w:val="001940DC"/>
    <w:rsid w:val="001A1998"/>
    <w:rsid w:val="001A6E2E"/>
    <w:rsid w:val="001B0A8B"/>
    <w:rsid w:val="001B13B5"/>
    <w:rsid w:val="001C326A"/>
    <w:rsid w:val="001D1135"/>
    <w:rsid w:val="001D466A"/>
    <w:rsid w:val="001E0C66"/>
    <w:rsid w:val="001E11E3"/>
    <w:rsid w:val="001E194C"/>
    <w:rsid w:val="00200EB7"/>
    <w:rsid w:val="00203F38"/>
    <w:rsid w:val="002055BD"/>
    <w:rsid w:val="00210ACF"/>
    <w:rsid w:val="00215848"/>
    <w:rsid w:val="00216EB9"/>
    <w:rsid w:val="00217CF6"/>
    <w:rsid w:val="00221D14"/>
    <w:rsid w:val="00224C02"/>
    <w:rsid w:val="002303CF"/>
    <w:rsid w:val="002403A8"/>
    <w:rsid w:val="0024487E"/>
    <w:rsid w:val="0024619E"/>
    <w:rsid w:val="002532FB"/>
    <w:rsid w:val="00254735"/>
    <w:rsid w:val="00256D61"/>
    <w:rsid w:val="00272C4B"/>
    <w:rsid w:val="0028495D"/>
    <w:rsid w:val="00291346"/>
    <w:rsid w:val="0029704B"/>
    <w:rsid w:val="00297AB5"/>
    <w:rsid w:val="002A227C"/>
    <w:rsid w:val="002A4C24"/>
    <w:rsid w:val="002A59B7"/>
    <w:rsid w:val="002B263A"/>
    <w:rsid w:val="002B4488"/>
    <w:rsid w:val="002B7B2F"/>
    <w:rsid w:val="002C280A"/>
    <w:rsid w:val="002C2C26"/>
    <w:rsid w:val="002C7C36"/>
    <w:rsid w:val="002D2B88"/>
    <w:rsid w:val="002D3C16"/>
    <w:rsid w:val="002D5DFE"/>
    <w:rsid w:val="002D760E"/>
    <w:rsid w:val="002E0ECB"/>
    <w:rsid w:val="002E2EDF"/>
    <w:rsid w:val="002F01B0"/>
    <w:rsid w:val="002F46AD"/>
    <w:rsid w:val="00314767"/>
    <w:rsid w:val="0032189C"/>
    <w:rsid w:val="00326F36"/>
    <w:rsid w:val="003356E7"/>
    <w:rsid w:val="0034339E"/>
    <w:rsid w:val="003442AD"/>
    <w:rsid w:val="003458FA"/>
    <w:rsid w:val="0035575B"/>
    <w:rsid w:val="003578B3"/>
    <w:rsid w:val="003665FF"/>
    <w:rsid w:val="00382976"/>
    <w:rsid w:val="003854BF"/>
    <w:rsid w:val="00386775"/>
    <w:rsid w:val="003921B8"/>
    <w:rsid w:val="003A14C6"/>
    <w:rsid w:val="003C075D"/>
    <w:rsid w:val="003C1012"/>
    <w:rsid w:val="003D006F"/>
    <w:rsid w:val="003D09E3"/>
    <w:rsid w:val="003E0C53"/>
    <w:rsid w:val="003E1B82"/>
    <w:rsid w:val="003E773B"/>
    <w:rsid w:val="003F20CE"/>
    <w:rsid w:val="003F33D9"/>
    <w:rsid w:val="00400ED6"/>
    <w:rsid w:val="00400EEE"/>
    <w:rsid w:val="004015F3"/>
    <w:rsid w:val="00403E89"/>
    <w:rsid w:val="00410E7A"/>
    <w:rsid w:val="00424CA3"/>
    <w:rsid w:val="00434FC8"/>
    <w:rsid w:val="00440565"/>
    <w:rsid w:val="004410AE"/>
    <w:rsid w:val="00447294"/>
    <w:rsid w:val="00453C21"/>
    <w:rsid w:val="004612FA"/>
    <w:rsid w:val="00462639"/>
    <w:rsid w:val="00464019"/>
    <w:rsid w:val="00467939"/>
    <w:rsid w:val="00477362"/>
    <w:rsid w:val="004822F5"/>
    <w:rsid w:val="00487820"/>
    <w:rsid w:val="00492ECC"/>
    <w:rsid w:val="00495783"/>
    <w:rsid w:val="004A37C5"/>
    <w:rsid w:val="004A37FD"/>
    <w:rsid w:val="004A682A"/>
    <w:rsid w:val="004B62EB"/>
    <w:rsid w:val="004B65E2"/>
    <w:rsid w:val="004D25C1"/>
    <w:rsid w:val="004D5D61"/>
    <w:rsid w:val="004D64F7"/>
    <w:rsid w:val="004D7161"/>
    <w:rsid w:val="004E72D1"/>
    <w:rsid w:val="004F092C"/>
    <w:rsid w:val="004F3D81"/>
    <w:rsid w:val="004F75B8"/>
    <w:rsid w:val="005058F4"/>
    <w:rsid w:val="00511A8B"/>
    <w:rsid w:val="00512A90"/>
    <w:rsid w:val="00517B91"/>
    <w:rsid w:val="00530142"/>
    <w:rsid w:val="00533158"/>
    <w:rsid w:val="0053468D"/>
    <w:rsid w:val="00535C7E"/>
    <w:rsid w:val="005426B1"/>
    <w:rsid w:val="005443A5"/>
    <w:rsid w:val="00545ECA"/>
    <w:rsid w:val="00550891"/>
    <w:rsid w:val="005509BC"/>
    <w:rsid w:val="00552202"/>
    <w:rsid w:val="005626AC"/>
    <w:rsid w:val="00562F5A"/>
    <w:rsid w:val="00563464"/>
    <w:rsid w:val="005771AC"/>
    <w:rsid w:val="0059531B"/>
    <w:rsid w:val="005A1C80"/>
    <w:rsid w:val="005A6957"/>
    <w:rsid w:val="005A795E"/>
    <w:rsid w:val="005B066F"/>
    <w:rsid w:val="005B2196"/>
    <w:rsid w:val="005B2F4F"/>
    <w:rsid w:val="005B3602"/>
    <w:rsid w:val="005C67FA"/>
    <w:rsid w:val="005D0422"/>
    <w:rsid w:val="005D2F18"/>
    <w:rsid w:val="005E3EEF"/>
    <w:rsid w:val="005E7430"/>
    <w:rsid w:val="00600F7B"/>
    <w:rsid w:val="00604A28"/>
    <w:rsid w:val="00605AA9"/>
    <w:rsid w:val="006124CB"/>
    <w:rsid w:val="00616505"/>
    <w:rsid w:val="00616D21"/>
    <w:rsid w:val="006201EF"/>
    <w:rsid w:val="0062213C"/>
    <w:rsid w:val="00623128"/>
    <w:rsid w:val="006276E8"/>
    <w:rsid w:val="00633F40"/>
    <w:rsid w:val="00636C1A"/>
    <w:rsid w:val="00646B4F"/>
    <w:rsid w:val="006549AD"/>
    <w:rsid w:val="00667420"/>
    <w:rsid w:val="00670AB2"/>
    <w:rsid w:val="00681469"/>
    <w:rsid w:val="00684D9C"/>
    <w:rsid w:val="0068576D"/>
    <w:rsid w:val="00685C54"/>
    <w:rsid w:val="0068636E"/>
    <w:rsid w:val="00691EAB"/>
    <w:rsid w:val="006964EE"/>
    <w:rsid w:val="006B3946"/>
    <w:rsid w:val="006C02C6"/>
    <w:rsid w:val="006C2D6D"/>
    <w:rsid w:val="006C4E2B"/>
    <w:rsid w:val="006D5695"/>
    <w:rsid w:val="006E3F9E"/>
    <w:rsid w:val="006E5D04"/>
    <w:rsid w:val="006F3886"/>
    <w:rsid w:val="006F38DE"/>
    <w:rsid w:val="006F4307"/>
    <w:rsid w:val="006F453E"/>
    <w:rsid w:val="006F5A51"/>
    <w:rsid w:val="00703EA0"/>
    <w:rsid w:val="00706D69"/>
    <w:rsid w:val="00711CDF"/>
    <w:rsid w:val="00712C97"/>
    <w:rsid w:val="00713D55"/>
    <w:rsid w:val="0072248B"/>
    <w:rsid w:val="00722FAA"/>
    <w:rsid w:val="007257EC"/>
    <w:rsid w:val="00726B34"/>
    <w:rsid w:val="0073452F"/>
    <w:rsid w:val="007352C3"/>
    <w:rsid w:val="00735DAE"/>
    <w:rsid w:val="00741794"/>
    <w:rsid w:val="00755D83"/>
    <w:rsid w:val="00756C36"/>
    <w:rsid w:val="00762831"/>
    <w:rsid w:val="007642FF"/>
    <w:rsid w:val="00764423"/>
    <w:rsid w:val="007646D8"/>
    <w:rsid w:val="00766070"/>
    <w:rsid w:val="00771A55"/>
    <w:rsid w:val="00771D24"/>
    <w:rsid w:val="00773A54"/>
    <w:rsid w:val="00775D6B"/>
    <w:rsid w:val="0077716D"/>
    <w:rsid w:val="00782EA4"/>
    <w:rsid w:val="00790011"/>
    <w:rsid w:val="007919A8"/>
    <w:rsid w:val="007953EA"/>
    <w:rsid w:val="007B4F27"/>
    <w:rsid w:val="007B7769"/>
    <w:rsid w:val="007C03D9"/>
    <w:rsid w:val="007C2387"/>
    <w:rsid w:val="007D0886"/>
    <w:rsid w:val="007D79C2"/>
    <w:rsid w:val="007E271C"/>
    <w:rsid w:val="007F3E72"/>
    <w:rsid w:val="007F7BE9"/>
    <w:rsid w:val="008103D5"/>
    <w:rsid w:val="00810DDB"/>
    <w:rsid w:val="008123D4"/>
    <w:rsid w:val="008177C9"/>
    <w:rsid w:val="00826B17"/>
    <w:rsid w:val="00830D69"/>
    <w:rsid w:val="0083368D"/>
    <w:rsid w:val="00833914"/>
    <w:rsid w:val="00842A15"/>
    <w:rsid w:val="0085253F"/>
    <w:rsid w:val="00854E85"/>
    <w:rsid w:val="008551A6"/>
    <w:rsid w:val="00865FBD"/>
    <w:rsid w:val="0086627A"/>
    <w:rsid w:val="008707C2"/>
    <w:rsid w:val="008774D0"/>
    <w:rsid w:val="008A3EBE"/>
    <w:rsid w:val="008B36FC"/>
    <w:rsid w:val="008C39A6"/>
    <w:rsid w:val="008C6926"/>
    <w:rsid w:val="008D2574"/>
    <w:rsid w:val="008D30E8"/>
    <w:rsid w:val="008F4F11"/>
    <w:rsid w:val="008F6594"/>
    <w:rsid w:val="008F7226"/>
    <w:rsid w:val="00903718"/>
    <w:rsid w:val="009041D4"/>
    <w:rsid w:val="00907584"/>
    <w:rsid w:val="00910EF1"/>
    <w:rsid w:val="009272E4"/>
    <w:rsid w:val="00941B31"/>
    <w:rsid w:val="009519CD"/>
    <w:rsid w:val="00961454"/>
    <w:rsid w:val="00966CDE"/>
    <w:rsid w:val="00976FB7"/>
    <w:rsid w:val="00983DAE"/>
    <w:rsid w:val="00986B6D"/>
    <w:rsid w:val="00987107"/>
    <w:rsid w:val="00987F9E"/>
    <w:rsid w:val="0099185B"/>
    <w:rsid w:val="00993316"/>
    <w:rsid w:val="00997227"/>
    <w:rsid w:val="009A19A3"/>
    <w:rsid w:val="009A73D1"/>
    <w:rsid w:val="009B41A5"/>
    <w:rsid w:val="009B6FFD"/>
    <w:rsid w:val="009C2936"/>
    <w:rsid w:val="009C542C"/>
    <w:rsid w:val="009D51C0"/>
    <w:rsid w:val="009E088F"/>
    <w:rsid w:val="009E0AB9"/>
    <w:rsid w:val="009E14BC"/>
    <w:rsid w:val="009E17F0"/>
    <w:rsid w:val="009E6C61"/>
    <w:rsid w:val="009E751F"/>
    <w:rsid w:val="009F6CA8"/>
    <w:rsid w:val="00A0183E"/>
    <w:rsid w:val="00A02DF6"/>
    <w:rsid w:val="00A05FBA"/>
    <w:rsid w:val="00A14EA1"/>
    <w:rsid w:val="00A169ED"/>
    <w:rsid w:val="00A17F1B"/>
    <w:rsid w:val="00A27AE4"/>
    <w:rsid w:val="00A36BBE"/>
    <w:rsid w:val="00A4615E"/>
    <w:rsid w:val="00A46540"/>
    <w:rsid w:val="00A5042A"/>
    <w:rsid w:val="00A60633"/>
    <w:rsid w:val="00A64996"/>
    <w:rsid w:val="00A64F5B"/>
    <w:rsid w:val="00A774C3"/>
    <w:rsid w:val="00A90914"/>
    <w:rsid w:val="00A924AF"/>
    <w:rsid w:val="00A94E62"/>
    <w:rsid w:val="00A96072"/>
    <w:rsid w:val="00AA2625"/>
    <w:rsid w:val="00AC5A86"/>
    <w:rsid w:val="00AC7003"/>
    <w:rsid w:val="00AD43FD"/>
    <w:rsid w:val="00AD776A"/>
    <w:rsid w:val="00AE0C6E"/>
    <w:rsid w:val="00AF2803"/>
    <w:rsid w:val="00AF332B"/>
    <w:rsid w:val="00AF4F9F"/>
    <w:rsid w:val="00B03F78"/>
    <w:rsid w:val="00B04F68"/>
    <w:rsid w:val="00B07C4B"/>
    <w:rsid w:val="00B12B8D"/>
    <w:rsid w:val="00B12D41"/>
    <w:rsid w:val="00B14172"/>
    <w:rsid w:val="00B15091"/>
    <w:rsid w:val="00B15BB0"/>
    <w:rsid w:val="00B16A68"/>
    <w:rsid w:val="00B25706"/>
    <w:rsid w:val="00B27337"/>
    <w:rsid w:val="00B32416"/>
    <w:rsid w:val="00B3689D"/>
    <w:rsid w:val="00B4222E"/>
    <w:rsid w:val="00B44365"/>
    <w:rsid w:val="00B50EA4"/>
    <w:rsid w:val="00B545C8"/>
    <w:rsid w:val="00B67417"/>
    <w:rsid w:val="00B72009"/>
    <w:rsid w:val="00B77D1E"/>
    <w:rsid w:val="00B909FD"/>
    <w:rsid w:val="00B93661"/>
    <w:rsid w:val="00B9434A"/>
    <w:rsid w:val="00BA0C1A"/>
    <w:rsid w:val="00BA7EEE"/>
    <w:rsid w:val="00BB74B4"/>
    <w:rsid w:val="00BB7E81"/>
    <w:rsid w:val="00BC163F"/>
    <w:rsid w:val="00BC18B9"/>
    <w:rsid w:val="00BE6972"/>
    <w:rsid w:val="00BF1B1D"/>
    <w:rsid w:val="00BF5F66"/>
    <w:rsid w:val="00C03CA5"/>
    <w:rsid w:val="00C046DE"/>
    <w:rsid w:val="00C061CB"/>
    <w:rsid w:val="00C15859"/>
    <w:rsid w:val="00C20335"/>
    <w:rsid w:val="00C32B99"/>
    <w:rsid w:val="00C50D0E"/>
    <w:rsid w:val="00C579CA"/>
    <w:rsid w:val="00C604EC"/>
    <w:rsid w:val="00C62428"/>
    <w:rsid w:val="00C6395A"/>
    <w:rsid w:val="00C655C4"/>
    <w:rsid w:val="00C727B0"/>
    <w:rsid w:val="00C72F0B"/>
    <w:rsid w:val="00C754CF"/>
    <w:rsid w:val="00C83C07"/>
    <w:rsid w:val="00C8609B"/>
    <w:rsid w:val="00CA14F2"/>
    <w:rsid w:val="00CA4293"/>
    <w:rsid w:val="00CA7738"/>
    <w:rsid w:val="00CB48F0"/>
    <w:rsid w:val="00CB4F4C"/>
    <w:rsid w:val="00CB509C"/>
    <w:rsid w:val="00CB7298"/>
    <w:rsid w:val="00CC172C"/>
    <w:rsid w:val="00CC72C4"/>
    <w:rsid w:val="00CE2888"/>
    <w:rsid w:val="00CE3AC8"/>
    <w:rsid w:val="00CF4CD2"/>
    <w:rsid w:val="00CF61FE"/>
    <w:rsid w:val="00D05678"/>
    <w:rsid w:val="00D0799F"/>
    <w:rsid w:val="00D22E30"/>
    <w:rsid w:val="00D330E8"/>
    <w:rsid w:val="00D33757"/>
    <w:rsid w:val="00D46D44"/>
    <w:rsid w:val="00D569B6"/>
    <w:rsid w:val="00D647B5"/>
    <w:rsid w:val="00D6548D"/>
    <w:rsid w:val="00D659AD"/>
    <w:rsid w:val="00D72F56"/>
    <w:rsid w:val="00D74DFC"/>
    <w:rsid w:val="00D7581F"/>
    <w:rsid w:val="00D75C2C"/>
    <w:rsid w:val="00D76146"/>
    <w:rsid w:val="00D91642"/>
    <w:rsid w:val="00DA36B9"/>
    <w:rsid w:val="00DB0F54"/>
    <w:rsid w:val="00DB4688"/>
    <w:rsid w:val="00DB4A49"/>
    <w:rsid w:val="00DC3596"/>
    <w:rsid w:val="00DF1863"/>
    <w:rsid w:val="00DF382E"/>
    <w:rsid w:val="00E00DCA"/>
    <w:rsid w:val="00E013F0"/>
    <w:rsid w:val="00E02DC5"/>
    <w:rsid w:val="00E04A2C"/>
    <w:rsid w:val="00E2143C"/>
    <w:rsid w:val="00E2314E"/>
    <w:rsid w:val="00E23891"/>
    <w:rsid w:val="00E241CD"/>
    <w:rsid w:val="00E26251"/>
    <w:rsid w:val="00E30B9F"/>
    <w:rsid w:val="00E31EC1"/>
    <w:rsid w:val="00E42C35"/>
    <w:rsid w:val="00E44D7D"/>
    <w:rsid w:val="00E470AB"/>
    <w:rsid w:val="00E52382"/>
    <w:rsid w:val="00E55080"/>
    <w:rsid w:val="00E562C7"/>
    <w:rsid w:val="00E6724E"/>
    <w:rsid w:val="00E674A6"/>
    <w:rsid w:val="00E71902"/>
    <w:rsid w:val="00E74F59"/>
    <w:rsid w:val="00E76EB6"/>
    <w:rsid w:val="00E77ABA"/>
    <w:rsid w:val="00E82710"/>
    <w:rsid w:val="00E83146"/>
    <w:rsid w:val="00E96801"/>
    <w:rsid w:val="00EA1B50"/>
    <w:rsid w:val="00EA1EE8"/>
    <w:rsid w:val="00EA5494"/>
    <w:rsid w:val="00EB2D6F"/>
    <w:rsid w:val="00EB56BA"/>
    <w:rsid w:val="00ED4A80"/>
    <w:rsid w:val="00ED774A"/>
    <w:rsid w:val="00EE1B1A"/>
    <w:rsid w:val="00EE37F2"/>
    <w:rsid w:val="00EE621A"/>
    <w:rsid w:val="00EE6FCA"/>
    <w:rsid w:val="00EE7235"/>
    <w:rsid w:val="00EF2323"/>
    <w:rsid w:val="00EF7B70"/>
    <w:rsid w:val="00F02C1C"/>
    <w:rsid w:val="00F0375A"/>
    <w:rsid w:val="00F03DD3"/>
    <w:rsid w:val="00F04A8B"/>
    <w:rsid w:val="00F04F54"/>
    <w:rsid w:val="00F05856"/>
    <w:rsid w:val="00F14E16"/>
    <w:rsid w:val="00F42708"/>
    <w:rsid w:val="00F44A06"/>
    <w:rsid w:val="00F50247"/>
    <w:rsid w:val="00F52F9A"/>
    <w:rsid w:val="00F535BB"/>
    <w:rsid w:val="00F53662"/>
    <w:rsid w:val="00F607E9"/>
    <w:rsid w:val="00F61B39"/>
    <w:rsid w:val="00F62C68"/>
    <w:rsid w:val="00F85CAA"/>
    <w:rsid w:val="00F86E2E"/>
    <w:rsid w:val="00F91F9B"/>
    <w:rsid w:val="00F97573"/>
    <w:rsid w:val="00FA02F5"/>
    <w:rsid w:val="00FA0E6C"/>
    <w:rsid w:val="00FA3515"/>
    <w:rsid w:val="00FB2076"/>
    <w:rsid w:val="00FB2121"/>
    <w:rsid w:val="00FD2232"/>
    <w:rsid w:val="00FD568A"/>
    <w:rsid w:val="00FD730D"/>
    <w:rsid w:val="00FE0EB9"/>
    <w:rsid w:val="00FE2E43"/>
    <w:rsid w:val="00FE514C"/>
    <w:rsid w:val="01396C59"/>
    <w:rsid w:val="02657D3C"/>
    <w:rsid w:val="028B18FB"/>
    <w:rsid w:val="03557185"/>
    <w:rsid w:val="03B20E90"/>
    <w:rsid w:val="04435012"/>
    <w:rsid w:val="04983E5B"/>
    <w:rsid w:val="04C840A8"/>
    <w:rsid w:val="05103D50"/>
    <w:rsid w:val="05D91F88"/>
    <w:rsid w:val="075C40E7"/>
    <w:rsid w:val="083D07F0"/>
    <w:rsid w:val="084A1DAA"/>
    <w:rsid w:val="085140B5"/>
    <w:rsid w:val="08AC7775"/>
    <w:rsid w:val="091A7412"/>
    <w:rsid w:val="09E12241"/>
    <w:rsid w:val="0AD04D0C"/>
    <w:rsid w:val="0B080A00"/>
    <w:rsid w:val="0B2E5767"/>
    <w:rsid w:val="0B3C088D"/>
    <w:rsid w:val="0BD94453"/>
    <w:rsid w:val="0C59614E"/>
    <w:rsid w:val="0C605BA6"/>
    <w:rsid w:val="0C794484"/>
    <w:rsid w:val="0CC55A09"/>
    <w:rsid w:val="0CCC46B0"/>
    <w:rsid w:val="0D466B4A"/>
    <w:rsid w:val="0E4B367B"/>
    <w:rsid w:val="0EA55D13"/>
    <w:rsid w:val="0EFF4F3C"/>
    <w:rsid w:val="0F9028B3"/>
    <w:rsid w:val="0FDF1490"/>
    <w:rsid w:val="105E3B74"/>
    <w:rsid w:val="111F3680"/>
    <w:rsid w:val="115B780C"/>
    <w:rsid w:val="118934A9"/>
    <w:rsid w:val="1208680D"/>
    <w:rsid w:val="120F7A2A"/>
    <w:rsid w:val="13174832"/>
    <w:rsid w:val="138C54D3"/>
    <w:rsid w:val="14A3156B"/>
    <w:rsid w:val="150243C5"/>
    <w:rsid w:val="16607176"/>
    <w:rsid w:val="16C22A0F"/>
    <w:rsid w:val="17435EA8"/>
    <w:rsid w:val="18EA21F0"/>
    <w:rsid w:val="1A264176"/>
    <w:rsid w:val="1B75499A"/>
    <w:rsid w:val="1B884CB7"/>
    <w:rsid w:val="1BAB61F4"/>
    <w:rsid w:val="1BDE43CC"/>
    <w:rsid w:val="1C2C4424"/>
    <w:rsid w:val="1C4C3A51"/>
    <w:rsid w:val="1CD54CE6"/>
    <w:rsid w:val="1D1C0950"/>
    <w:rsid w:val="1DE303E5"/>
    <w:rsid w:val="1DEC38DC"/>
    <w:rsid w:val="1F181690"/>
    <w:rsid w:val="1F7E26B9"/>
    <w:rsid w:val="20DB25F5"/>
    <w:rsid w:val="20E4130B"/>
    <w:rsid w:val="21155C52"/>
    <w:rsid w:val="222C235B"/>
    <w:rsid w:val="233B46DE"/>
    <w:rsid w:val="234052AD"/>
    <w:rsid w:val="2346064D"/>
    <w:rsid w:val="23531B69"/>
    <w:rsid w:val="25BA7F75"/>
    <w:rsid w:val="25E665E2"/>
    <w:rsid w:val="2675006E"/>
    <w:rsid w:val="267E5EB4"/>
    <w:rsid w:val="26BF13F3"/>
    <w:rsid w:val="26E11F0B"/>
    <w:rsid w:val="26E87362"/>
    <w:rsid w:val="275635F6"/>
    <w:rsid w:val="27842D73"/>
    <w:rsid w:val="280563A8"/>
    <w:rsid w:val="285919D0"/>
    <w:rsid w:val="29581C87"/>
    <w:rsid w:val="2A151926"/>
    <w:rsid w:val="2A34515A"/>
    <w:rsid w:val="2A544CC2"/>
    <w:rsid w:val="2AFA1C8A"/>
    <w:rsid w:val="2BD804A6"/>
    <w:rsid w:val="2C98321E"/>
    <w:rsid w:val="2DBC24FB"/>
    <w:rsid w:val="2DE954FC"/>
    <w:rsid w:val="2E5E3A03"/>
    <w:rsid w:val="2E6D7F83"/>
    <w:rsid w:val="2E7745CB"/>
    <w:rsid w:val="2F2D29DA"/>
    <w:rsid w:val="301E705B"/>
    <w:rsid w:val="303A5719"/>
    <w:rsid w:val="30456175"/>
    <w:rsid w:val="30853026"/>
    <w:rsid w:val="31CA749A"/>
    <w:rsid w:val="320835C1"/>
    <w:rsid w:val="327E6664"/>
    <w:rsid w:val="333709F8"/>
    <w:rsid w:val="36293BE7"/>
    <w:rsid w:val="36772279"/>
    <w:rsid w:val="37717401"/>
    <w:rsid w:val="378309A0"/>
    <w:rsid w:val="38777FB4"/>
    <w:rsid w:val="390F5BFE"/>
    <w:rsid w:val="39565ECF"/>
    <w:rsid w:val="3B527560"/>
    <w:rsid w:val="3B651FE2"/>
    <w:rsid w:val="3BC81F51"/>
    <w:rsid w:val="3BD41BB4"/>
    <w:rsid w:val="3C8577D9"/>
    <w:rsid w:val="3CF313DF"/>
    <w:rsid w:val="3D874587"/>
    <w:rsid w:val="3E025A4C"/>
    <w:rsid w:val="405E25C9"/>
    <w:rsid w:val="4113186C"/>
    <w:rsid w:val="416B7C26"/>
    <w:rsid w:val="42407FBF"/>
    <w:rsid w:val="431E3307"/>
    <w:rsid w:val="433078C8"/>
    <w:rsid w:val="434067C1"/>
    <w:rsid w:val="436F3DEF"/>
    <w:rsid w:val="44743C78"/>
    <w:rsid w:val="449D6124"/>
    <w:rsid w:val="44E26451"/>
    <w:rsid w:val="44E42A56"/>
    <w:rsid w:val="456809C0"/>
    <w:rsid w:val="467E6D51"/>
    <w:rsid w:val="46BF5A20"/>
    <w:rsid w:val="47102099"/>
    <w:rsid w:val="4764756D"/>
    <w:rsid w:val="48B16B64"/>
    <w:rsid w:val="4AD77E30"/>
    <w:rsid w:val="4AED4D7B"/>
    <w:rsid w:val="4B1B088D"/>
    <w:rsid w:val="4B450924"/>
    <w:rsid w:val="4B8E37B7"/>
    <w:rsid w:val="4BB654FA"/>
    <w:rsid w:val="4C324401"/>
    <w:rsid w:val="4D1D0B3D"/>
    <w:rsid w:val="4D3C743E"/>
    <w:rsid w:val="4DBE4C87"/>
    <w:rsid w:val="4E54216E"/>
    <w:rsid w:val="4EF13E61"/>
    <w:rsid w:val="4F2D611A"/>
    <w:rsid w:val="4FAA5F43"/>
    <w:rsid w:val="4FB57B7E"/>
    <w:rsid w:val="50025D05"/>
    <w:rsid w:val="500C1115"/>
    <w:rsid w:val="505C7F65"/>
    <w:rsid w:val="50A4615B"/>
    <w:rsid w:val="50E05F3B"/>
    <w:rsid w:val="511E595C"/>
    <w:rsid w:val="51D93AAA"/>
    <w:rsid w:val="51E54708"/>
    <w:rsid w:val="522D5E1E"/>
    <w:rsid w:val="529B2376"/>
    <w:rsid w:val="52BC29D7"/>
    <w:rsid w:val="52CA0C50"/>
    <w:rsid w:val="52DB2E5E"/>
    <w:rsid w:val="52E53585"/>
    <w:rsid w:val="53D37FD9"/>
    <w:rsid w:val="54BF53F1"/>
    <w:rsid w:val="568D20C3"/>
    <w:rsid w:val="56B90C3F"/>
    <w:rsid w:val="56E733A1"/>
    <w:rsid w:val="570603D3"/>
    <w:rsid w:val="57715B3F"/>
    <w:rsid w:val="57A1472E"/>
    <w:rsid w:val="58550901"/>
    <w:rsid w:val="58C7006B"/>
    <w:rsid w:val="5A230B9F"/>
    <w:rsid w:val="5B312E84"/>
    <w:rsid w:val="5C1A497B"/>
    <w:rsid w:val="5C251D7A"/>
    <w:rsid w:val="5DE71B75"/>
    <w:rsid w:val="5E425832"/>
    <w:rsid w:val="5F4E189E"/>
    <w:rsid w:val="5F526619"/>
    <w:rsid w:val="601644B3"/>
    <w:rsid w:val="6070074B"/>
    <w:rsid w:val="60A353FB"/>
    <w:rsid w:val="6152576D"/>
    <w:rsid w:val="634653AC"/>
    <w:rsid w:val="63B636A5"/>
    <w:rsid w:val="64E44070"/>
    <w:rsid w:val="651313E3"/>
    <w:rsid w:val="65F60A0C"/>
    <w:rsid w:val="66063A14"/>
    <w:rsid w:val="66965C7B"/>
    <w:rsid w:val="67A95FF7"/>
    <w:rsid w:val="67E30369"/>
    <w:rsid w:val="67EB4322"/>
    <w:rsid w:val="69AA5856"/>
    <w:rsid w:val="6A0454FD"/>
    <w:rsid w:val="6B497B78"/>
    <w:rsid w:val="6C354FE2"/>
    <w:rsid w:val="6C5042C3"/>
    <w:rsid w:val="6D2E0699"/>
    <w:rsid w:val="6D9263B7"/>
    <w:rsid w:val="6E296D1B"/>
    <w:rsid w:val="6EAF13B0"/>
    <w:rsid w:val="6F8E62A3"/>
    <w:rsid w:val="6FB130AA"/>
    <w:rsid w:val="6FEC1A9E"/>
    <w:rsid w:val="6FED7415"/>
    <w:rsid w:val="70061DD5"/>
    <w:rsid w:val="703219A0"/>
    <w:rsid w:val="71061E72"/>
    <w:rsid w:val="71132313"/>
    <w:rsid w:val="72005413"/>
    <w:rsid w:val="72A33997"/>
    <w:rsid w:val="72B24D3B"/>
    <w:rsid w:val="72B8241C"/>
    <w:rsid w:val="73F12089"/>
    <w:rsid w:val="73F16B07"/>
    <w:rsid w:val="74041CC7"/>
    <w:rsid w:val="742066E6"/>
    <w:rsid w:val="75380739"/>
    <w:rsid w:val="75B64732"/>
    <w:rsid w:val="761B7D9A"/>
    <w:rsid w:val="77393807"/>
    <w:rsid w:val="779B5BC9"/>
    <w:rsid w:val="77B45896"/>
    <w:rsid w:val="79091877"/>
    <w:rsid w:val="7A3B2499"/>
    <w:rsid w:val="7AC90138"/>
    <w:rsid w:val="7B2014A6"/>
    <w:rsid w:val="7BDC5C87"/>
    <w:rsid w:val="7DA72945"/>
    <w:rsid w:val="7DCD2671"/>
    <w:rsid w:val="7E391CBC"/>
    <w:rsid w:val="7ECA1657"/>
    <w:rsid w:val="7EE9101C"/>
    <w:rsid w:val="7F256F5F"/>
    <w:rsid w:val="7F745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9"/>
    <w:pPr>
      <w:keepNext/>
      <w:keepLines/>
      <w:spacing w:before="240" w:after="240" w:line="360" w:lineRule="auto"/>
      <w:jc w:val="left"/>
      <w:outlineLvl w:val="0"/>
    </w:pPr>
    <w:rPr>
      <w:rFonts w:eastAsia="黑体"/>
      <w:bCs/>
      <w:color w:val="000000"/>
      <w:kern w:val="44"/>
      <w:sz w:val="44"/>
      <w:szCs w:val="44"/>
    </w:rPr>
  </w:style>
  <w:style w:type="paragraph" w:styleId="3">
    <w:name w:val="heading 2"/>
    <w:basedOn w:val="1"/>
    <w:next w:val="1"/>
    <w:autoRedefine/>
    <w:unhideWhenUsed/>
    <w:qFormat/>
    <w:uiPriority w:val="9"/>
    <w:pPr>
      <w:keepNext/>
      <w:keepLines/>
      <w:spacing w:before="100" w:beforeLines="100" w:after="100" w:afterLines="100" w:line="360" w:lineRule="auto"/>
      <w:jc w:val="left"/>
      <w:outlineLvl w:val="1"/>
    </w:pPr>
    <w:rPr>
      <w:rFonts w:ascii="Cambria" w:hAnsi="Cambria" w:eastAsia="楷体"/>
      <w:bCs/>
      <w:color w:val="000000"/>
      <w:sz w:val="36"/>
      <w:szCs w:val="32"/>
    </w:rPr>
  </w:style>
  <w:style w:type="paragraph" w:styleId="4">
    <w:name w:val="heading 3"/>
    <w:basedOn w:val="1"/>
    <w:next w:val="1"/>
    <w:link w:val="38"/>
    <w:autoRedefine/>
    <w:unhideWhenUsed/>
    <w:qFormat/>
    <w:uiPriority w:val="9"/>
    <w:pPr>
      <w:keepNext/>
      <w:keepLines/>
      <w:spacing w:before="25" w:beforeLines="25" w:line="360" w:lineRule="auto"/>
      <w:jc w:val="left"/>
      <w:outlineLvl w:val="2"/>
    </w:pPr>
    <w:rPr>
      <w:rFonts w:eastAsia="黑体"/>
      <w:bCs/>
      <w:color w:val="000000"/>
      <w:sz w:val="32"/>
      <w:szCs w:val="32"/>
    </w:rPr>
  </w:style>
  <w:style w:type="paragraph" w:styleId="5">
    <w:name w:val="heading 4"/>
    <w:basedOn w:val="1"/>
    <w:next w:val="1"/>
    <w:link w:val="36"/>
    <w:autoRedefine/>
    <w:unhideWhenUsed/>
    <w:qFormat/>
    <w:uiPriority w:val="9"/>
    <w:pPr>
      <w:keepNext/>
      <w:keepLines/>
      <w:spacing w:before="25" w:beforeLines="25" w:after="25" w:afterLines="25" w:line="360" w:lineRule="auto"/>
      <w:jc w:val="left"/>
      <w:outlineLvl w:val="3"/>
    </w:pPr>
    <w:rPr>
      <w:rFonts w:ascii="Cambria" w:hAnsi="Cambria" w:eastAsia="仿宋"/>
      <w:b/>
      <w:bCs/>
      <w:color w:val="000000"/>
      <w:sz w:val="28"/>
      <w:szCs w:val="28"/>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spacing w:after="160" w:line="278" w:lineRule="auto"/>
      <w:ind w:left="2520" w:leftChars="1200"/>
      <w:jc w:val="left"/>
    </w:pPr>
    <w:rPr>
      <w:rFonts w:asciiTheme="minorHAnsi" w:hAnsiTheme="minorHAnsi" w:eastAsiaTheme="minorEastAsia" w:cstheme="minorBidi"/>
      <w:sz w:val="22"/>
      <w:szCs w:val="24"/>
      <w14:ligatures w14:val="standardContextual"/>
    </w:rPr>
  </w:style>
  <w:style w:type="paragraph" w:styleId="7">
    <w:name w:val="annotation text"/>
    <w:basedOn w:val="1"/>
    <w:link w:val="41"/>
    <w:autoRedefine/>
    <w:semiHidden/>
    <w:unhideWhenUsed/>
    <w:qFormat/>
    <w:uiPriority w:val="99"/>
    <w:pPr>
      <w:jc w:val="left"/>
    </w:pPr>
  </w:style>
  <w:style w:type="paragraph" w:styleId="8">
    <w:name w:val="Body Text"/>
    <w:basedOn w:val="1"/>
    <w:next w:val="1"/>
    <w:autoRedefine/>
    <w:qFormat/>
    <w:uiPriority w:val="0"/>
    <w:pPr>
      <w:spacing w:line="560" w:lineRule="exact"/>
      <w:ind w:firstLine="640" w:firstLineChars="200"/>
    </w:pPr>
    <w:rPr>
      <w:rFonts w:ascii="方正仿宋_GB2312" w:hAnsi="方正仿宋_GB2312" w:eastAsia="方正仿宋_GB2312" w:cs="方正仿宋_GB2312"/>
      <w:sz w:val="32"/>
      <w:szCs w:val="32"/>
    </w:rPr>
  </w:style>
  <w:style w:type="paragraph" w:styleId="9">
    <w:name w:val="toc 5"/>
    <w:basedOn w:val="1"/>
    <w:next w:val="1"/>
    <w:autoRedefine/>
    <w:unhideWhenUsed/>
    <w:qFormat/>
    <w:uiPriority w:val="39"/>
    <w:pPr>
      <w:spacing w:after="160" w:line="278" w:lineRule="auto"/>
      <w:ind w:left="1680" w:leftChars="800"/>
      <w:jc w:val="left"/>
    </w:pPr>
    <w:rPr>
      <w:rFonts w:asciiTheme="minorHAnsi" w:hAnsiTheme="minorHAnsi" w:eastAsiaTheme="minorEastAsia" w:cstheme="minorBidi"/>
      <w:sz w:val="22"/>
      <w:szCs w:val="24"/>
      <w14:ligatures w14:val="standardContextual"/>
    </w:rPr>
  </w:style>
  <w:style w:type="paragraph" w:styleId="10">
    <w:name w:val="toc 3"/>
    <w:basedOn w:val="1"/>
    <w:next w:val="1"/>
    <w:autoRedefine/>
    <w:unhideWhenUsed/>
    <w:qFormat/>
    <w:uiPriority w:val="39"/>
    <w:pPr>
      <w:widowControl/>
      <w:spacing w:after="100" w:line="276" w:lineRule="auto"/>
      <w:ind w:left="440"/>
      <w:jc w:val="left"/>
    </w:pPr>
    <w:rPr>
      <w:kern w:val="0"/>
      <w:sz w:val="22"/>
    </w:rPr>
  </w:style>
  <w:style w:type="paragraph" w:styleId="11">
    <w:name w:val="toc 8"/>
    <w:basedOn w:val="1"/>
    <w:next w:val="1"/>
    <w:autoRedefine/>
    <w:unhideWhenUsed/>
    <w:qFormat/>
    <w:uiPriority w:val="39"/>
    <w:pPr>
      <w:spacing w:after="160" w:line="278" w:lineRule="auto"/>
      <w:ind w:left="2940" w:leftChars="1400"/>
      <w:jc w:val="left"/>
    </w:pPr>
    <w:rPr>
      <w:rFonts w:asciiTheme="minorHAnsi" w:hAnsiTheme="minorHAnsi" w:eastAsiaTheme="minorEastAsia" w:cstheme="minorBidi"/>
      <w:sz w:val="22"/>
      <w:szCs w:val="24"/>
      <w14:ligatures w14:val="standardContextual"/>
    </w:rPr>
  </w:style>
  <w:style w:type="paragraph" w:styleId="12">
    <w:name w:val="Balloon Text"/>
    <w:basedOn w:val="1"/>
    <w:link w:val="35"/>
    <w:autoRedefine/>
    <w:semiHidden/>
    <w:unhideWhenUsed/>
    <w:qFormat/>
    <w:uiPriority w:val="99"/>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widowControl/>
      <w:tabs>
        <w:tab w:val="right" w:leader="dot" w:pos="8289"/>
      </w:tabs>
      <w:spacing w:after="100" w:line="276" w:lineRule="auto"/>
      <w:jc w:val="left"/>
    </w:pPr>
    <w:rPr>
      <w:rFonts w:ascii="黑体" w:hAnsi="黑体" w:eastAsia="仿宋"/>
      <w:b/>
      <w:bCs/>
      <w:kern w:val="0"/>
      <w:sz w:val="24"/>
      <w:szCs w:val="24"/>
    </w:rPr>
  </w:style>
  <w:style w:type="paragraph" w:styleId="16">
    <w:name w:val="toc 4"/>
    <w:basedOn w:val="1"/>
    <w:next w:val="1"/>
    <w:autoRedefine/>
    <w:unhideWhenUsed/>
    <w:qFormat/>
    <w:uiPriority w:val="39"/>
    <w:pPr>
      <w:spacing w:after="160" w:line="278" w:lineRule="auto"/>
      <w:ind w:left="1260" w:leftChars="600"/>
      <w:jc w:val="left"/>
    </w:pPr>
    <w:rPr>
      <w:rFonts w:asciiTheme="minorHAnsi" w:hAnsiTheme="minorHAnsi" w:eastAsiaTheme="minorEastAsia" w:cstheme="minorBidi"/>
      <w:sz w:val="22"/>
      <w:szCs w:val="24"/>
      <w14:ligatures w14:val="standardContextual"/>
    </w:rPr>
  </w:style>
  <w:style w:type="paragraph" w:styleId="17">
    <w:name w:val="toc 6"/>
    <w:basedOn w:val="1"/>
    <w:next w:val="1"/>
    <w:autoRedefine/>
    <w:unhideWhenUsed/>
    <w:qFormat/>
    <w:uiPriority w:val="39"/>
    <w:pPr>
      <w:spacing w:after="160" w:line="278" w:lineRule="auto"/>
      <w:ind w:left="2100" w:leftChars="1000"/>
      <w:jc w:val="left"/>
    </w:pPr>
    <w:rPr>
      <w:rFonts w:asciiTheme="minorHAnsi" w:hAnsiTheme="minorHAnsi" w:eastAsiaTheme="minorEastAsia" w:cstheme="minorBidi"/>
      <w:sz w:val="22"/>
      <w:szCs w:val="24"/>
      <w14:ligatures w14:val="standardContextual"/>
    </w:rPr>
  </w:style>
  <w:style w:type="paragraph" w:styleId="18">
    <w:name w:val="toc 2"/>
    <w:basedOn w:val="1"/>
    <w:autoRedefine/>
    <w:unhideWhenUsed/>
    <w:qFormat/>
    <w:uiPriority w:val="39"/>
    <w:pPr>
      <w:widowControl/>
      <w:spacing w:after="100" w:line="276" w:lineRule="auto"/>
      <w:ind w:left="220"/>
      <w:jc w:val="left"/>
    </w:pPr>
    <w:rPr>
      <w:kern w:val="0"/>
      <w:sz w:val="22"/>
    </w:rPr>
  </w:style>
  <w:style w:type="paragraph" w:styleId="19">
    <w:name w:val="toc 9"/>
    <w:basedOn w:val="1"/>
    <w:next w:val="1"/>
    <w:autoRedefine/>
    <w:unhideWhenUsed/>
    <w:qFormat/>
    <w:uiPriority w:val="39"/>
    <w:pPr>
      <w:spacing w:after="160" w:line="278" w:lineRule="auto"/>
      <w:ind w:left="3360" w:leftChars="1600"/>
      <w:jc w:val="left"/>
    </w:pPr>
    <w:rPr>
      <w:rFonts w:asciiTheme="minorHAnsi" w:hAnsiTheme="minorHAnsi" w:eastAsiaTheme="minorEastAsia" w:cstheme="minorBidi"/>
      <w:sz w:val="22"/>
      <w:szCs w:val="24"/>
      <w14:ligatures w14:val="standardContextual"/>
    </w:rPr>
  </w:style>
  <w:style w:type="paragraph" w:styleId="20">
    <w:name w:val="annotation subject"/>
    <w:basedOn w:val="7"/>
    <w:next w:val="7"/>
    <w:link w:val="42"/>
    <w:autoRedefine/>
    <w:semiHidden/>
    <w:unhideWhenUsed/>
    <w:qFormat/>
    <w:uiPriority w:val="99"/>
    <w:rPr>
      <w:b/>
      <w:bCs/>
    </w:rPr>
  </w:style>
  <w:style w:type="table" w:styleId="22">
    <w:name w:val="Table Grid"/>
    <w:basedOn w:val="2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22"/>
    <w:rPr>
      <w:b/>
    </w:rPr>
  </w:style>
  <w:style w:type="character" w:styleId="25">
    <w:name w:val="Hyperlink"/>
    <w:basedOn w:val="23"/>
    <w:autoRedefine/>
    <w:unhideWhenUsed/>
    <w:qFormat/>
    <w:uiPriority w:val="99"/>
    <w:rPr>
      <w:color w:val="0000FF"/>
      <w:u w:val="single"/>
    </w:rPr>
  </w:style>
  <w:style w:type="character" w:styleId="26">
    <w:name w:val="HTML Code"/>
    <w:basedOn w:val="23"/>
    <w:autoRedefine/>
    <w:semiHidden/>
    <w:unhideWhenUsed/>
    <w:qFormat/>
    <w:uiPriority w:val="99"/>
    <w:rPr>
      <w:rFonts w:ascii="Courier New" w:hAnsi="Courier New"/>
      <w:sz w:val="20"/>
    </w:rPr>
  </w:style>
  <w:style w:type="character" w:styleId="27">
    <w:name w:val="annotation reference"/>
    <w:basedOn w:val="23"/>
    <w:autoRedefine/>
    <w:semiHidden/>
    <w:unhideWhenUsed/>
    <w:qFormat/>
    <w:uiPriority w:val="99"/>
    <w:rPr>
      <w:sz w:val="21"/>
      <w:szCs w:val="21"/>
    </w:rPr>
  </w:style>
  <w:style w:type="character" w:customStyle="1" w:styleId="28">
    <w:name w:val="页脚 字符"/>
    <w:basedOn w:val="23"/>
    <w:link w:val="13"/>
    <w:autoRedefine/>
    <w:qFormat/>
    <w:uiPriority w:val="99"/>
    <w:rPr>
      <w:sz w:val="18"/>
      <w:szCs w:val="18"/>
    </w:rPr>
  </w:style>
  <w:style w:type="character" w:customStyle="1" w:styleId="29">
    <w:name w:val="页眉 字符"/>
    <w:basedOn w:val="23"/>
    <w:link w:val="14"/>
    <w:autoRedefine/>
    <w:qFormat/>
    <w:uiPriority w:val="99"/>
    <w:rPr>
      <w:sz w:val="18"/>
      <w:szCs w:val="18"/>
    </w:rPr>
  </w:style>
  <w:style w:type="paragraph" w:styleId="30">
    <w:name w:val="List Paragraph"/>
    <w:basedOn w:val="1"/>
    <w:autoRedefine/>
    <w:qFormat/>
    <w:uiPriority w:val="34"/>
    <w:pPr>
      <w:ind w:firstLine="420" w:firstLineChars="200"/>
    </w:pPr>
  </w:style>
  <w:style w:type="paragraph" w:customStyle="1" w:styleId="31">
    <w:name w:val="TOC 标题1"/>
    <w:basedOn w:val="2"/>
    <w:next w:val="1"/>
    <w:autoRedefine/>
    <w:unhideWhenUsed/>
    <w:qFormat/>
    <w:uiPriority w:val="39"/>
    <w:pPr>
      <w:widowControl/>
      <w:spacing w:before="480" w:after="0" w:line="276" w:lineRule="auto"/>
      <w:outlineLvl w:val="9"/>
    </w:pPr>
    <w:rPr>
      <w:rFonts w:ascii="Cambria" w:hAnsi="Cambria" w:eastAsia="宋体"/>
      <w:color w:val="366091"/>
      <w:kern w:val="0"/>
      <w:sz w:val="28"/>
      <w:szCs w:val="28"/>
    </w:rPr>
  </w:style>
  <w:style w:type="character" w:customStyle="1" w:styleId="32">
    <w:name w:val="font51"/>
    <w:basedOn w:val="23"/>
    <w:autoRedefine/>
    <w:qFormat/>
    <w:uiPriority w:val="0"/>
    <w:rPr>
      <w:rFonts w:ascii="方正仿宋_GB2312" w:hAnsi="方正仿宋_GB2312" w:eastAsia="方正仿宋_GB2312" w:cs="方正仿宋_GB2312"/>
      <w:b/>
      <w:bCs/>
      <w:color w:val="000000"/>
      <w:sz w:val="24"/>
      <w:szCs w:val="24"/>
      <w:u w:val="none"/>
    </w:rPr>
  </w:style>
  <w:style w:type="character" w:customStyle="1" w:styleId="33">
    <w:name w:val="font31"/>
    <w:basedOn w:val="23"/>
    <w:autoRedefine/>
    <w:qFormat/>
    <w:uiPriority w:val="0"/>
    <w:rPr>
      <w:rFonts w:hint="eastAsia" w:ascii="宋体" w:hAnsi="宋体" w:eastAsia="宋体" w:cs="宋体"/>
      <w:color w:val="000000"/>
      <w:sz w:val="24"/>
      <w:szCs w:val="24"/>
      <w:u w:val="none"/>
    </w:rPr>
  </w:style>
  <w:style w:type="character" w:customStyle="1" w:styleId="34">
    <w:name w:val="font41"/>
    <w:basedOn w:val="23"/>
    <w:autoRedefine/>
    <w:qFormat/>
    <w:uiPriority w:val="0"/>
    <w:rPr>
      <w:rFonts w:hint="default" w:ascii="Times New Roman" w:hAnsi="Times New Roman" w:cs="Times New Roman"/>
      <w:color w:val="000000"/>
      <w:sz w:val="24"/>
      <w:szCs w:val="24"/>
      <w:u w:val="none"/>
    </w:rPr>
  </w:style>
  <w:style w:type="character" w:customStyle="1" w:styleId="35">
    <w:name w:val="批注框文本 字符"/>
    <w:basedOn w:val="23"/>
    <w:link w:val="12"/>
    <w:autoRedefine/>
    <w:semiHidden/>
    <w:qFormat/>
    <w:uiPriority w:val="99"/>
    <w:rPr>
      <w:rFonts w:ascii="Calibri" w:hAnsi="Calibri"/>
      <w:kern w:val="2"/>
      <w:sz w:val="18"/>
      <w:szCs w:val="18"/>
    </w:rPr>
  </w:style>
  <w:style w:type="character" w:customStyle="1" w:styleId="36">
    <w:name w:val="标题 4 字符"/>
    <w:basedOn w:val="23"/>
    <w:link w:val="5"/>
    <w:autoRedefine/>
    <w:qFormat/>
    <w:uiPriority w:val="9"/>
    <w:rPr>
      <w:rFonts w:ascii="Cambria" w:hAnsi="Cambria" w:eastAsia="仿宋"/>
      <w:b/>
      <w:bCs/>
      <w:color w:val="000000"/>
      <w:kern w:val="2"/>
      <w:sz w:val="28"/>
      <w:szCs w:val="28"/>
    </w:rPr>
  </w:style>
  <w:style w:type="paragraph" w:customStyle="1" w:styleId="37">
    <w:name w:val="专栏标题"/>
    <w:autoRedefine/>
    <w:qFormat/>
    <w:uiPriority w:val="0"/>
    <w:pPr>
      <w:widowControl w:val="0"/>
      <w:numPr>
        <w:ilvl w:val="0"/>
        <w:numId w:val="1"/>
      </w:numPr>
      <w:jc w:val="center"/>
    </w:pPr>
    <w:rPr>
      <w:rFonts w:ascii="黑体" w:hAnsi="黑体" w:eastAsia="方正黑体_GBK" w:cs="Times New Roman"/>
      <w:kern w:val="2"/>
      <w:sz w:val="30"/>
      <w:szCs w:val="24"/>
      <w:lang w:val="en-US" w:eastAsia="zh-CN" w:bidi="ar-SA"/>
    </w:rPr>
  </w:style>
  <w:style w:type="character" w:customStyle="1" w:styleId="38">
    <w:name w:val="标题 3 字符"/>
    <w:basedOn w:val="23"/>
    <w:link w:val="4"/>
    <w:autoRedefine/>
    <w:qFormat/>
    <w:uiPriority w:val="9"/>
    <w:rPr>
      <w:rFonts w:ascii="Calibri" w:hAnsi="Calibri" w:eastAsia="黑体"/>
      <w:bCs/>
      <w:color w:val="000000"/>
      <w:kern w:val="2"/>
      <w:sz w:val="32"/>
      <w:szCs w:val="32"/>
    </w:rPr>
  </w:style>
  <w:style w:type="character" w:customStyle="1" w:styleId="39">
    <w:name w:val="未处理的提及1"/>
    <w:basedOn w:val="23"/>
    <w:autoRedefine/>
    <w:semiHidden/>
    <w:unhideWhenUsed/>
    <w:qFormat/>
    <w:uiPriority w:val="99"/>
    <w:rPr>
      <w:color w:val="605E5C"/>
      <w:shd w:val="clear" w:color="auto" w:fill="E1DFDD"/>
    </w:rPr>
  </w:style>
  <w:style w:type="paragraph" w:customStyle="1" w:styleId="40">
    <w:name w:val="修订1"/>
    <w:autoRedefine/>
    <w:hidden/>
    <w:unhideWhenUsed/>
    <w:qFormat/>
    <w:uiPriority w:val="99"/>
    <w:rPr>
      <w:rFonts w:ascii="Calibri" w:hAnsi="Calibri" w:eastAsia="宋体" w:cs="Times New Roman"/>
      <w:kern w:val="2"/>
      <w:sz w:val="21"/>
      <w:szCs w:val="22"/>
      <w:lang w:val="en-US" w:eastAsia="zh-CN" w:bidi="ar-SA"/>
    </w:rPr>
  </w:style>
  <w:style w:type="character" w:customStyle="1" w:styleId="41">
    <w:name w:val="批注文字 字符"/>
    <w:basedOn w:val="23"/>
    <w:link w:val="7"/>
    <w:autoRedefine/>
    <w:semiHidden/>
    <w:qFormat/>
    <w:uiPriority w:val="99"/>
    <w:rPr>
      <w:rFonts w:ascii="Calibri" w:hAnsi="Calibri"/>
      <w:kern w:val="2"/>
      <w:sz w:val="21"/>
      <w:szCs w:val="22"/>
    </w:rPr>
  </w:style>
  <w:style w:type="character" w:customStyle="1" w:styleId="42">
    <w:name w:val="批注主题 字符"/>
    <w:basedOn w:val="41"/>
    <w:link w:val="20"/>
    <w:autoRedefine/>
    <w:semiHidden/>
    <w:qFormat/>
    <w:uiPriority w:val="99"/>
    <w:rPr>
      <w:rFonts w:ascii="Calibri" w:hAnsi="Calibri"/>
      <w:b/>
      <w:bCs/>
      <w:kern w:val="2"/>
      <w:sz w:val="21"/>
      <w:szCs w:val="22"/>
    </w:rPr>
  </w:style>
  <w:style w:type="character" w:customStyle="1" w:styleId="43">
    <w:name w:val="未处理的提及2"/>
    <w:basedOn w:val="23"/>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3f3082de-448b-4fec-a3a4-228ce6506c0d</errorID>
      <errorWord>国家文化和旅游部</errorWord>
      <group>L1_Word</group>
      <groupName>字词问题</groupName>
      <ability>L2_Typo</ability>
      <abilityName>字词错误</abilityName>
      <candidateList>
        <item>文化和旅游部</item>
      </candidateList>
      <explain/>
      <paraID>54FCEE14</paraID>
      <start>33</start>
      <end>41</end>
      <status>ignored</status>
      <modifiedWord/>
      <trackRevisions>false</trackRevisions>
    </reviewItem>
    <reviewItem>
      <errorID>bf08d1cb-e2d5-424b-86fb-750667e09fc8</errorID>
      <errorWord>国家文化和旅游部</errorWord>
      <group>L1_Word</group>
      <groupName>字词问题</groupName>
      <ability>L2_Typo</ability>
      <abilityName>字词错误</abilityName>
      <candidateList>
        <item>文化和旅游部</item>
      </candidateList>
      <explain/>
      <paraID>62C4EC56</paraID>
      <start>108</start>
      <end>116</end>
      <status>ignored</status>
      <modifiedWord/>
      <trackRevisions>false</trackRevisions>
    </reviewItem>
    <reviewItem>
      <errorID>bed3e91a-3161-4a7a-b3f7-1b5bb04371e3</errorID>
      <errorWord>新兴战略性</errorWord>
      <group>L1_Knowledge</group>
      <groupName>知识性问题</groupName>
      <ability>L2_Knowledge</ability>
      <abilityName>其他知识</abilityName>
      <candidateList>
        <item>战略性新兴</item>
      </candidateList>
      <explain/>
      <paraID>60DFA3A6</paraID>
      <start>94</start>
      <end>99</end>
      <status>ignored</status>
      <modifiedWord/>
      <trackRevisions>false</trackRevisions>
    </reviewItem>
    <reviewItem>
      <errorID>d0f5e16c-4790-4108-8229-8f4078dabaa5</errorID>
      <errorWord>以高质量发展为主题</errorWord>
      <group>L1_Political</group>
      <groupName>政治性问题</groupName>
      <ability>L2_Keyword</ability>
      <abilityName>固定表述</abilityName>
      <candidateList>
        <item>以推动高质量发展为主题</item>
      </candidateList>
      <explain>词汇“以推动高质量发展为主题”在特定场景下为固定表述形式，请确认此处的“以高质量发展为主题”是否存在不当。</explain>
      <paraID>60DFA3A6</paraID>
      <start>116</start>
      <end>125</end>
      <status>ignored</status>
      <modifiedWord/>
      <trackRevisions>false</trackRevisions>
    </reviewItem>
    <reviewItem>
      <errorID>97d103dc-e52c-4570-b918-8bf2f69873f1</errorID>
      <errorWord>生态红线</errorWord>
      <group>L1_Political</group>
      <groupName>政治性问题</groupName>
      <ability>L2_Unpolitical</ability>
      <abilityName>政治敏感错误</abilityName>
      <candidateList>
        <item>生态保护红线</item>
      </candidateList>
      <explain/>
      <paraID>54C0A279</paraID>
      <start>47</start>
      <end>53</end>
      <status>modified</status>
      <modifiedWord>生态保护红线</modifiedWord>
      <trackRevisions>false</trackRevisions>
    </reviewItem>
    <reviewItem>
      <errorID>52cf4fb1-3d41-400b-a59a-25b996a4cd6f</errorID>
      <errorWord>。。</errorWord>
      <group>L1_Punc</group>
      <groupName>标点问题</groupName>
      <ability>L2_Punc_CN</ability>
      <abilityName>标点符号问题</abilityName>
      <candidateList>
        <item>。</item>
      </candidateList>
      <explain/>
      <paraID>5D8DE791</paraID>
      <start>101</start>
      <end>102</end>
      <status>modified</status>
      <modifiedWord>。</modifiedWord>
      <trackRevisions>false</trackRevisions>
    </reviewItem>
    <reviewItem>
      <errorID>8626c3d9-ad5e-4f84-a7ec-ea0fe178b6af</errorID>
      <errorWord>的</errorWord>
      <group>L1_Word</group>
      <groupName>字词问题</groupName>
      <ability>L2_DDD</ability>
      <abilityName>的地得用法</abilityName>
      <candidateList>
        <item>地</item>
      </candidateList>
      <explain/>
      <paraID>72EEAAD2</paraID>
      <start>188</start>
      <end>189</end>
      <status>modified</status>
      <modifiedWord>地</modifiedWord>
      <trackRevisions>false</trackRevisions>
    </reviewItem>
    <reviewItem>
      <errorID>1206319d-c77c-4ae8-8bf6-480d72868fed</errorID>
      <errorWord>A级景区</errorWord>
      <group>L1_Word</group>
      <groupName>字词问题</groupName>
      <ability>L2_Typo</ability>
      <abilityName>字词错误</abilityName>
      <candidateList>
        <item>A级旅游景区</item>
      </candidateList>
      <explain/>
      <paraID>15B09C65</paraID>
      <start>63</start>
      <end>69</end>
      <status>modified</status>
      <modifiedWord>A级旅游景区</modifiedWord>
      <trackRevisions>false</trackRevisions>
    </reviewItem>
    <reviewItem>
      <errorID>33662ee1-5c18-45ac-b4a7-2a4f341ac0a5</errorID>
      <errorWord>，，</errorWord>
      <group>L1_Punc</group>
      <groupName>标点问题</groupName>
      <ability>L2_Punc_CN</ability>
      <abilityName>标点符号问题</abilityName>
      <candidateList>
        <item>，</item>
      </candidateList>
      <explain/>
      <paraID>57D3C537</paraID>
      <start>22</start>
      <end>23</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6BA7D-B07C-4EF2-A030-0FC4138F0DFD}">
  <ds:schemaRefs/>
</ds:datastoreItem>
</file>

<file path=customXml/itemProps2.xml><?xml version="1.0" encoding="utf-8"?>
<ds:datastoreItem xmlns:ds="http://schemas.openxmlformats.org/officeDocument/2006/customXml" ds:itemID="{E65849C8-8A83-435C-A705-68CC7E15DD5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84</Pages>
  <Words>6673</Words>
  <Characters>38042</Characters>
  <Lines>317</Lines>
  <Paragraphs>89</Paragraphs>
  <TotalTime>64</TotalTime>
  <ScaleCrop>false</ScaleCrop>
  <LinksUpToDate>false</LinksUpToDate>
  <CharactersWithSpaces>44626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2026-07-27T03:07:00Z</dcterms:created>
  <dc:creator>Tencent</dc:creator>
  <cp:lastModifiedBy>龙龙</cp:lastModifiedBy>
  <cp:lastPrinted>2026-07-29T06:52:00Z</cp:lastPrinted>
  <dcterms:modified xsi:type="dcterms:W3CDTF">2026-07-31T03:32:16Z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A79B21EE856E4E6A80980AA4FD4104F1_13</vt:lpwstr>
  </property>
  <property fmtid="{D5CDD505-2E9C-101B-9397-08002B2CF9AE}" pid="4" name="KSOTemplateDocerSaveRecord">
    <vt:lpwstr>eyJoZGlkIjoiODViY2JkMjU3NGYzZTEwMzZmMGFkZWViYmNkYWU3NDIiLCJ1c2VySWQiOiI5NzY1MDIxNDQifQ==</vt:lpwstr>
  </property>
</Properties>
</file>