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9FA8A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梅州市梅县区民政和人力资源社会保障局公开遴选</w:t>
      </w:r>
    </w:p>
    <w:p w14:paraId="054AF10A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梅县区2026年度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就业驿站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运营主体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报名表</w:t>
      </w:r>
    </w:p>
    <w:p w14:paraId="270DCF9F">
      <w:pPr>
        <w:spacing w:line="240" w:lineRule="exact"/>
        <w:jc w:val="center"/>
        <w:rPr>
          <w:rFonts w:hint="eastAsia" w:ascii="宋体" w:hAnsi="宋体" w:eastAsia="宋体"/>
          <w:szCs w:val="21"/>
        </w:rPr>
      </w:pP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96"/>
        <w:gridCol w:w="1722"/>
        <w:gridCol w:w="3447"/>
      </w:tblGrid>
      <w:tr w14:paraId="2950B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7E2C9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3248AE3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94E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8678E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地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 址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57E3788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5C6A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507D60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统一社会</w:t>
            </w:r>
          </w:p>
          <w:p w14:paraId="5E4E76D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7AD418C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A58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4D2A7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联系人</w:t>
            </w:r>
          </w:p>
        </w:tc>
        <w:tc>
          <w:tcPr>
            <w:tcW w:w="2296" w:type="dxa"/>
            <w:tcBorders>
              <w:tl2br w:val="nil"/>
              <w:tr2bl w:val="nil"/>
            </w:tcBorders>
          </w:tcPr>
          <w:p w14:paraId="7073636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14:paraId="15B95EA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3447" w:type="dxa"/>
            <w:tcBorders>
              <w:tl2br w:val="nil"/>
              <w:tr2bl w:val="nil"/>
            </w:tcBorders>
          </w:tcPr>
          <w:p w14:paraId="0372013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4B8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4B2A91B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建 设</w:t>
            </w:r>
          </w:p>
          <w:p w14:paraId="450E3298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目 标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  <w:vAlign w:val="center"/>
          </w:tcPr>
          <w:p w14:paraId="4CB7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按照《广东省就业驿站建设指引》要求，建设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1个就业驿站，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就近就地为法定劳动年龄内有劳动能力且有就业意愿的劳动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力和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用人单位提供公共就业服务，帮助劳动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实现更充分、更高质量就业。</w:t>
            </w:r>
          </w:p>
        </w:tc>
      </w:tr>
      <w:tr w14:paraId="42184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05E7CFC2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建 设</w:t>
            </w:r>
          </w:p>
          <w:p w14:paraId="2919FCC6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计 划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  <w:vAlign w:val="center"/>
          </w:tcPr>
          <w:p w14:paraId="6503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配合区民政和人社部门，按照建设方案要求，落实建设计划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进度，在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月建成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就业驿站并试运行，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2026年12月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完成验收考核工作。</w:t>
            </w:r>
          </w:p>
        </w:tc>
      </w:tr>
      <w:tr w14:paraId="1588E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77DB2B5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功 能</w:t>
            </w:r>
          </w:p>
          <w:p w14:paraId="6C3DA1B8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设 置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  <w:vAlign w:val="center"/>
          </w:tcPr>
          <w:p w14:paraId="1371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配备基本的办公和服务设施设备，提供饮水机、手机充电等便民服务设施设备。提供政策咨询、求职登记、职业指导、信息发布、岗位推荐等基本公共就业服务。</w:t>
            </w:r>
          </w:p>
        </w:tc>
      </w:tr>
      <w:tr w14:paraId="3F36D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F07385F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单 位</w:t>
            </w:r>
          </w:p>
          <w:p w14:paraId="130A6776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意 见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5858E0B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9D32B75"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B136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人或主要负责人签名：</w:t>
            </w:r>
          </w:p>
          <w:p w14:paraId="7266C9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DA832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7A2AEE">
            <w:pPr>
              <w:spacing w:line="50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52CDE0D3">
            <w:pPr>
              <w:spacing w:line="5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 w14:paraId="0A5E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984" w:right="141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9C4233-F795-42B6-A1F4-866A1027A3E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7D7E600-EF5C-4ECB-9A5F-4A297DC9E55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05E345-8245-43F1-9ADC-9E60318A88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342140-79DE-4665-833B-867D595203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0513756"/>
      <w:showingPlcHdr/>
      <w:docPartObj>
        <w:docPartGallery w:val="autotext"/>
      </w:docPartObj>
    </w:sdtPr>
    <w:sdtContent>
      <w:p w14:paraId="426294C6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5AF24F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809B">
    <w:r>
      <w:rPr>
        <w:rFonts w:hint="eastAsia" w:ascii="仿宋" w:hAnsi="仿宋" w:eastAsia="仿宋"/>
        <w:sz w:val="28"/>
        <w:szCs w:val="28"/>
      </w:rPr>
      <w:t>附件</w:t>
    </w:r>
    <w:r>
      <w:rPr>
        <w:rFonts w:hint="eastAsia" w:ascii="仿宋" w:hAnsi="仿宋" w:eastAsia="仿宋"/>
        <w:sz w:val="28"/>
        <w:szCs w:val="28"/>
        <w:lang w:val="en-US" w:eastAsia="zh-CN"/>
      </w:rPr>
      <w:t>1</w:t>
    </w:r>
    <w:r>
      <w:rPr>
        <w:rFonts w:hint="eastAsia" w:ascii="仿宋" w:hAnsi="仿宋" w:eastAsia="仿宋"/>
        <w:sz w:val="28"/>
        <w:szCs w:val="28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E"/>
    <w:rsid w:val="000F753E"/>
    <w:rsid w:val="001707DC"/>
    <w:rsid w:val="002B5039"/>
    <w:rsid w:val="002D6079"/>
    <w:rsid w:val="00375A20"/>
    <w:rsid w:val="00575E14"/>
    <w:rsid w:val="00692D43"/>
    <w:rsid w:val="0077345D"/>
    <w:rsid w:val="00B173EA"/>
    <w:rsid w:val="00BC6029"/>
    <w:rsid w:val="00BD343E"/>
    <w:rsid w:val="039C2E56"/>
    <w:rsid w:val="0BB67480"/>
    <w:rsid w:val="0D244E26"/>
    <w:rsid w:val="0F1B3954"/>
    <w:rsid w:val="165D640E"/>
    <w:rsid w:val="16777D74"/>
    <w:rsid w:val="1A7C0D25"/>
    <w:rsid w:val="1BCA303C"/>
    <w:rsid w:val="1BEE4005"/>
    <w:rsid w:val="1F484A43"/>
    <w:rsid w:val="20FE4727"/>
    <w:rsid w:val="245142FB"/>
    <w:rsid w:val="25B14925"/>
    <w:rsid w:val="2A0B74E4"/>
    <w:rsid w:val="2BA50A88"/>
    <w:rsid w:val="2C9940BE"/>
    <w:rsid w:val="2FA33530"/>
    <w:rsid w:val="31457497"/>
    <w:rsid w:val="331A5F0C"/>
    <w:rsid w:val="36D16BD5"/>
    <w:rsid w:val="40BE58C5"/>
    <w:rsid w:val="4CEA1D6F"/>
    <w:rsid w:val="4FF95E06"/>
    <w:rsid w:val="58D00F8B"/>
    <w:rsid w:val="5E99597B"/>
    <w:rsid w:val="5EDD6FB7"/>
    <w:rsid w:val="5FAD7728"/>
    <w:rsid w:val="636E25D7"/>
    <w:rsid w:val="64AE45C2"/>
    <w:rsid w:val="679A31FF"/>
    <w:rsid w:val="725C293B"/>
    <w:rsid w:val="728435E5"/>
    <w:rsid w:val="74024296"/>
    <w:rsid w:val="74347612"/>
    <w:rsid w:val="78D540CD"/>
    <w:rsid w:val="79C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328</Characters>
  <Lines>2</Lines>
  <Paragraphs>1</Paragraphs>
  <TotalTime>6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2024-04-29T07:14:00Z</dcterms:created>
  <dc:creator>NTKO</dc:creator>
  <cp:lastModifiedBy>曾阳开泰</cp:lastModifiedBy>
  <cp:lastPrinted>2026-05-13T06:39:42Z</cp:lastPrinted>
  <dcterms:modified xsi:type="dcterms:W3CDTF">2026-05-13T06:45:03Z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eyJoZGlkIjoiY2IwMDU2OTEzYmNjMTZmMDliMzc4YThlNTcwZDNhNWMiLCJ1c2VySWQiOiI0MjQ5MjU2NzgifQ==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F83DB374B08E46AA874A7AEA384E5EBE_13</vt:lpwstr>
  </property>
</Properties>
</file>