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07006">
      <w:pPr>
        <w:spacing w:line="600" w:lineRule="exact"/>
        <w:ind w:left="0" w:leftChars="0" w:firstLine="1320" w:firstLineChars="300"/>
        <w:contextualSpacing/>
        <w:rPr>
          <w:rFonts w:hint="default" w:ascii="方正小标宋_GBK" w:hAnsi="黑体" w:eastAsia="方正小标宋_GBK" w:cs="黑体"/>
          <w:b w:val="0"/>
          <w:bCs/>
          <w:sz w:val="44"/>
          <w:szCs w:val="44"/>
          <w:lang w:val="en-US" w:eastAsia="zh-CN"/>
        </w:rPr>
      </w:pPr>
      <w:r>
        <w:rPr>
          <w:rFonts w:hint="default" w:ascii="方正小标宋_GBK" w:hAnsi="黑体" w:eastAsia="方正小标宋_GBK" w:cs="黑体"/>
          <w:b w:val="0"/>
          <w:bCs/>
          <w:sz w:val="44"/>
          <w:szCs w:val="44"/>
          <w:lang w:val="en-US" w:eastAsia="zh-CN"/>
        </w:rPr>
        <w:t>梅县区公共租赁住房</w:t>
      </w:r>
      <w:r>
        <w:rPr>
          <w:rFonts w:hint="eastAsia" w:ascii="方正小标宋_GBK" w:hAnsi="黑体" w:eastAsia="方正小标宋_GBK" w:cs="黑体"/>
          <w:b w:val="0"/>
          <w:bCs/>
          <w:sz w:val="44"/>
          <w:szCs w:val="44"/>
          <w:lang w:val="en-US" w:eastAsia="zh-CN"/>
        </w:rPr>
        <w:t>管理</w:t>
      </w:r>
      <w:r>
        <w:rPr>
          <w:rFonts w:hint="default" w:ascii="方正小标宋_GBK" w:hAnsi="黑体" w:eastAsia="方正小标宋_GBK" w:cs="黑体"/>
          <w:b w:val="0"/>
          <w:bCs/>
          <w:sz w:val="44"/>
          <w:szCs w:val="44"/>
          <w:lang w:val="en-US" w:eastAsia="zh-CN"/>
        </w:rPr>
        <w:t>实施细则</w:t>
      </w:r>
    </w:p>
    <w:p w14:paraId="26773BAB">
      <w:pPr>
        <w:spacing w:line="240" w:lineRule="auto"/>
        <w:ind w:firstLine="2560" w:firstLineChars="800"/>
        <w:rPr>
          <w:rFonts w:hint="eastAsia" w:ascii="仿宋_GB2312" w:hAnsi="宋体" w:eastAsia="仿宋_GB2312" w:cs="Times New Roman"/>
          <w:b w:val="0"/>
          <w:sz w:val="32"/>
          <w:szCs w:val="32"/>
          <w:lang w:val="en-US" w:eastAsia="zh-CN"/>
        </w:rPr>
      </w:pPr>
      <w:r>
        <w:rPr>
          <w:rFonts w:hint="eastAsia" w:ascii="仿宋_GB2312" w:hAnsi="宋体" w:eastAsia="仿宋_GB2312" w:cs="Times New Roman"/>
          <w:b w:val="0"/>
          <w:sz w:val="32"/>
          <w:szCs w:val="32"/>
          <w:lang w:val="en-US" w:eastAsia="zh-CN"/>
        </w:rPr>
        <w:t>（征求意见稿）</w:t>
      </w:r>
    </w:p>
    <w:p w14:paraId="3FC524F0">
      <w:pPr>
        <w:pStyle w:val="4"/>
        <w:keepNext w:val="0"/>
        <w:keepLines w:val="0"/>
        <w:widowControl/>
        <w:suppressLineNumbers w:val="0"/>
        <w:shd w:val="clear" w:fill="FFFFFF"/>
        <w:spacing w:before="480" w:beforeAutospacing="0" w:after="240" w:afterAutospacing="0"/>
        <w:ind w:left="0" w:right="0" w:firstLine="2560" w:firstLineChars="800"/>
        <w:jc w:val="both"/>
        <w:rPr>
          <w:rFonts w:hint="default" w:ascii="黑体" w:hAnsi="黑体" w:eastAsia="黑体" w:cs="黑体"/>
          <w:b w:val="0"/>
          <w:bCs w:val="0"/>
          <w:color w:val="000000"/>
          <w:kern w:val="2"/>
          <w:sz w:val="32"/>
          <w:szCs w:val="32"/>
          <w:lang w:val="en-US" w:eastAsia="zh-CN" w:bidi="ar-SA"/>
        </w:rPr>
      </w:pPr>
      <w:r>
        <w:rPr>
          <w:rFonts w:hint="default" w:ascii="黑体" w:hAnsi="黑体" w:eastAsia="黑体" w:cs="黑体"/>
          <w:b w:val="0"/>
          <w:bCs w:val="0"/>
          <w:color w:val="000000"/>
          <w:kern w:val="2"/>
          <w:sz w:val="32"/>
          <w:szCs w:val="32"/>
          <w:lang w:val="en-US" w:eastAsia="zh-CN" w:bidi="ar-SA"/>
        </w:rPr>
        <w:t>第一章 总则</w:t>
      </w:r>
    </w:p>
    <w:p w14:paraId="0B2DF22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第一条</w:t>
      </w:r>
      <w:r>
        <w:rPr>
          <w:rFonts w:hint="default" w:ascii="仿宋" w:hAnsi="仿宋" w:eastAsia="仿宋" w:cs="仿宋"/>
          <w:b w:val="0"/>
          <w:color w:val="000000"/>
          <w:sz w:val="32"/>
          <w:szCs w:val="32"/>
          <w:lang w:val="en-US" w:eastAsia="zh-CN"/>
        </w:rPr>
        <w:t> 为了进一步加强公共租赁住房管理，规范公共租赁住房租赁补贴发放，保障城镇住房困难居民基本居住需求，根据《社会救助暂行办法》《广东省社会救助条例》《公共租赁住房管理办法》《广东省城镇住房保障办法》《住房和城乡建设部 国家发展改革委 财政部 自然资源部关于进一步规范发展公租房的意见》（建保〔2019〕55号）、《住房城乡建设部 财政部关于做好城镇住房保障家庭租赁补贴工作的指导意见》（建保〔2016〕281号）等有关规定，参照《梅州市人民政府办公室关于印发梅州城区公共租赁住房管理实施细则的通知》（梅市府办〔2022〕21号），结合梅县区实际，制定本实施细则。</w:t>
      </w:r>
    </w:p>
    <w:p w14:paraId="4F61B535">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第二条</w:t>
      </w:r>
      <w:r>
        <w:rPr>
          <w:rFonts w:hint="default" w:ascii="仿宋" w:hAnsi="仿宋" w:eastAsia="仿宋" w:cs="仿宋"/>
          <w:b w:val="0"/>
          <w:color w:val="000000"/>
          <w:sz w:val="32"/>
          <w:szCs w:val="32"/>
          <w:lang w:val="en-US" w:eastAsia="zh-CN"/>
        </w:rPr>
        <w:t> 梅县区范围内公共租赁住房的筹集、申请、受理、审核、配租、后续管理以及租赁补贴的申请、发放及其监督管理活动，适用本实施细则。</w:t>
      </w:r>
    </w:p>
    <w:p w14:paraId="7B62277C">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第三条</w:t>
      </w:r>
      <w:r>
        <w:rPr>
          <w:rFonts w:hint="default" w:ascii="仿宋" w:hAnsi="仿宋" w:eastAsia="仿宋" w:cs="仿宋"/>
          <w:b w:val="0"/>
          <w:color w:val="000000"/>
          <w:sz w:val="32"/>
          <w:szCs w:val="32"/>
          <w:lang w:val="en-US" w:eastAsia="zh-CN"/>
        </w:rPr>
        <w:t> 本实施细则所称公共租赁住房，是指由政府主导投资、建设和管理，或由政府提供政策支持、其他各类主体投资建设、纳入政府统一管理，限定建设标准和租金水平，面向符合规定条件的住房困难家庭、新就业无房职工和在城镇稳定就业的外来务工人员出租的保障性住房。</w:t>
      </w:r>
    </w:p>
    <w:p w14:paraId="1D0E4EC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本实施细则所称租赁补贴，是指向梅县区范围内符合条件的城镇住房困难家庭按照公共租赁住房保障的补贴标准发放租金补贴，由其自行租赁住房的保障方式。</w:t>
      </w:r>
    </w:p>
    <w:p w14:paraId="7B510485">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第四条</w:t>
      </w:r>
      <w:r>
        <w:rPr>
          <w:rFonts w:hint="default" w:ascii="仿宋" w:hAnsi="仿宋" w:eastAsia="仿宋" w:cs="仿宋"/>
          <w:b w:val="0"/>
          <w:color w:val="000000"/>
          <w:sz w:val="32"/>
          <w:szCs w:val="32"/>
          <w:lang w:val="en-US" w:eastAsia="zh-CN"/>
        </w:rPr>
        <w:t> 区住房保障主管部门负责全区公共租赁住房及租赁补贴的组织实施、监督管理和指导协调等工作。</w:t>
      </w:r>
    </w:p>
    <w:p w14:paraId="5A84688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区公有房屋和保障性住房服务中心（下称“区保障中心”）负责公共租赁住房维护管理和具体实施工作。</w:t>
      </w:r>
    </w:p>
    <w:p w14:paraId="58806BFC">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区发改、公安、财政、民政和人社、自然资源、市场监管、政务服务数据管理</w:t>
      </w:r>
      <w:r>
        <w:rPr>
          <w:rFonts w:hint="eastAsia" w:ascii="仿宋" w:hAnsi="仿宋" w:eastAsia="仿宋" w:cs="仿宋"/>
          <w:b w:val="0"/>
          <w:color w:val="000000"/>
          <w:sz w:val="32"/>
          <w:szCs w:val="32"/>
          <w:lang w:val="en-US" w:eastAsia="zh-CN"/>
        </w:rPr>
        <w:t>、</w:t>
      </w:r>
      <w:r>
        <w:rPr>
          <w:rFonts w:hint="default" w:ascii="仿宋" w:hAnsi="仿宋" w:eastAsia="仿宋" w:cs="仿宋"/>
          <w:b w:val="0"/>
          <w:color w:val="000000"/>
          <w:sz w:val="32"/>
          <w:szCs w:val="32"/>
          <w:lang w:val="en-US" w:eastAsia="zh-CN"/>
        </w:rPr>
        <w:t>税务、住房公积金管理等相关部门按照各自职责，协助做好公共租赁住房及租赁补贴工作。</w:t>
      </w:r>
    </w:p>
    <w:p w14:paraId="7DA5356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各镇人民政府（高管会、办事处）和社区居民委员会协助</w:t>
      </w:r>
      <w:r>
        <w:rPr>
          <w:rFonts w:hint="eastAsia" w:ascii="仿宋" w:hAnsi="仿宋" w:eastAsia="仿宋" w:cs="仿宋"/>
          <w:b w:val="0"/>
          <w:color w:val="000000"/>
          <w:sz w:val="32"/>
          <w:szCs w:val="32"/>
          <w:lang w:val="en-US" w:eastAsia="zh-CN"/>
        </w:rPr>
        <w:t>做好本辖区公共租赁住房需求申报统计、申请的受理和初审等工作。</w:t>
      </w:r>
    </w:p>
    <w:p w14:paraId="0DF789B0">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第二章 房源筹集</w:t>
      </w:r>
    </w:p>
    <w:p w14:paraId="3B601506">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第五条 </w:t>
      </w:r>
      <w:r>
        <w:rPr>
          <w:rFonts w:hint="default" w:ascii="仿宋" w:hAnsi="仿宋" w:eastAsia="仿宋" w:cs="仿宋"/>
          <w:b w:val="0"/>
          <w:color w:val="000000"/>
          <w:sz w:val="32"/>
          <w:szCs w:val="32"/>
          <w:lang w:val="en-US" w:eastAsia="zh-CN"/>
        </w:rPr>
        <w:t>区住房保障主管部门根据公共租赁住房需求状况，牵头编制公共租赁住房发展规划和年度计划，报区政府批准后公布实施。</w:t>
      </w:r>
    </w:p>
    <w:p w14:paraId="72D1F55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公共租赁住房发展规划应当符合国土空间规划，并纳入国民经济和社会发展规划。</w:t>
      </w:r>
    </w:p>
    <w:p w14:paraId="6316BCCF">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第六条 </w:t>
      </w:r>
      <w:r>
        <w:rPr>
          <w:rFonts w:hint="default" w:ascii="仿宋" w:hAnsi="仿宋" w:eastAsia="仿宋" w:cs="仿宋"/>
          <w:b w:val="0"/>
          <w:color w:val="000000"/>
          <w:sz w:val="32"/>
          <w:szCs w:val="32"/>
          <w:lang w:val="en-US" w:eastAsia="zh-CN"/>
        </w:rPr>
        <w:t>区自然资源部门应当会同相关部门，根据公共租赁住房规划建设情况，建立公共租赁住房土地储备制度。列入公共租赁住房土地储备计划的用地，非经法定程序不得改变用地性质。</w:t>
      </w:r>
    </w:p>
    <w:p w14:paraId="4F8C324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自然资源部门编制国土空间规划时，应当明确公共租赁住房的空间布局。自然资源部门会同住房保障主管部门根据国土空间规划，编制公共租赁住房用地储备规划，明确公共租赁住房建设的具体地块。在符合国土空间规划控制指标的前提下，公共租赁住房用地可以适当提高容积率。</w:t>
      </w:r>
    </w:p>
    <w:p w14:paraId="13BD4DB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公共租赁住房年度建设用地计划应当纳入年度土地供应计划，用地指标单列，并优先保障。</w:t>
      </w:r>
    </w:p>
    <w:p w14:paraId="1525BD28">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第七条</w:t>
      </w:r>
      <w:r>
        <w:rPr>
          <w:rFonts w:hint="default" w:ascii="仿宋" w:hAnsi="仿宋" w:eastAsia="仿宋" w:cs="仿宋"/>
          <w:b w:val="0"/>
          <w:color w:val="000000"/>
          <w:sz w:val="32"/>
          <w:szCs w:val="32"/>
          <w:lang w:val="en-US" w:eastAsia="zh-CN"/>
        </w:rPr>
        <w:t> 商品住房开发、“三旧”（旧城镇、旧厂房、旧村庄）改造等各类住房改造项目中配建公共租赁住房的，住房保障主管部门应当提出配套建设的公共租赁住房占宗地开发建设总建筑面积的比例、单套建筑面积、套数、套型要求、竣工及公共租赁住房权属等事项，明确相关责任和权利，作为自然资源部门制订供地方案的依据，并在土地出让合同中约定。</w:t>
      </w:r>
    </w:p>
    <w:p w14:paraId="0DB5ED3F">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第八条</w:t>
      </w:r>
      <w:r>
        <w:rPr>
          <w:rFonts w:hint="default" w:ascii="仿宋" w:hAnsi="仿宋" w:eastAsia="仿宋" w:cs="仿宋"/>
          <w:b w:val="0"/>
          <w:color w:val="000000"/>
          <w:sz w:val="32"/>
          <w:szCs w:val="32"/>
          <w:lang w:val="en-US" w:eastAsia="zh-CN"/>
        </w:rPr>
        <w:t> 公共租赁住房来源包括：</w:t>
      </w:r>
    </w:p>
    <w:p w14:paraId="35D3DB7D">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（一）政府投资建设、购买、租赁或者依法收回、回购、没收的住房；</w:t>
      </w:r>
    </w:p>
    <w:p w14:paraId="24AAA3A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（二）政府委托企业或者其他组织建设、配套建设的住房，企业或者其他组织按照与政府约定建设、配套建设的住房；</w:t>
      </w:r>
    </w:p>
    <w:p w14:paraId="47180A5C">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（三）单位自筹建设的住房；</w:t>
      </w:r>
    </w:p>
    <w:p w14:paraId="2C90D55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（四）产业园区集中配套建设的住房；</w:t>
      </w:r>
    </w:p>
    <w:p w14:paraId="0DE156A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（五）直管公房中符合条件可转作公共租赁住房的住房；</w:t>
      </w:r>
    </w:p>
    <w:p w14:paraId="331AE2B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（六）社会捐赠及其他渠道筹集的住房。</w:t>
      </w:r>
    </w:p>
    <w:p w14:paraId="03B3416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第九条</w:t>
      </w:r>
      <w:r>
        <w:rPr>
          <w:rFonts w:hint="default" w:ascii="仿宋" w:hAnsi="仿宋" w:eastAsia="仿宋" w:cs="仿宋"/>
          <w:b w:val="0"/>
          <w:color w:val="000000"/>
          <w:sz w:val="32"/>
          <w:szCs w:val="32"/>
          <w:lang w:val="en-US" w:eastAsia="zh-CN"/>
        </w:rPr>
        <w:t> 公共租赁住房资金按下列渠道筹集：</w:t>
      </w:r>
    </w:p>
    <w:p w14:paraId="487CF9D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（一）市、区财政年度预算安排的资金；</w:t>
      </w:r>
    </w:p>
    <w:p w14:paraId="1CA0329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（二）提取贷款风险准备金和管理费用后的住房公积金增值收益余额；</w:t>
      </w:r>
    </w:p>
    <w:p w14:paraId="78E1050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（三）土地出让净收益中按规定比例提取的资金；</w:t>
      </w:r>
    </w:p>
    <w:p w14:paraId="15E9597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（四）中央和省安排的专项补助资金；</w:t>
      </w:r>
    </w:p>
    <w:p w14:paraId="728EB65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（五）出租公共租赁住房及配套设施回收的资金；</w:t>
      </w:r>
    </w:p>
    <w:p w14:paraId="4135293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（六）通过投融资方式筹集的资金；</w:t>
      </w:r>
    </w:p>
    <w:p w14:paraId="5DFE4D0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（七）可以纳入的其他资金。</w:t>
      </w:r>
    </w:p>
    <w:p w14:paraId="547A1286">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第十条</w:t>
      </w:r>
      <w:r>
        <w:rPr>
          <w:rFonts w:hint="default" w:ascii="仿宋" w:hAnsi="仿宋" w:eastAsia="仿宋" w:cs="仿宋"/>
          <w:b w:val="0"/>
          <w:color w:val="000000"/>
          <w:sz w:val="32"/>
          <w:szCs w:val="32"/>
          <w:lang w:val="en-US" w:eastAsia="zh-CN"/>
        </w:rPr>
        <w:t> 新建的公共租赁住房应当满足基本住房需求，单套建筑面积原则上控制在60平方米以内。以集体宿舍形式建设的公共租赁住房，应当满足宿舍建筑设计规范的有关规定。非新建方式筹集的公共租赁住房，应当坚持适用、满足基本住房需求的原则。</w:t>
      </w:r>
    </w:p>
    <w:p w14:paraId="6819A35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新建公共租赁住房应当根据承租对象的居住和生活需要，同步建设相应配套设施、生活服务用房和管理用房，并实施物业管理。</w:t>
      </w:r>
    </w:p>
    <w:p w14:paraId="6E79557C">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一</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公共租赁住房建设实行“谁投资、谁受益”原则，房屋性质登记为公共租赁住房。在公共租赁住房性质不变的前提下，投资者权益可以依法转让。</w:t>
      </w:r>
    </w:p>
    <w:p w14:paraId="0BB3EC68">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对公共租赁住房建设筹集、经营管理所涉及的城镇土地使用税、印花税、契税、土地增值税、房产税、增值税、个人所得税等，以及城市基础设施配套费等政府性基金、行政事业性收费，按规定落实优惠政策。</w:t>
      </w:r>
    </w:p>
    <w:p w14:paraId="741A741C">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 xml:space="preserve">第三章 </w:t>
      </w:r>
      <w:r>
        <w:rPr>
          <w:rFonts w:hint="eastAsia" w:ascii="仿宋" w:hAnsi="仿宋" w:eastAsia="仿宋" w:cs="仿宋"/>
          <w:b/>
          <w:bCs/>
          <w:color w:val="000000"/>
          <w:sz w:val="32"/>
          <w:szCs w:val="32"/>
        </w:rPr>
        <w:t>申请审核</w:t>
      </w:r>
    </w:p>
    <w:p w14:paraId="19F63845">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公共租赁住房的保障对象主要包括：</w:t>
      </w:r>
    </w:p>
    <w:p w14:paraId="4D28100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（一）住房困难的城镇（包括城市建成区农村</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分散供养特困人员；</w:t>
      </w:r>
    </w:p>
    <w:p w14:paraId="04B799E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（二）城镇低保（包括城市建成区农村低保）住房困难家庭；</w:t>
      </w:r>
    </w:p>
    <w:p w14:paraId="124CA14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（三）城镇低收入</w:t>
      </w:r>
      <w:r>
        <w:rPr>
          <w:rFonts w:hint="default" w:ascii="仿宋" w:hAnsi="仿宋" w:eastAsia="仿宋" w:cs="仿宋"/>
          <w:b w:val="0"/>
          <w:color w:val="000000"/>
          <w:sz w:val="32"/>
          <w:szCs w:val="32"/>
          <w:highlight w:val="none"/>
          <w:lang w:val="en-US" w:eastAsia="zh-CN"/>
        </w:rPr>
        <w:t>（包括城市建成区农村低</w:t>
      </w:r>
      <w:r>
        <w:rPr>
          <w:rFonts w:hint="eastAsia" w:cs="仿宋"/>
          <w:b w:val="0"/>
          <w:color w:val="000000"/>
          <w:sz w:val="32"/>
          <w:szCs w:val="32"/>
          <w:highlight w:val="none"/>
          <w:lang w:val="en-US" w:eastAsia="zh-CN"/>
        </w:rPr>
        <w:t>收入</w:t>
      </w:r>
      <w:r>
        <w:rPr>
          <w:rFonts w:hint="default" w:ascii="仿宋" w:hAnsi="仿宋" w:eastAsia="仿宋" w:cs="仿宋"/>
          <w:b w:val="0"/>
          <w:color w:val="000000"/>
          <w:sz w:val="32"/>
          <w:szCs w:val="32"/>
          <w:highlight w:val="none"/>
          <w:lang w:val="en-US" w:eastAsia="zh-CN"/>
        </w:rPr>
        <w:t>）</w:t>
      </w:r>
      <w:r>
        <w:rPr>
          <w:rFonts w:hint="default" w:ascii="仿宋" w:hAnsi="仿宋" w:eastAsia="仿宋" w:cs="仿宋"/>
          <w:b w:val="0"/>
          <w:color w:val="000000"/>
          <w:sz w:val="32"/>
          <w:szCs w:val="32"/>
          <w:lang w:val="en-US" w:eastAsia="zh-CN"/>
        </w:rPr>
        <w:t>住房困难家庭；</w:t>
      </w:r>
    </w:p>
    <w:p w14:paraId="13F272EE">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（四）住房困难的最低生活保障边缘家庭和支出型困难家庭（</w:t>
      </w:r>
      <w:r>
        <w:rPr>
          <w:rFonts w:hint="default" w:ascii="仿宋" w:hAnsi="仿宋" w:eastAsia="仿宋" w:cs="仿宋"/>
          <w:b w:val="0"/>
          <w:color w:val="000000"/>
          <w:sz w:val="32"/>
          <w:szCs w:val="32"/>
          <w:highlight w:val="none"/>
          <w:lang w:val="en-US" w:eastAsia="zh-CN"/>
        </w:rPr>
        <w:t>包括城市建成区农村最低生活保障边缘家庭和支出型困难家庭）</w:t>
      </w:r>
      <w:r>
        <w:rPr>
          <w:rFonts w:hint="default" w:ascii="仿宋" w:hAnsi="仿宋" w:eastAsia="仿宋" w:cs="仿宋"/>
          <w:b w:val="0"/>
          <w:color w:val="000000"/>
          <w:sz w:val="32"/>
          <w:szCs w:val="32"/>
          <w:lang w:val="en-US" w:eastAsia="zh-CN"/>
        </w:rPr>
        <w:t>；</w:t>
      </w:r>
    </w:p>
    <w:p w14:paraId="3A0436F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（五）城镇中等偏下收入住房困难家庭；</w:t>
      </w:r>
    </w:p>
    <w:p w14:paraId="5E4E078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（六）新就业无房职工；</w:t>
      </w:r>
    </w:p>
    <w:p w14:paraId="2F1BF603">
      <w:pPr>
        <w:spacing w:line="600" w:lineRule="exact"/>
        <w:ind w:left="0" w:leftChars="0" w:firstLine="640" w:firstLineChars="200"/>
        <w:contextualSpacing/>
        <w:rPr>
          <w:rFonts w:hint="eastAsia" w:cs="仿宋"/>
          <w:b w:val="0"/>
          <w:color w:val="000000"/>
          <w:sz w:val="32"/>
          <w:szCs w:val="32"/>
          <w:lang w:val="en-US" w:eastAsia="zh-CN"/>
        </w:rPr>
      </w:pPr>
      <w:r>
        <w:rPr>
          <w:rFonts w:hint="default" w:ascii="仿宋" w:hAnsi="仿宋" w:eastAsia="仿宋" w:cs="仿宋"/>
          <w:b w:val="0"/>
          <w:color w:val="000000"/>
          <w:sz w:val="32"/>
          <w:szCs w:val="32"/>
          <w:lang w:val="en-US" w:eastAsia="zh-CN"/>
        </w:rPr>
        <w:t>（七）在本地就业达到一定年限的外来务工人员</w:t>
      </w:r>
      <w:r>
        <w:rPr>
          <w:rFonts w:hint="eastAsia" w:cs="仿宋"/>
          <w:b w:val="0"/>
          <w:color w:val="000000"/>
          <w:sz w:val="32"/>
          <w:szCs w:val="32"/>
          <w:lang w:val="en-US" w:eastAsia="zh-CN"/>
        </w:rPr>
        <w:t>；</w:t>
      </w:r>
    </w:p>
    <w:p w14:paraId="7E158D3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w:t>
      </w:r>
      <w:r>
        <w:rPr>
          <w:rFonts w:hint="eastAsia" w:ascii="仿宋" w:hAnsi="仿宋" w:eastAsia="仿宋" w:cs="仿宋"/>
          <w:b w:val="0"/>
          <w:color w:val="000000"/>
          <w:sz w:val="32"/>
          <w:szCs w:val="32"/>
          <w:lang w:val="en-US" w:eastAsia="zh-CN"/>
        </w:rPr>
        <w:t>八</w:t>
      </w:r>
      <w:r>
        <w:rPr>
          <w:rFonts w:hint="default" w:ascii="仿宋" w:hAnsi="仿宋" w:eastAsia="仿宋" w:cs="仿宋"/>
          <w:b w:val="0"/>
          <w:color w:val="000000"/>
          <w:sz w:val="32"/>
          <w:szCs w:val="32"/>
          <w:lang w:val="en-US" w:eastAsia="zh-CN"/>
        </w:rPr>
        <w:t>）其他应纳入保障的对象。</w:t>
      </w:r>
    </w:p>
    <w:p w14:paraId="5384085D">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住房困难的城镇分散供养特困人员、低保家庭、低收入家庭、最低生活保障边缘家庭和支出型困难家庭申请公共租赁住房或租赁补贴，应当同时具备下列条件：</w:t>
      </w:r>
    </w:p>
    <w:p w14:paraId="4894EED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（一）申请人具有梅县区城镇户籍（</w:t>
      </w:r>
      <w:r>
        <w:rPr>
          <w:rFonts w:hint="eastAsia" w:cs="仿宋"/>
          <w:b w:val="0"/>
          <w:color w:val="000000"/>
          <w:sz w:val="32"/>
          <w:szCs w:val="32"/>
          <w:lang w:val="en-US" w:eastAsia="zh-CN"/>
        </w:rPr>
        <w:t>以上类别</w:t>
      </w:r>
      <w:r>
        <w:rPr>
          <w:rFonts w:hint="default" w:ascii="仿宋" w:hAnsi="仿宋" w:eastAsia="仿宋" w:cs="仿宋"/>
          <w:b w:val="0"/>
          <w:color w:val="000000"/>
          <w:sz w:val="32"/>
          <w:szCs w:val="32"/>
          <w:lang w:val="en-US" w:eastAsia="zh-CN"/>
        </w:rPr>
        <w:t>家庭包含梅县区城市建成区农村户籍），并在梅县区或者梅州城区居住；</w:t>
      </w:r>
    </w:p>
    <w:p w14:paraId="64FE532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（二）属于梅县区民政部门认定的分散供养特困人员、低保家庭、低收入家庭、最低生活保障边缘家庭和支出型困难家庭；</w:t>
      </w:r>
    </w:p>
    <w:p w14:paraId="4B2E0DD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（三）申请人及共同申请人在梅县区、梅州城区无自有住房，或者自有住房家庭人均住房建筑面积低于15平方米。</w:t>
      </w:r>
    </w:p>
    <w:p w14:paraId="6EFFFEC3">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城镇中等偏下收入住房困难家庭申请公共租赁住房或租赁补贴，应当同时具备下列条件：</w:t>
      </w:r>
    </w:p>
    <w:p w14:paraId="15A0BF2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（一）申请人具有梅县区城镇户籍，并在梅县区或者梅州城区居住；</w:t>
      </w:r>
    </w:p>
    <w:p w14:paraId="4C0626E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highlight w:val="none"/>
          <w:lang w:val="en-US" w:eastAsia="zh-CN"/>
        </w:rPr>
        <w:t>（二）家庭人均年收入低于上年度梅县区城镇居民人均可支配收入；</w:t>
      </w:r>
    </w:p>
    <w:p w14:paraId="38A41D12">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（三）家庭人均资产标准认定按梅州市有关规定执行；</w:t>
      </w:r>
    </w:p>
    <w:p w14:paraId="055BA0D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w:t>
      </w:r>
      <w:r>
        <w:rPr>
          <w:rFonts w:hint="eastAsia" w:ascii="仿宋" w:hAnsi="仿宋" w:eastAsia="仿宋" w:cs="仿宋"/>
          <w:b w:val="0"/>
          <w:color w:val="000000"/>
          <w:sz w:val="32"/>
          <w:szCs w:val="32"/>
          <w:lang w:val="en-US" w:eastAsia="zh-CN"/>
        </w:rPr>
        <w:t>四</w:t>
      </w:r>
      <w:r>
        <w:rPr>
          <w:rFonts w:hint="default" w:ascii="仿宋" w:hAnsi="仿宋" w:eastAsia="仿宋" w:cs="仿宋"/>
          <w:b w:val="0"/>
          <w:color w:val="000000"/>
          <w:sz w:val="32"/>
          <w:szCs w:val="32"/>
          <w:lang w:val="en-US" w:eastAsia="zh-CN"/>
        </w:rPr>
        <w:t>）申请人及共同申请人在梅县区、梅州城区无自有住房，或者自有住房家庭人均住房建筑面积低于15平方米。</w:t>
      </w:r>
    </w:p>
    <w:p w14:paraId="6CB60499">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新就业无房职工申请公共租赁住房应当同时具备下列条件：</w:t>
      </w:r>
    </w:p>
    <w:p w14:paraId="76F2C90E">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（一）具有大、中专以上学历的毕业生，自毕业当月计算起不满5年；</w:t>
      </w:r>
    </w:p>
    <w:p w14:paraId="7A24E3AA">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（二）申请人已与梅县区用人单位签订1年以上（含1年）聘用（劳动）合同，合同履行及连续缴纳社会保险费满3个月以上；</w:t>
      </w:r>
    </w:p>
    <w:p w14:paraId="5BFFC85A">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（三）申请人及共同申请人在梅县区、梅州城区无自有住房，或者自有住房家庭人均住房建筑面积低于15平方米；</w:t>
      </w:r>
    </w:p>
    <w:p w14:paraId="777EE551">
      <w:pPr>
        <w:spacing w:line="600" w:lineRule="exact"/>
        <w:ind w:left="0" w:leftChars="0" w:firstLine="640" w:firstLineChars="200"/>
        <w:contextualSpacing/>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（四）家庭人均年收入低于上年度梅县区城镇居民人均可支配收入</w:t>
      </w:r>
      <w:r>
        <w:rPr>
          <w:rFonts w:hint="eastAsia" w:cs="仿宋"/>
          <w:b w:val="0"/>
          <w:color w:val="000000"/>
          <w:sz w:val="32"/>
          <w:szCs w:val="32"/>
          <w:highlight w:val="none"/>
          <w:lang w:val="en-US" w:eastAsia="zh-CN"/>
        </w:rPr>
        <w:t>的1.5倍</w:t>
      </w:r>
      <w:r>
        <w:rPr>
          <w:rFonts w:hint="default" w:ascii="仿宋" w:hAnsi="仿宋" w:eastAsia="仿宋" w:cs="仿宋"/>
          <w:b w:val="0"/>
          <w:color w:val="000000"/>
          <w:sz w:val="32"/>
          <w:szCs w:val="32"/>
          <w:highlight w:val="none"/>
          <w:lang w:val="en-US" w:eastAsia="zh-CN"/>
        </w:rPr>
        <w:t>；</w:t>
      </w:r>
    </w:p>
    <w:p w14:paraId="3E2F049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（五）申请人及共同申请</w:t>
      </w:r>
      <w:r>
        <w:rPr>
          <w:rFonts w:hint="default" w:ascii="仿宋" w:hAnsi="仿宋" w:eastAsia="仿宋" w:cs="仿宋"/>
          <w:b w:val="0"/>
          <w:color w:val="000000"/>
          <w:kern w:val="2"/>
          <w:sz w:val="32"/>
          <w:szCs w:val="32"/>
          <w:highlight w:val="none"/>
          <w:lang w:val="en-US" w:eastAsia="zh-CN" w:bidi="ar-SA"/>
        </w:rPr>
        <w:t>人</w:t>
      </w:r>
      <w:r>
        <w:rPr>
          <w:rFonts w:hint="eastAsia" w:ascii="仿宋" w:hAnsi="仿宋" w:eastAsia="仿宋" w:cs="仿宋"/>
          <w:b w:val="0"/>
          <w:color w:val="000000"/>
          <w:kern w:val="2"/>
          <w:sz w:val="32"/>
          <w:szCs w:val="32"/>
          <w:highlight w:val="none"/>
          <w:lang w:val="en-US" w:eastAsia="zh-CN" w:bidi="ar-SA"/>
        </w:rPr>
        <w:t>拥有汽车的，汽车价值需低于1</w:t>
      </w:r>
      <w:r>
        <w:rPr>
          <w:rFonts w:hint="eastAsia" w:cs="仿宋"/>
          <w:b w:val="0"/>
          <w:color w:val="000000"/>
          <w:kern w:val="2"/>
          <w:sz w:val="32"/>
          <w:szCs w:val="32"/>
          <w:highlight w:val="none"/>
          <w:lang w:val="en-US" w:eastAsia="zh-CN" w:bidi="ar-SA"/>
        </w:rPr>
        <w:t>0</w:t>
      </w:r>
      <w:r>
        <w:rPr>
          <w:rFonts w:hint="eastAsia" w:ascii="仿宋" w:hAnsi="仿宋" w:eastAsia="仿宋" w:cs="仿宋"/>
          <w:b w:val="0"/>
          <w:color w:val="000000"/>
          <w:kern w:val="2"/>
          <w:sz w:val="32"/>
          <w:szCs w:val="32"/>
          <w:highlight w:val="none"/>
          <w:lang w:val="en-US" w:eastAsia="zh-CN" w:bidi="ar-SA"/>
        </w:rPr>
        <w:t>万元人民币</w:t>
      </w:r>
      <w:r>
        <w:rPr>
          <w:rFonts w:hint="eastAsia" w:ascii="仿宋" w:hAnsi="仿宋" w:eastAsia="仿宋" w:cs="仿宋"/>
          <w:b w:val="0"/>
          <w:color w:val="000000"/>
          <w:sz w:val="32"/>
          <w:szCs w:val="32"/>
          <w:highlight w:val="none"/>
          <w:lang w:val="en-US" w:eastAsia="zh-CN"/>
        </w:rPr>
        <w:t>（以购车发票为准）</w:t>
      </w:r>
      <w:r>
        <w:rPr>
          <w:rFonts w:hint="eastAsia" w:ascii="仿宋" w:hAnsi="仿宋" w:eastAsia="仿宋" w:cs="仿宋"/>
          <w:b w:val="0"/>
          <w:color w:val="000000"/>
          <w:kern w:val="2"/>
          <w:sz w:val="32"/>
          <w:szCs w:val="32"/>
          <w:highlight w:val="none"/>
          <w:lang w:val="en-US" w:eastAsia="zh-CN" w:bidi="ar-SA"/>
        </w:rPr>
        <w:t>，且数量不超过1台</w:t>
      </w:r>
      <w:r>
        <w:rPr>
          <w:rFonts w:hint="default" w:ascii="仿宋" w:hAnsi="仿宋" w:eastAsia="仿宋" w:cs="仿宋"/>
          <w:b w:val="0"/>
          <w:color w:val="000000"/>
          <w:sz w:val="32"/>
          <w:szCs w:val="32"/>
          <w:highlight w:val="none"/>
          <w:lang w:val="en-US" w:eastAsia="zh-CN"/>
        </w:rPr>
        <w:t>；</w:t>
      </w:r>
    </w:p>
    <w:p w14:paraId="590F23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（六）申请人及共同申请人</w:t>
      </w:r>
      <w:r>
        <w:rPr>
          <w:rFonts w:hint="eastAsia" w:ascii="仿宋" w:hAnsi="仿宋" w:eastAsia="仿宋" w:cs="仿宋"/>
          <w:b w:val="0"/>
          <w:color w:val="000000"/>
          <w:sz w:val="32"/>
          <w:szCs w:val="32"/>
          <w:highlight w:val="none"/>
          <w:lang w:val="en-US" w:eastAsia="zh-CN"/>
        </w:rPr>
        <w:t>担任企业（公司）法定代表人（股东）的，企业（公司）注册资本累计不超过</w:t>
      </w:r>
      <w:r>
        <w:rPr>
          <w:rFonts w:hint="eastAsia" w:cs="仿宋"/>
          <w:b w:val="0"/>
          <w:color w:val="000000"/>
          <w:sz w:val="32"/>
          <w:szCs w:val="32"/>
          <w:highlight w:val="none"/>
          <w:lang w:val="en-US" w:eastAsia="zh-CN"/>
        </w:rPr>
        <w:t>5</w:t>
      </w:r>
      <w:r>
        <w:rPr>
          <w:rFonts w:hint="eastAsia" w:ascii="仿宋" w:hAnsi="仿宋" w:eastAsia="仿宋" w:cs="仿宋"/>
          <w:b w:val="0"/>
          <w:color w:val="000000"/>
          <w:sz w:val="32"/>
          <w:szCs w:val="32"/>
          <w:highlight w:val="none"/>
          <w:lang w:val="en-US" w:eastAsia="zh-CN"/>
        </w:rPr>
        <w:t>万元人民币。</w:t>
      </w:r>
    </w:p>
    <w:p w14:paraId="17215A4F">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七</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外来务工人员申请公共租赁住房，应当同时具备下列条件：</w:t>
      </w:r>
    </w:p>
    <w:p w14:paraId="35CE14C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（一）申请人已与梅县区用人单位签订1年以上（含1年）聘用</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劳动</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合同，合同履行及连续缴纳社会保险费满3个月以上；</w:t>
      </w:r>
    </w:p>
    <w:p w14:paraId="1C8E24C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（二）申请人及共同申请人在梅县区、梅州城区无自有住房，或者自有住房家庭人均住房建筑面积低于15平方米；</w:t>
      </w:r>
    </w:p>
    <w:p w14:paraId="23140178">
      <w:pPr>
        <w:spacing w:line="600" w:lineRule="exact"/>
        <w:ind w:left="0" w:leftChars="0" w:firstLine="640" w:firstLineChars="200"/>
        <w:contextualSpacing/>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（三）家庭人均年收入低于上年度梅县区城镇居民人均可支配收入</w:t>
      </w:r>
      <w:r>
        <w:rPr>
          <w:rFonts w:hint="eastAsia" w:cs="仿宋"/>
          <w:b w:val="0"/>
          <w:color w:val="000000"/>
          <w:sz w:val="32"/>
          <w:szCs w:val="32"/>
          <w:highlight w:val="none"/>
          <w:lang w:val="en-US" w:eastAsia="zh-CN"/>
        </w:rPr>
        <w:t>的1.5倍</w:t>
      </w:r>
      <w:r>
        <w:rPr>
          <w:rFonts w:hint="default" w:ascii="仿宋" w:hAnsi="仿宋" w:eastAsia="仿宋" w:cs="仿宋"/>
          <w:b w:val="0"/>
          <w:color w:val="000000"/>
          <w:sz w:val="32"/>
          <w:szCs w:val="32"/>
          <w:highlight w:val="none"/>
          <w:lang w:val="en-US" w:eastAsia="zh-CN"/>
        </w:rPr>
        <w:t>；</w:t>
      </w:r>
    </w:p>
    <w:p w14:paraId="1639FB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w:t>
      </w:r>
      <w:r>
        <w:rPr>
          <w:rFonts w:hint="eastAsia" w:cs="仿宋"/>
          <w:b w:val="0"/>
          <w:color w:val="000000"/>
          <w:sz w:val="32"/>
          <w:szCs w:val="32"/>
          <w:highlight w:val="none"/>
          <w:lang w:val="en-US" w:eastAsia="zh-CN"/>
        </w:rPr>
        <w:t>四</w:t>
      </w:r>
      <w:r>
        <w:rPr>
          <w:rFonts w:hint="default" w:ascii="仿宋" w:hAnsi="仿宋" w:eastAsia="仿宋" w:cs="仿宋"/>
          <w:b w:val="0"/>
          <w:color w:val="000000"/>
          <w:sz w:val="32"/>
          <w:szCs w:val="32"/>
          <w:highlight w:val="none"/>
          <w:lang w:val="en-US" w:eastAsia="zh-CN"/>
        </w:rPr>
        <w:t>）申请人及共同申请</w:t>
      </w:r>
      <w:r>
        <w:rPr>
          <w:rFonts w:hint="default" w:ascii="仿宋" w:hAnsi="仿宋" w:eastAsia="仿宋" w:cs="仿宋"/>
          <w:b w:val="0"/>
          <w:color w:val="000000"/>
          <w:kern w:val="2"/>
          <w:sz w:val="32"/>
          <w:szCs w:val="32"/>
          <w:highlight w:val="none"/>
          <w:lang w:val="en-US" w:eastAsia="zh-CN" w:bidi="ar-SA"/>
        </w:rPr>
        <w:t>人</w:t>
      </w:r>
      <w:r>
        <w:rPr>
          <w:rFonts w:hint="eastAsia" w:ascii="仿宋" w:hAnsi="仿宋" w:eastAsia="仿宋" w:cs="仿宋"/>
          <w:b w:val="0"/>
          <w:color w:val="000000"/>
          <w:kern w:val="2"/>
          <w:sz w:val="32"/>
          <w:szCs w:val="32"/>
          <w:highlight w:val="none"/>
          <w:lang w:val="en-US" w:eastAsia="zh-CN" w:bidi="ar-SA"/>
        </w:rPr>
        <w:t>拥有汽车的，汽车价值需低于1</w:t>
      </w:r>
      <w:r>
        <w:rPr>
          <w:rFonts w:hint="eastAsia" w:cs="仿宋"/>
          <w:b w:val="0"/>
          <w:color w:val="000000"/>
          <w:kern w:val="2"/>
          <w:sz w:val="32"/>
          <w:szCs w:val="32"/>
          <w:highlight w:val="none"/>
          <w:lang w:val="en-US" w:eastAsia="zh-CN" w:bidi="ar-SA"/>
        </w:rPr>
        <w:t>0</w:t>
      </w:r>
      <w:r>
        <w:rPr>
          <w:rFonts w:hint="eastAsia" w:ascii="仿宋" w:hAnsi="仿宋" w:eastAsia="仿宋" w:cs="仿宋"/>
          <w:b w:val="0"/>
          <w:color w:val="000000"/>
          <w:kern w:val="2"/>
          <w:sz w:val="32"/>
          <w:szCs w:val="32"/>
          <w:highlight w:val="none"/>
          <w:lang w:val="en-US" w:eastAsia="zh-CN" w:bidi="ar-SA"/>
        </w:rPr>
        <w:t>万元人民币</w:t>
      </w:r>
      <w:r>
        <w:rPr>
          <w:rFonts w:hint="eastAsia" w:ascii="仿宋" w:hAnsi="仿宋" w:eastAsia="仿宋" w:cs="仿宋"/>
          <w:b w:val="0"/>
          <w:color w:val="000000"/>
          <w:sz w:val="32"/>
          <w:szCs w:val="32"/>
          <w:highlight w:val="none"/>
          <w:lang w:val="en-US" w:eastAsia="zh-CN"/>
        </w:rPr>
        <w:t>（以购车发票为准）</w:t>
      </w:r>
      <w:r>
        <w:rPr>
          <w:rFonts w:hint="eastAsia" w:ascii="仿宋" w:hAnsi="仿宋" w:eastAsia="仿宋" w:cs="仿宋"/>
          <w:b w:val="0"/>
          <w:color w:val="000000"/>
          <w:kern w:val="2"/>
          <w:sz w:val="32"/>
          <w:szCs w:val="32"/>
          <w:highlight w:val="none"/>
          <w:lang w:val="en-US" w:eastAsia="zh-CN" w:bidi="ar-SA"/>
        </w:rPr>
        <w:t>，且数量不超过1台</w:t>
      </w:r>
      <w:r>
        <w:rPr>
          <w:rFonts w:hint="default" w:ascii="仿宋" w:hAnsi="仿宋" w:eastAsia="仿宋" w:cs="仿宋"/>
          <w:b w:val="0"/>
          <w:color w:val="000000"/>
          <w:sz w:val="32"/>
          <w:szCs w:val="32"/>
          <w:highlight w:val="none"/>
          <w:lang w:val="en-US" w:eastAsia="zh-CN"/>
        </w:rPr>
        <w:t>；</w:t>
      </w:r>
    </w:p>
    <w:p w14:paraId="43089C8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b w:val="0"/>
          <w:color w:val="000000"/>
          <w:sz w:val="32"/>
          <w:szCs w:val="32"/>
          <w:highlight w:val="none"/>
          <w:lang w:val="en-US" w:eastAsia="zh-CN"/>
        </w:rPr>
      </w:pPr>
      <w:r>
        <w:rPr>
          <w:rFonts w:hint="default" w:ascii="仿宋" w:hAnsi="仿宋" w:eastAsia="仿宋" w:cs="仿宋"/>
          <w:b w:val="0"/>
          <w:color w:val="000000"/>
          <w:sz w:val="32"/>
          <w:szCs w:val="32"/>
          <w:highlight w:val="none"/>
          <w:lang w:val="en-US" w:eastAsia="zh-CN"/>
        </w:rPr>
        <w:t>（</w:t>
      </w:r>
      <w:r>
        <w:rPr>
          <w:rFonts w:hint="eastAsia" w:cs="仿宋"/>
          <w:b w:val="0"/>
          <w:color w:val="000000"/>
          <w:sz w:val="32"/>
          <w:szCs w:val="32"/>
          <w:highlight w:val="none"/>
          <w:lang w:val="en-US" w:eastAsia="zh-CN"/>
        </w:rPr>
        <w:t>五</w:t>
      </w:r>
      <w:r>
        <w:rPr>
          <w:rFonts w:hint="default" w:ascii="仿宋" w:hAnsi="仿宋" w:eastAsia="仿宋" w:cs="仿宋"/>
          <w:b w:val="0"/>
          <w:color w:val="000000"/>
          <w:sz w:val="32"/>
          <w:szCs w:val="32"/>
          <w:highlight w:val="none"/>
          <w:lang w:val="en-US" w:eastAsia="zh-CN"/>
        </w:rPr>
        <w:t>）申请人及共同申请人</w:t>
      </w:r>
      <w:r>
        <w:rPr>
          <w:rFonts w:hint="eastAsia" w:ascii="仿宋" w:hAnsi="仿宋" w:eastAsia="仿宋" w:cs="仿宋"/>
          <w:b w:val="0"/>
          <w:color w:val="000000"/>
          <w:sz w:val="32"/>
          <w:szCs w:val="32"/>
          <w:highlight w:val="none"/>
          <w:lang w:val="en-US" w:eastAsia="zh-CN"/>
        </w:rPr>
        <w:t>担任企业（公司）法定代表人（股东）的，企业（公司）注册资本累计不超过</w:t>
      </w:r>
      <w:r>
        <w:rPr>
          <w:rFonts w:hint="eastAsia" w:cs="仿宋"/>
          <w:b w:val="0"/>
          <w:color w:val="000000"/>
          <w:sz w:val="32"/>
          <w:szCs w:val="32"/>
          <w:highlight w:val="none"/>
          <w:lang w:val="en-US" w:eastAsia="zh-CN"/>
        </w:rPr>
        <w:t>5</w:t>
      </w:r>
      <w:r>
        <w:rPr>
          <w:rFonts w:hint="eastAsia" w:ascii="仿宋" w:hAnsi="仿宋" w:eastAsia="仿宋" w:cs="仿宋"/>
          <w:b w:val="0"/>
          <w:color w:val="000000"/>
          <w:sz w:val="32"/>
          <w:szCs w:val="32"/>
          <w:highlight w:val="none"/>
          <w:lang w:val="en-US" w:eastAsia="zh-CN"/>
        </w:rPr>
        <w:t>万元人民币。</w:t>
      </w:r>
    </w:p>
    <w:p w14:paraId="489CF191">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八</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申请公共租赁住房或租赁补贴的，须符合以下情形：</w:t>
      </w:r>
    </w:p>
    <w:p w14:paraId="28DEC8A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（一）申请人及共同申请人在申请之日前5年内没有出售或赠与房产，且申请时未享受其他住房优惠、保障政策（能提供证明申请人及其家庭成员因患有重大疾病出售房产用于治病的，不受此限制）；</w:t>
      </w:r>
    </w:p>
    <w:p w14:paraId="21C11AEE">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（二）未被人民法院依法判定为在接受慈善组织资助中承担责任的失信受益人。</w:t>
      </w:r>
    </w:p>
    <w:p w14:paraId="614982A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第十</w:t>
      </w:r>
      <w:r>
        <w:rPr>
          <w:rFonts w:hint="eastAsia" w:cs="仿宋"/>
          <w:b/>
          <w:bCs/>
          <w:color w:val="000000"/>
          <w:sz w:val="32"/>
          <w:szCs w:val="32"/>
          <w:lang w:val="en-US" w:eastAsia="zh-CN"/>
        </w:rPr>
        <w:t>九</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申请公共租赁住房或租赁补贴以家庭为申请单位，应当指定一名具有完全民事行为能力的家庭成员为申请人，其他共同居住、共同生活的家庭成员作为共同申请人。</w:t>
      </w:r>
    </w:p>
    <w:p w14:paraId="244ABF3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无民事行为能力或患有精神疾病的成年人，无独立生活能力的重度残疾人员、未成年人等需监护人照顾其生活起居的，须由其监护人代为申请。监护人未共同居住、共同生活的，不予安排实物配租，只发放租赁补贴。</w:t>
      </w:r>
    </w:p>
    <w:p w14:paraId="5BBA3AFB">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第二十条 </w:t>
      </w:r>
      <w:r>
        <w:rPr>
          <w:rFonts w:hint="default" w:ascii="仿宋" w:hAnsi="仿宋" w:eastAsia="仿宋" w:cs="仿宋"/>
          <w:b w:val="0"/>
          <w:color w:val="000000"/>
          <w:sz w:val="32"/>
          <w:szCs w:val="32"/>
          <w:lang w:val="en-US" w:eastAsia="zh-CN"/>
        </w:rPr>
        <w:t>申请人申请公共租赁住房或租赁补贴，应当按照规定提交申请材料，并对提供的材料真实性负责。</w:t>
      </w:r>
    </w:p>
    <w:p w14:paraId="14E00FB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申请公共租赁住房或租赁补贴所需提交材料目录，由区住房保障主管部门按照方便群众办事的原则另行规定，并向社会公布。</w:t>
      </w:r>
    </w:p>
    <w:p w14:paraId="59CCC184">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一</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申请公共租赁住房或租赁补贴由申请人向户籍所在地或就业所在地镇人民政府（高管会、办事处）提出。</w:t>
      </w:r>
    </w:p>
    <w:p w14:paraId="6069B29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申请人可通过线下服务窗口或网上办事大厅申请。</w:t>
      </w:r>
    </w:p>
    <w:p w14:paraId="5B108D23">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镇人民政府（高管会、办事处）受理申请后，应当对申请人的户籍、家庭收入、财产、住房状况等情况进行初审，并将初审情况报送区住房保障主管部门审核。</w:t>
      </w:r>
    </w:p>
    <w:p w14:paraId="473A3422">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通过网上办事大厅受理的申请，由承办单位转送户籍或就业所在地镇人民政府（高管会、办事处）进行初审。</w:t>
      </w:r>
    </w:p>
    <w:p w14:paraId="2E7B8EB2">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区住房保障主管部门应将通过初审的城镇分散供养特困人员、低保家庭、低收入家庭、最低生活保障边缘困难家庭和支出型困难家庭名单及相关材料转送区民政部门，由其对申请人家庭的收入、财产等条件进行审核，并将审核结果在5个工作日内反馈区住房保障主管部门。由区住房保障主管部门对申请人的住房状况进行审核。</w:t>
      </w:r>
    </w:p>
    <w:p w14:paraId="5E2D47D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通过初审的城镇中等偏下收入家庭，由区住房保障主管部门会同区民政部门对申请人家庭的收入、财产、住房等情况进行审核。</w:t>
      </w:r>
    </w:p>
    <w:p w14:paraId="75602CA0">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区住房保障主管部门和区保障中心可以通过入户调查、邻里访问、信函索证、信息查证等方式，对申请人及其家庭成员的收入、车辆、存款、有价证券等有关财产情况进行调查核实。公安、银行、证券、自然资源、市场监管、政务服务数据管理、税务、社保、住房公积金管理等部门根据各自职责，依法提供相关政务数据或出具申请人有关财产证明。</w:t>
      </w:r>
    </w:p>
    <w:p w14:paraId="384AAE20">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或租赁补贴申请的审核结果，由区住房保障主管部门通过门户网站和受理的镇人民政府（高管会、办事处）在办公场所予以公示，公示期不少于20日。公示期内，对公示内容有异议的单位和个人，应当以书面形式提出。区住房保障主管部门会同相关单位对异议进行核实，在10个工作日内公布核实结果。</w:t>
      </w:r>
    </w:p>
    <w:p w14:paraId="7019D28A">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拒不配合审查、经审查不合格或者公示期内有异议经核实成立的，由镇人民政府（高管会、办事处）退回申请，并书面说明理由。</w:t>
      </w:r>
    </w:p>
    <w:p w14:paraId="22602709">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章 租赁补贴发放</w:t>
      </w:r>
    </w:p>
    <w:p w14:paraId="32D6985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租赁补贴标准按照人均保障建筑面积、家庭人口、收入水平、区域等因素确定，实行动态化管理。区住房保障主管部门应当根据本地区实际情况适时调整租赁补贴标准，报区政府批准后公布实施。</w:t>
      </w:r>
    </w:p>
    <w:p w14:paraId="493B135A">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租赁补贴以户为单位，每户每月补贴金额按下式计算：</w:t>
      </w:r>
    </w:p>
    <w:p w14:paraId="01CDC1F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补贴额=租金标准×户型建筑面积×补贴系数</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其中：</w:t>
      </w:r>
    </w:p>
    <w:p w14:paraId="3A5291F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（一）租金标准：按梅州市梅县区租赁住房市场评估均价执行，每3年调整一次；</w:t>
      </w:r>
    </w:p>
    <w:p w14:paraId="14BBA06D">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（二）户型建筑面积标准：按现有公共租赁住房户型建筑面积确定人均20平方米标准，以户为单位确定。以家庭人口3人以上（含3人）</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2人</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1人为单位</w:t>
      </w:r>
      <w:r>
        <w:rPr>
          <w:rFonts w:hint="eastAsia" w:cs="仿宋"/>
          <w:b w:val="0"/>
          <w:color w:val="000000"/>
          <w:sz w:val="32"/>
          <w:szCs w:val="32"/>
          <w:lang w:val="en-US" w:eastAsia="zh-CN"/>
        </w:rPr>
        <w:t>，</w:t>
      </w:r>
      <w:r>
        <w:rPr>
          <w:rFonts w:hint="default" w:ascii="仿宋" w:hAnsi="仿宋" w:eastAsia="仿宋" w:cs="仿宋"/>
          <w:b w:val="0"/>
          <w:color w:val="000000"/>
          <w:sz w:val="32"/>
          <w:szCs w:val="32"/>
          <w:lang w:val="en-US" w:eastAsia="zh-CN"/>
        </w:rPr>
        <w:t>分别与户型建筑面积60平方米、40平方米、20平方米相对应，最高不超过60平方米；</w:t>
      </w:r>
    </w:p>
    <w:p w14:paraId="3C9E2AC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（三）补贴系数：低保、低收入、中等偏低收入住房困难家庭按照分档补贴的原则，补贴系数分别为0.9、0.</w:t>
      </w:r>
      <w:r>
        <w:rPr>
          <w:rFonts w:hint="eastAsia" w:ascii="仿宋" w:hAnsi="仿宋" w:eastAsia="仿宋" w:cs="仿宋"/>
          <w:b w:val="0"/>
          <w:color w:val="000000"/>
          <w:sz w:val="32"/>
          <w:szCs w:val="32"/>
          <w:lang w:val="en-US" w:eastAsia="zh-CN"/>
        </w:rPr>
        <w:t>7</w:t>
      </w:r>
      <w:r>
        <w:rPr>
          <w:rFonts w:hint="default" w:ascii="仿宋" w:hAnsi="仿宋" w:eastAsia="仿宋" w:cs="仿宋"/>
          <w:b w:val="0"/>
          <w:color w:val="000000"/>
          <w:sz w:val="32"/>
          <w:szCs w:val="32"/>
          <w:lang w:val="en-US" w:eastAsia="zh-CN"/>
        </w:rPr>
        <w:t>、0.</w:t>
      </w:r>
      <w:r>
        <w:rPr>
          <w:rFonts w:hint="eastAsia" w:ascii="仿宋" w:hAnsi="仿宋" w:eastAsia="仿宋" w:cs="仿宋"/>
          <w:b w:val="0"/>
          <w:color w:val="000000"/>
          <w:sz w:val="32"/>
          <w:szCs w:val="32"/>
          <w:lang w:val="en-US" w:eastAsia="zh-CN"/>
        </w:rPr>
        <w:t>5</w:t>
      </w:r>
      <w:r>
        <w:rPr>
          <w:rFonts w:hint="default" w:ascii="仿宋" w:hAnsi="仿宋" w:eastAsia="仿宋" w:cs="仿宋"/>
          <w:b w:val="0"/>
          <w:color w:val="000000"/>
          <w:sz w:val="32"/>
          <w:szCs w:val="32"/>
          <w:lang w:val="en-US" w:eastAsia="zh-CN"/>
        </w:rPr>
        <w:t>。</w:t>
      </w:r>
    </w:p>
    <w:p w14:paraId="33EAEE70">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租赁补贴总金额不超过保障对象家庭实际租房的房租，以</w:t>
      </w:r>
      <w:r>
        <w:rPr>
          <w:rFonts w:hint="eastAsia" w:ascii="仿宋" w:hAnsi="仿宋" w:eastAsia="仿宋" w:cs="仿宋"/>
          <w:b w:val="0"/>
          <w:color w:val="000000"/>
          <w:sz w:val="32"/>
          <w:szCs w:val="32"/>
          <w:lang w:val="en-US" w:eastAsia="zh-CN"/>
        </w:rPr>
        <w:t>租金缴纳凭证</w:t>
      </w:r>
      <w:r>
        <w:rPr>
          <w:rFonts w:hint="default" w:ascii="仿宋" w:hAnsi="仿宋" w:eastAsia="仿宋" w:cs="仿宋"/>
          <w:b w:val="0"/>
          <w:color w:val="000000"/>
          <w:sz w:val="32"/>
          <w:szCs w:val="32"/>
          <w:lang w:val="en-US" w:eastAsia="zh-CN"/>
        </w:rPr>
        <w:t>为标准。</w:t>
      </w:r>
    </w:p>
    <w:p w14:paraId="0FB8B7F4">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第二十</w:t>
      </w:r>
      <w:r>
        <w:rPr>
          <w:rFonts w:hint="eastAsia" w:cs="仿宋"/>
          <w:b/>
          <w:bCs/>
          <w:color w:val="000000"/>
          <w:sz w:val="32"/>
          <w:szCs w:val="32"/>
          <w:lang w:val="en-US" w:eastAsia="zh-CN"/>
        </w:rPr>
        <w:t>七</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租赁补贴按季度发放。</w:t>
      </w:r>
      <w:r>
        <w:rPr>
          <w:rFonts w:hint="eastAsia" w:cs="仿宋"/>
          <w:b w:val="0"/>
          <w:color w:val="000000"/>
          <w:sz w:val="32"/>
          <w:szCs w:val="32"/>
          <w:highlight w:val="none"/>
          <w:lang w:val="en-US" w:eastAsia="zh-CN"/>
        </w:rPr>
        <w:t>经审核同意后次月起</w:t>
      </w:r>
      <w:r>
        <w:rPr>
          <w:rFonts w:hint="default" w:ascii="仿宋" w:hAnsi="仿宋" w:eastAsia="仿宋" w:cs="仿宋"/>
          <w:b w:val="0"/>
          <w:color w:val="000000"/>
          <w:sz w:val="32"/>
          <w:szCs w:val="32"/>
          <w:highlight w:val="none"/>
          <w:lang w:val="en-US" w:eastAsia="zh-CN"/>
        </w:rPr>
        <w:t>由</w:t>
      </w:r>
      <w:r>
        <w:rPr>
          <w:rFonts w:hint="default" w:ascii="仿宋" w:hAnsi="仿宋" w:eastAsia="仿宋" w:cs="仿宋"/>
          <w:b w:val="0"/>
          <w:color w:val="000000"/>
          <w:sz w:val="32"/>
          <w:szCs w:val="32"/>
          <w:lang w:val="en-US" w:eastAsia="zh-CN"/>
        </w:rPr>
        <w:t>区住房保障部门对经审核符合条件的申请人按季度发放租赁补贴，发放情况以适当方式公布。</w:t>
      </w:r>
    </w:p>
    <w:p w14:paraId="22E980DE">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租赁补贴申请家庭应与房屋产权人或其委托人签订租赁合同，凭房屋租赁合同、房屋权属证明、</w:t>
      </w:r>
      <w:r>
        <w:rPr>
          <w:rFonts w:hint="eastAsia" w:ascii="仿宋" w:hAnsi="仿宋" w:eastAsia="仿宋" w:cs="仿宋"/>
          <w:b w:val="0"/>
          <w:color w:val="000000"/>
          <w:sz w:val="32"/>
          <w:szCs w:val="32"/>
          <w:lang w:val="en-US" w:eastAsia="zh-CN"/>
        </w:rPr>
        <w:t>租金缴纳凭证</w:t>
      </w:r>
      <w:r>
        <w:rPr>
          <w:rFonts w:hint="default" w:ascii="仿宋" w:hAnsi="仿宋" w:eastAsia="仿宋" w:cs="仿宋"/>
          <w:b w:val="0"/>
          <w:color w:val="000000"/>
          <w:sz w:val="32"/>
          <w:szCs w:val="32"/>
          <w:lang w:val="en-US" w:eastAsia="zh-CN"/>
        </w:rPr>
        <w:t>等材料领取租赁补贴。</w:t>
      </w:r>
    </w:p>
    <w:p w14:paraId="0AD5A854">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章 轮候配租</w:t>
      </w:r>
    </w:p>
    <w:p w14:paraId="46062532">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八</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区住房保障主管部门应当建立公共租赁住房轮候册，经审核符合条件的公共租赁住房申请人按照审核公示通过的时间确定轮候顺序，列入轮候册，并将轮候信息在梅县区政府网站公开。轮候时间原则上为2年，最长不超过3年。</w:t>
      </w:r>
    </w:p>
    <w:p w14:paraId="607779E8">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九</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公共租赁住房的实物配租轮候排序，按照列入轮候册时间的先后以及是否属于优先保障家庭等因素确定，具体排序为：</w:t>
      </w:r>
    </w:p>
    <w:p w14:paraId="7DDB39B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（一）城镇分散供养特困人员、低保家庭，见义勇为人员、二级以上（含二级）残疾人员、复转军人、单亲家庭、消防救援人员以及享受国家定期抚恤补助的优抚对象等优先保障家庭；</w:t>
      </w:r>
    </w:p>
    <w:p w14:paraId="094063E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（二）低收入家庭、最低生活保障边缘家庭和支出型困难家庭；</w:t>
      </w:r>
    </w:p>
    <w:p w14:paraId="3E8B208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（三）上年度未获保障家庭；</w:t>
      </w:r>
    </w:p>
    <w:p w14:paraId="1C02160E">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（四）本年度通过审核的其他家庭。</w:t>
      </w:r>
    </w:p>
    <w:p w14:paraId="08C89BA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同一保障次序中，多人口家庭优先配租。</w:t>
      </w:r>
    </w:p>
    <w:p w14:paraId="306AFD7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轮候2年未获得实物配租的家庭，在有可供分配房源的前提下，应优先在第3年予以实物配租，但放弃实物配租的除外。</w:t>
      </w:r>
    </w:p>
    <w:p w14:paraId="5D87DDC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依法被征收个人住宅且被征收人符合住房保障条件的，不受轮候限制，优先给予实物配租。</w:t>
      </w:r>
    </w:p>
    <w:p w14:paraId="108D3C13">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第三十条</w:t>
      </w:r>
      <w:r>
        <w:rPr>
          <w:rFonts w:hint="default" w:ascii="仿宋" w:hAnsi="仿宋" w:eastAsia="仿宋" w:cs="仿宋"/>
          <w:b w:val="0"/>
          <w:color w:val="000000"/>
          <w:sz w:val="32"/>
          <w:szCs w:val="32"/>
          <w:lang w:val="en-US" w:eastAsia="zh-CN"/>
        </w:rPr>
        <w:t> 轮候期间，申请人由于家庭成员、户籍、收入、财产及住房等情况发生变化，应当在情况发生变化之日起30日内如实向区住房保障主管部门申报。经审核，申请人不再符合规定条件的，区住房保障主管部门应当取消其轮候资格，并书面告知。</w:t>
      </w:r>
    </w:p>
    <w:p w14:paraId="4244B0BB">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一</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轮候超过1年的，区住房保障主管部门应当对申请人是否符合规定条件重新审核，申请人应当予以配合。经审核，申请人仍然符合规定条件的，其原轮候顺序不变；不再符合规定条件的，取消其轮候资格，并书面告知。</w:t>
      </w:r>
    </w:p>
    <w:p w14:paraId="6BFAF2BC">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条 </w:t>
      </w:r>
      <w:r>
        <w:rPr>
          <w:rFonts w:hint="default" w:ascii="仿宋" w:hAnsi="仿宋" w:eastAsia="仿宋" w:cs="仿宋"/>
          <w:b w:val="0"/>
          <w:color w:val="000000"/>
          <w:sz w:val="32"/>
          <w:szCs w:val="32"/>
          <w:lang w:val="en-US" w:eastAsia="zh-CN"/>
        </w:rPr>
        <w:t>区住房保障主管部门根据本年度可供分配的公共租赁住房房源及申请人配租轮候顺序情况，制定公共租赁住房配租方案。配租方案应当明确配租原则、拟配租的申请人类别及各类配租房源数量、租金标准、物业服务收费标准等内容。配租方案应向社会公布。</w:t>
      </w:r>
    </w:p>
    <w:p w14:paraId="20589D2D">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每个符合公共租赁住房保障条件的家庭原则上只能承租一套公共租赁住房。配租房型与申请人家庭人口相对应，原则上2人以下（含2人）家庭分配一房一厅，3人以上（含3人）家庭分配二房一厅。具体房型分配原则，以公布的分配方案为准。</w:t>
      </w:r>
    </w:p>
    <w:p w14:paraId="673CD3C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区住房保障主管部门根据配租方案，通过抽签或摇号等方式进行配租，配租结果经公示7日无异议或异议不成立的，确定承租对象，将承租对象相关资料移交区保障中心办理入住手续。</w:t>
      </w:r>
    </w:p>
    <w:p w14:paraId="2F56C13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行动不便的残疾人、老年人等享有优先选择出入方便、楼层较低公共租赁住房的权利。</w:t>
      </w:r>
    </w:p>
    <w:p w14:paraId="451C03D1">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申请人及共同申请人已居住直管公房，经审核符合公共租赁住房保障条件，愿意继续承租该直管公房的，由</w:t>
      </w:r>
      <w:r>
        <w:rPr>
          <w:rFonts w:hint="eastAsia" w:ascii="仿宋" w:hAnsi="仿宋" w:eastAsia="仿宋" w:cs="仿宋"/>
          <w:b w:val="0"/>
          <w:color w:val="000000"/>
          <w:sz w:val="32"/>
          <w:szCs w:val="32"/>
          <w:lang w:val="en-US" w:eastAsia="zh-CN"/>
        </w:rPr>
        <w:t>区住房保障主管部门</w:t>
      </w:r>
      <w:r>
        <w:rPr>
          <w:rFonts w:hint="default" w:ascii="仿宋" w:hAnsi="仿宋" w:eastAsia="仿宋" w:cs="仿宋"/>
          <w:b w:val="0"/>
          <w:color w:val="000000"/>
          <w:sz w:val="32"/>
          <w:szCs w:val="32"/>
          <w:lang w:val="en-US" w:eastAsia="zh-CN"/>
        </w:rPr>
        <w:t>视房源和需求等实际情况，将直管公房纳入公共租赁住房管理，建筑面积超出保障面积的部分按照市场租金收取；不愿继续承租该直管公房的，按照规定轮候配租。</w:t>
      </w:r>
    </w:p>
    <w:p w14:paraId="0F7AEE2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申请人有下列情形之一的，视同放弃配租资格，重新轮候：</w:t>
      </w:r>
    </w:p>
    <w:p w14:paraId="73AA32CF">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（一）未按要求参加抽签（摇号），或已抽签（摇号）但放弃所抽得的房源的；</w:t>
      </w:r>
    </w:p>
    <w:p w14:paraId="6A4AECED">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（二）已选定房源但未在规定时间内签订租赁合同的；</w:t>
      </w:r>
    </w:p>
    <w:p w14:paraId="7B7C581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（三）其他放弃配租资格的情形。</w:t>
      </w:r>
    </w:p>
    <w:p w14:paraId="28E2156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中等偏下及以下收入住房困难家庭两次放弃实物配租的，采取租赁补贴方式予以保障；其他申请人从第二次放弃实物配租之日起重新开始申请。</w:t>
      </w:r>
    </w:p>
    <w:p w14:paraId="2542C3D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有闲置房源的地方</w:t>
      </w:r>
      <w:r>
        <w:rPr>
          <w:rFonts w:hint="eastAsia" w:cs="仿宋"/>
          <w:b w:val="0"/>
          <w:color w:val="000000"/>
          <w:sz w:val="32"/>
          <w:szCs w:val="32"/>
          <w:lang w:val="en-US" w:eastAsia="zh-CN"/>
        </w:rPr>
        <w:t>优先</w:t>
      </w:r>
      <w:r>
        <w:rPr>
          <w:rFonts w:hint="default" w:ascii="仿宋" w:hAnsi="仿宋" w:eastAsia="仿宋" w:cs="仿宋"/>
          <w:b w:val="0"/>
          <w:color w:val="000000"/>
          <w:sz w:val="32"/>
          <w:szCs w:val="32"/>
          <w:lang w:val="en-US" w:eastAsia="zh-CN"/>
        </w:rPr>
        <w:t>以实物配租解决</w:t>
      </w:r>
      <w:bookmarkStart w:id="0" w:name="_GoBack"/>
      <w:bookmarkEnd w:id="0"/>
      <w:r>
        <w:rPr>
          <w:rFonts w:hint="default" w:ascii="仿宋" w:hAnsi="仿宋" w:eastAsia="仿宋" w:cs="仿宋"/>
          <w:b w:val="0"/>
          <w:color w:val="000000"/>
          <w:sz w:val="32"/>
          <w:szCs w:val="32"/>
          <w:lang w:val="en-US" w:eastAsia="zh-CN"/>
        </w:rPr>
        <w:t>。</w:t>
      </w:r>
    </w:p>
    <w:p w14:paraId="7735AE73">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第三十</w:t>
      </w:r>
      <w:r>
        <w:rPr>
          <w:rFonts w:hint="eastAsia" w:cs="仿宋"/>
          <w:b/>
          <w:bCs/>
          <w:color w:val="000000"/>
          <w:sz w:val="32"/>
          <w:szCs w:val="32"/>
          <w:lang w:val="en-US" w:eastAsia="zh-CN"/>
        </w:rPr>
        <w:t>七</w:t>
      </w:r>
      <w:r>
        <w:rPr>
          <w:rFonts w:hint="default" w:ascii="仿宋" w:hAnsi="仿宋" w:eastAsia="仿宋" w:cs="仿宋"/>
          <w:b/>
          <w:bCs/>
          <w:color w:val="000000"/>
          <w:sz w:val="32"/>
          <w:szCs w:val="32"/>
          <w:lang w:val="en-US" w:eastAsia="zh-CN"/>
        </w:rPr>
        <w:t>条 </w:t>
      </w:r>
      <w:r>
        <w:rPr>
          <w:rFonts w:hint="default" w:ascii="仿宋" w:hAnsi="仿宋" w:eastAsia="仿宋" w:cs="仿宋"/>
          <w:b w:val="0"/>
          <w:color w:val="000000"/>
          <w:sz w:val="32"/>
          <w:szCs w:val="32"/>
          <w:lang w:val="en-US" w:eastAsia="zh-CN"/>
        </w:rPr>
        <w:t>社会力量投资建设的公共租赁住房，由业主或业主委托的运营管理机构负责配租，并将公共租赁住房配租结果报区住房保障主管部门备案。</w:t>
      </w:r>
    </w:p>
    <w:p w14:paraId="27025117">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 xml:space="preserve">章 </w:t>
      </w:r>
      <w:r>
        <w:rPr>
          <w:rFonts w:hint="eastAsia" w:cs="仿宋"/>
          <w:b/>
          <w:bCs/>
          <w:color w:val="000000"/>
          <w:sz w:val="32"/>
          <w:szCs w:val="32"/>
          <w:lang w:val="en-US" w:eastAsia="zh-CN"/>
        </w:rPr>
        <w:t>后续</w:t>
      </w:r>
      <w:r>
        <w:rPr>
          <w:rFonts w:hint="default" w:ascii="仿宋" w:hAnsi="仿宋" w:eastAsia="仿宋" w:cs="仿宋"/>
          <w:b/>
          <w:bCs/>
          <w:color w:val="000000"/>
          <w:sz w:val="32"/>
          <w:szCs w:val="32"/>
          <w:lang w:val="en-US" w:eastAsia="zh-CN"/>
        </w:rPr>
        <w:t>管理</w:t>
      </w:r>
    </w:p>
    <w:p w14:paraId="3D48417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八</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根据保障对象类别，公共租赁住房租金按同期同区域同类型住房市场租金的一定比例收取：</w:t>
      </w:r>
    </w:p>
    <w:p w14:paraId="50C3147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（一）分散供养特困人员免收租金；</w:t>
      </w:r>
    </w:p>
    <w:p w14:paraId="5497B3D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（二）低保家庭按照市场租金标准的10%收取；</w:t>
      </w:r>
    </w:p>
    <w:p w14:paraId="659870D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（三）低收入家庭、最低生活保障边缘家庭和支出型困难家庭按照市场租金标准的30%收取；</w:t>
      </w:r>
    </w:p>
    <w:p w14:paraId="5F68110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（四）中等偏下收入家庭按照市场租金标准的50%收取；</w:t>
      </w:r>
    </w:p>
    <w:p w14:paraId="5034761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（五）新就业无房职工和外来务工人员按照市场租金标准的70%收取。</w:t>
      </w:r>
    </w:p>
    <w:p w14:paraId="602D6F5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60周岁以上且符合住房保障条件的无收入或者具有低保资格的孤寡老人，可免交租金。</w:t>
      </w:r>
    </w:p>
    <w:p w14:paraId="71EBBC1B">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九</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公共租赁住房租赁实行合同管理。申请人应当在收到区保障中心入住通知5个工作日内与区保障中心签订公共租赁住房租赁合同，明确双方的权利义务。</w:t>
      </w:r>
    </w:p>
    <w:p w14:paraId="7A61A0F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公共租赁住房租赁合同期限为3年。承租人应当根据合同约定，按时缴交租金及水、电、物业服务等相关费用。公共租赁住房只能用于承租人自住，不得转让、出租、闲置、出借、抵押，也不得改变用途用于从事其他经营活动。</w:t>
      </w:r>
    </w:p>
    <w:p w14:paraId="75BAA95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第四十条</w:t>
      </w:r>
      <w:r>
        <w:rPr>
          <w:rFonts w:hint="default" w:ascii="仿宋" w:hAnsi="仿宋" w:eastAsia="仿宋" w:cs="仿宋"/>
          <w:b w:val="0"/>
          <w:color w:val="000000"/>
          <w:sz w:val="32"/>
          <w:szCs w:val="32"/>
          <w:lang w:val="en-US" w:eastAsia="zh-CN"/>
        </w:rPr>
        <w:t> 有下列情形之一的，保障对象可申请公共租赁住房调换：</w:t>
      </w:r>
    </w:p>
    <w:p w14:paraId="0903B6CC">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（一）房屋出现质量问题短时间内无法解决，严重影响居住的；</w:t>
      </w:r>
    </w:p>
    <w:p w14:paraId="26CA79E2">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（二）因住房无电梯且楼层较高，申请人或共同申请人一至二级肢体残疾、行动不便的；</w:t>
      </w:r>
    </w:p>
    <w:p w14:paraId="1223D3B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（三）患有重大疾病需要就近治疗等特殊情况的。</w:t>
      </w:r>
    </w:p>
    <w:p w14:paraId="1DC786EF">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一</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因工作生活需要，保障对象之间协商达成互换意向的，可向区保障中心申请公共租赁住房互换。</w:t>
      </w:r>
    </w:p>
    <w:p w14:paraId="10869746">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对符合公共租赁住房调换和互换条件的，区保障中心按规定程序予以办理。</w:t>
      </w:r>
    </w:p>
    <w:p w14:paraId="128BBAB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房屋出现质量问题且严重影响居住安全的，应当</w:t>
      </w:r>
      <w:r>
        <w:rPr>
          <w:rFonts w:hint="eastAsia" w:ascii="仿宋" w:hAnsi="仿宋" w:eastAsia="仿宋" w:cs="仿宋"/>
          <w:b w:val="0"/>
          <w:color w:val="000000"/>
          <w:sz w:val="32"/>
          <w:szCs w:val="32"/>
          <w:lang w:val="en-US" w:eastAsia="zh-CN"/>
        </w:rPr>
        <w:t>及时通知搬出，以其他方式进行保障</w:t>
      </w:r>
      <w:r>
        <w:rPr>
          <w:rFonts w:hint="default" w:ascii="仿宋" w:hAnsi="仿宋" w:eastAsia="仿宋" w:cs="仿宋"/>
          <w:b w:val="0"/>
          <w:color w:val="000000"/>
          <w:sz w:val="32"/>
          <w:szCs w:val="32"/>
          <w:lang w:val="en-US" w:eastAsia="zh-CN"/>
        </w:rPr>
        <w:t>。</w:t>
      </w:r>
    </w:p>
    <w:p w14:paraId="0FB20129">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区住房保障主管部门应当建立公共租赁住房信息系统，记载并公开公共租赁住房规划、建设、申请、审核、轮候、配租等相关信息；记载并公示有关当事人违法、违约等不良行为，同时将公示内容告知当事人所属单位和征信机构。</w:t>
      </w:r>
    </w:p>
    <w:p w14:paraId="0ACE9A8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公安、民政、社保、自然资源、市场监管、政务服务数据管理、税务、住房公积金等信息平台应当与公共租赁住房信息系统建立信息共享机制。</w:t>
      </w:r>
    </w:p>
    <w:p w14:paraId="3998178A">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保障对象家庭的户籍、收入、财产和住房等情况发生变动的，</w:t>
      </w:r>
      <w:r>
        <w:rPr>
          <w:rFonts w:hint="eastAsia" w:ascii="仿宋" w:hAnsi="仿宋" w:eastAsia="仿宋" w:cs="仿宋"/>
          <w:b w:val="0"/>
          <w:color w:val="000000"/>
          <w:sz w:val="32"/>
          <w:szCs w:val="32"/>
          <w:lang w:val="en-US" w:eastAsia="zh-CN"/>
        </w:rPr>
        <w:t>应当主动向区住房保障主管部门申报。经审核不再符合规定条件的，区住房保障主管部门应书面告知申请人，解除合同并收回公共租赁住房或解除协议并停止发放住房租赁补贴</w:t>
      </w:r>
      <w:r>
        <w:rPr>
          <w:rFonts w:hint="default" w:ascii="仿宋" w:hAnsi="仿宋" w:eastAsia="仿宋" w:cs="仿宋"/>
          <w:b w:val="0"/>
          <w:color w:val="000000"/>
          <w:sz w:val="32"/>
          <w:szCs w:val="32"/>
          <w:lang w:val="en-US" w:eastAsia="zh-CN"/>
        </w:rPr>
        <w:t>。</w:t>
      </w:r>
    </w:p>
    <w:p w14:paraId="708E2C83">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w:t>
      </w:r>
      <w:r>
        <w:rPr>
          <w:rFonts w:hint="eastAsia" w:ascii="仿宋" w:hAnsi="仿宋" w:eastAsia="仿宋" w:cs="仿宋"/>
          <w:b w:val="0"/>
          <w:color w:val="000000"/>
          <w:sz w:val="32"/>
          <w:szCs w:val="32"/>
          <w:lang w:val="en-US" w:eastAsia="zh-CN"/>
        </w:rPr>
        <w:t>住房保障主管部门</w:t>
      </w:r>
      <w:r>
        <w:rPr>
          <w:rFonts w:hint="default" w:ascii="仿宋" w:hAnsi="仿宋" w:eastAsia="仿宋" w:cs="仿宋"/>
          <w:b w:val="0"/>
          <w:color w:val="000000"/>
          <w:sz w:val="32"/>
          <w:szCs w:val="32"/>
          <w:lang w:val="en-US" w:eastAsia="zh-CN"/>
        </w:rPr>
        <w:t>应当建立保障对象资格定期复核制度，会同相关部门对保障对象的户籍、人口、收入、财产、住房、工作等变动情况进行定期复核。经复核不再符合规定条件的，书面告知申请人，解除合同并收回公共租赁住房</w:t>
      </w:r>
      <w:r>
        <w:rPr>
          <w:rFonts w:hint="eastAsia" w:ascii="仿宋" w:hAnsi="仿宋" w:eastAsia="仿宋" w:cs="仿宋"/>
          <w:b w:val="0"/>
          <w:color w:val="000000"/>
          <w:sz w:val="32"/>
          <w:szCs w:val="32"/>
          <w:lang w:val="en-US" w:eastAsia="zh-CN"/>
        </w:rPr>
        <w:t>或解除协议并停止发放住房租赁补贴</w:t>
      </w:r>
      <w:r>
        <w:rPr>
          <w:rFonts w:hint="default" w:ascii="仿宋" w:hAnsi="仿宋" w:eastAsia="仿宋" w:cs="仿宋"/>
          <w:b w:val="0"/>
          <w:color w:val="000000"/>
          <w:sz w:val="32"/>
          <w:szCs w:val="32"/>
          <w:lang w:val="en-US" w:eastAsia="zh-CN"/>
        </w:rPr>
        <w:t>。</w:t>
      </w:r>
    </w:p>
    <w:p w14:paraId="5C6AC87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公共租赁住房租赁合同期满需要续期的，申请人应当在期满3个月前提出延续申请，</w:t>
      </w:r>
      <w:r>
        <w:rPr>
          <w:rFonts w:hint="eastAsia" w:ascii="仿宋" w:hAnsi="仿宋" w:eastAsia="仿宋" w:cs="仿宋"/>
          <w:b w:val="0"/>
          <w:color w:val="000000"/>
          <w:sz w:val="32"/>
          <w:szCs w:val="32"/>
          <w:lang w:val="en-US" w:eastAsia="zh-CN"/>
        </w:rPr>
        <w:t>区住房保障主管部门</w:t>
      </w:r>
      <w:r>
        <w:rPr>
          <w:rFonts w:hint="default" w:ascii="仿宋" w:hAnsi="仿宋" w:eastAsia="仿宋" w:cs="仿宋"/>
          <w:b w:val="0"/>
          <w:color w:val="000000"/>
          <w:sz w:val="32"/>
          <w:szCs w:val="32"/>
          <w:lang w:val="en-US" w:eastAsia="zh-CN"/>
        </w:rPr>
        <w:t>应当进行审核并公示，公示时间不少于20日。</w:t>
      </w:r>
    </w:p>
    <w:p w14:paraId="7BCE99C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经审核仍符合规定条件的，重新签订租赁合同；不再符合规定条件的，在合同期满之日收回公共租赁住房。</w:t>
      </w:r>
    </w:p>
    <w:p w14:paraId="6D09F02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第四十</w:t>
      </w:r>
      <w:r>
        <w:rPr>
          <w:rFonts w:hint="eastAsia" w:cs="仿宋"/>
          <w:b/>
          <w:bCs/>
          <w:color w:val="000000"/>
          <w:sz w:val="32"/>
          <w:szCs w:val="32"/>
          <w:lang w:val="en-US" w:eastAsia="zh-CN"/>
        </w:rPr>
        <w:t>七</w:t>
      </w:r>
      <w:r>
        <w:rPr>
          <w:rFonts w:hint="default" w:ascii="仿宋" w:hAnsi="仿宋" w:eastAsia="仿宋" w:cs="仿宋"/>
          <w:b/>
          <w:bCs/>
          <w:color w:val="000000"/>
          <w:sz w:val="32"/>
          <w:szCs w:val="32"/>
          <w:lang w:val="en-US" w:eastAsia="zh-CN"/>
        </w:rPr>
        <w:t>条 </w:t>
      </w:r>
      <w:r>
        <w:rPr>
          <w:rFonts w:hint="default" w:ascii="仿宋" w:hAnsi="仿宋" w:eastAsia="仿宋" w:cs="仿宋"/>
          <w:b w:val="0"/>
          <w:color w:val="000000"/>
          <w:sz w:val="32"/>
          <w:szCs w:val="32"/>
          <w:lang w:val="en-US" w:eastAsia="zh-CN"/>
        </w:rPr>
        <w:t>保障对象经审核、复核仍符合规定条件但类别发生变化的，</w:t>
      </w:r>
      <w:r>
        <w:rPr>
          <w:rFonts w:hint="eastAsia" w:ascii="仿宋" w:hAnsi="仿宋" w:eastAsia="仿宋" w:cs="仿宋"/>
          <w:b w:val="0"/>
          <w:color w:val="000000"/>
          <w:sz w:val="32"/>
          <w:szCs w:val="32"/>
          <w:lang w:val="en-US" w:eastAsia="zh-CN"/>
        </w:rPr>
        <w:t>调整公共租赁住房租金标准，重新签订租赁合同或租赁补贴协议，并从次月起享受相应类别保障。</w:t>
      </w:r>
    </w:p>
    <w:p w14:paraId="6251AE2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eastAsia" w:ascii="仿宋" w:hAnsi="仿宋" w:eastAsia="仿宋" w:cs="仿宋"/>
          <w:b w:val="0"/>
          <w:color w:val="000000"/>
          <w:sz w:val="32"/>
          <w:szCs w:val="32"/>
          <w:lang w:val="en-US" w:eastAsia="zh-CN"/>
        </w:rPr>
        <w:t>保障对象因人口变化等原因需调整保障面积的，区住房保障主管部门按相关规定程序审核后给予调整，重新签订租赁合同或租赁补贴协议，并从次月起享受相应保障。</w:t>
      </w:r>
    </w:p>
    <w:p w14:paraId="5C737535">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八</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有下列情形之一的，根据合同约定或者法定情形，解除合同并收回公共租赁住房：</w:t>
      </w:r>
    </w:p>
    <w:p w14:paraId="506C64A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（一）无正当理由连续6个月以上未在公共租赁住房内居住的；</w:t>
      </w:r>
    </w:p>
    <w:p w14:paraId="09C965C7">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（二）无正当理由连续2个月或者累计6个月以上未缴纳租金、物业服务费及其他费用的，经催告仍不缴纳的；</w:t>
      </w:r>
    </w:p>
    <w:p w14:paraId="06C7BC8C">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（三）将承租公共租赁住房擅自互换、出借、转租、抵押的；</w:t>
      </w:r>
    </w:p>
    <w:p w14:paraId="35B92D29">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（四）擅自改变公共租赁住房居住用途、原有使用功能、内部结构和配套设施，或擅自装修公共租赁住房，拒不恢复原状的；</w:t>
      </w:r>
    </w:p>
    <w:p w14:paraId="41D1CC0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（五）因故意或重大过失，造成公共租赁住房严重损毁的；</w:t>
      </w:r>
    </w:p>
    <w:p w14:paraId="2058BB4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（六）因政府征用公共租赁住房或者因不可抗力致使该公共租赁住房无法继续出租的，租赁合同终止；</w:t>
      </w:r>
    </w:p>
    <w:p w14:paraId="5CFCDFC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（七）法律、法规规定或合同约定的其他违法、违约情形。</w:t>
      </w:r>
    </w:p>
    <w:p w14:paraId="2868C6E5">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九</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公共租赁住房被收回的，承租人应当自收到解除合同或者终止合同通知之日起30日内搬迁，搬迁期内租金按原合同的约定缴交。</w:t>
      </w:r>
    </w:p>
    <w:p w14:paraId="64475EC0">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有正当理由无法按期搬迁的，可以申请最长不超过6个月的延长居住期限。延长期内，按照同期同区域同类型住房的市场租金价格收取租金。无正当理由逾期不搬迁的，应当责令其搬迁；拒不执行的，可以依法申请人民法院强制执行，并按照同期同区域同类型住房的市场租金的2倍收取租金。</w:t>
      </w:r>
    </w:p>
    <w:p w14:paraId="23F54620">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第五十条</w:t>
      </w:r>
      <w:r>
        <w:rPr>
          <w:rFonts w:hint="default" w:ascii="仿宋" w:hAnsi="仿宋" w:eastAsia="仿宋" w:cs="仿宋"/>
          <w:b w:val="0"/>
          <w:color w:val="000000"/>
          <w:sz w:val="32"/>
          <w:szCs w:val="32"/>
          <w:lang w:val="en-US" w:eastAsia="zh-CN"/>
        </w:rPr>
        <w:t> 区住房保障主管部门和区保障中心应当加强对保障对象遵守住房保障法律、法规、规章规定情况的监督检查。</w:t>
      </w:r>
    </w:p>
    <w:p w14:paraId="39C92F9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区住房保障主管部门和区保障中心实施监督检查，有权采取以下措施：</w:t>
      </w:r>
    </w:p>
    <w:p w14:paraId="775E5750">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（一）询问与核查事项有关的单位和个人，并要求对与核查事项相关的情况作出说明、提供相关证明资料；</w:t>
      </w:r>
    </w:p>
    <w:p w14:paraId="1F683426">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（二）依法检查住房使用情况；</w:t>
      </w:r>
    </w:p>
    <w:p w14:paraId="6BEEA12B">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（三）查阅、记录、复制保障对象与住房保障工作相关的资料，了解保障房住户家庭成员、家庭收入和财产状况；</w:t>
      </w:r>
    </w:p>
    <w:p w14:paraId="06C49EB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（四）对违反住房保障相关法律、法规、规章规定的行为予以制止并责令改正。</w:t>
      </w:r>
    </w:p>
    <w:p w14:paraId="5A87FAA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有关单位和个人应当配合监督检查，如实提供与住房保障有关的资料。</w:t>
      </w:r>
    </w:p>
    <w:p w14:paraId="0D1146E0">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区住房保障主管部门、区保障中心及其工作人员，对工作中知悉的公民个人信息应当保密，但按照规定应当予以公示的个人信息除外。</w:t>
      </w:r>
    </w:p>
    <w:p w14:paraId="13BCFD1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第五十</w:t>
      </w:r>
      <w:r>
        <w:rPr>
          <w:rFonts w:hint="eastAsia" w:cs="仿宋"/>
          <w:b/>
          <w:bCs/>
          <w:color w:val="000000"/>
          <w:sz w:val="32"/>
          <w:szCs w:val="32"/>
          <w:lang w:val="en-US" w:eastAsia="zh-CN"/>
        </w:rPr>
        <w:t>一</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w:t>
      </w:r>
      <w:r>
        <w:rPr>
          <w:rFonts w:hint="eastAsia" w:ascii="仿宋" w:hAnsi="仿宋" w:eastAsia="仿宋" w:cs="仿宋"/>
          <w:b w:val="0"/>
          <w:color w:val="000000"/>
          <w:sz w:val="32"/>
          <w:szCs w:val="32"/>
          <w:lang w:val="en-US" w:eastAsia="zh-CN"/>
        </w:rPr>
        <w:t>公共租赁住房的所有权人、住房保障实施机构、申请人、承租人等单位和个人违反公共租赁住房有关规定的，根据《公共租赁住房管理办法》《广东省城镇住房保障办法》等有关规定予以处罚。</w:t>
      </w:r>
    </w:p>
    <w:p w14:paraId="616759AF">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第五十</w:t>
      </w:r>
      <w:r>
        <w:rPr>
          <w:rFonts w:hint="eastAsia" w:cs="仿宋"/>
          <w:b/>
          <w:bCs/>
          <w:color w:val="000000"/>
          <w:sz w:val="32"/>
          <w:szCs w:val="32"/>
          <w:lang w:val="en-US" w:eastAsia="zh-CN"/>
        </w:rPr>
        <w:t>二</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住房保障主管部门及其他有关单位的工作人员，在公共租赁住房及租赁补贴管理工作中滥用职权、玩忽职守、徇私舞弊的，依法给予处分；构成犯罪的，依法追究刑事责任。</w:t>
      </w:r>
    </w:p>
    <w:p w14:paraId="172A7208">
      <w:pPr>
        <w:spacing w:line="600" w:lineRule="exact"/>
        <w:ind w:left="0" w:leftChars="0" w:firstLine="643" w:firstLineChars="200"/>
        <w:contextualSpacing/>
        <w:jc w:val="center"/>
        <w:rPr>
          <w:rFonts w:hint="default" w:ascii="仿宋" w:hAnsi="仿宋" w:eastAsia="仿宋" w:cs="仿宋"/>
          <w:b/>
          <w:bCs/>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七</w:t>
      </w:r>
      <w:r>
        <w:rPr>
          <w:rFonts w:hint="default" w:ascii="仿宋" w:hAnsi="仿宋" w:eastAsia="仿宋" w:cs="仿宋"/>
          <w:b/>
          <w:bCs/>
          <w:color w:val="000000"/>
          <w:sz w:val="32"/>
          <w:szCs w:val="32"/>
          <w:lang w:val="en-US" w:eastAsia="zh-CN"/>
        </w:rPr>
        <w:t>章 附则</w:t>
      </w:r>
    </w:p>
    <w:p w14:paraId="042750D9">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第五十</w:t>
      </w:r>
      <w:r>
        <w:rPr>
          <w:rFonts w:hint="eastAsia" w:cs="仿宋"/>
          <w:b/>
          <w:bCs/>
          <w:color w:val="000000"/>
          <w:sz w:val="32"/>
          <w:szCs w:val="32"/>
          <w:lang w:val="en-US" w:eastAsia="zh-CN"/>
        </w:rPr>
        <w:t>三</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本实施细则所称城镇分散供养特困人员、低保家庭、低收入家庭、最低生活保障边缘家庭和支出型困难家庭，均包括梅县区城市建成区的农村</w:t>
      </w:r>
      <w:r>
        <w:rPr>
          <w:rFonts w:hint="eastAsia" w:cs="仿宋"/>
          <w:b w:val="0"/>
          <w:color w:val="000000"/>
          <w:sz w:val="32"/>
          <w:szCs w:val="32"/>
          <w:lang w:val="en-US" w:eastAsia="zh-CN"/>
        </w:rPr>
        <w:t>户籍</w:t>
      </w:r>
      <w:r>
        <w:rPr>
          <w:rFonts w:hint="default" w:ascii="仿宋" w:hAnsi="仿宋" w:eastAsia="仿宋" w:cs="仿宋"/>
          <w:b w:val="0"/>
          <w:color w:val="000000"/>
          <w:sz w:val="32"/>
          <w:szCs w:val="32"/>
          <w:lang w:val="en-US" w:eastAsia="zh-CN"/>
        </w:rPr>
        <w:t>家庭。</w:t>
      </w:r>
    </w:p>
    <w:p w14:paraId="6D00A4B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本实施细则所称“梅州城区”，特指梅州市中心城区中除梅县区所辖范围以外的区域（主要为梅江区等）。</w:t>
      </w:r>
    </w:p>
    <w:p w14:paraId="7204CAAE">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ascii="仿宋" w:hAnsi="仿宋" w:eastAsia="仿宋" w:cs="仿宋"/>
          <w:b/>
          <w:bCs/>
          <w:color w:val="000000"/>
          <w:sz w:val="32"/>
          <w:szCs w:val="32"/>
          <w:lang w:val="en-US" w:eastAsia="zh-CN"/>
        </w:rPr>
        <w:t>五十</w:t>
      </w:r>
      <w:r>
        <w:rPr>
          <w:rFonts w:hint="eastAsia" w:cs="仿宋"/>
          <w:b/>
          <w:bCs/>
          <w:color w:val="000000"/>
          <w:sz w:val="32"/>
          <w:szCs w:val="32"/>
          <w:lang w:val="en-US" w:eastAsia="zh-CN"/>
        </w:rPr>
        <w:t>四</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本实施细则中家庭成员指的是共同生活、共同居住，相互之间有血缘关系或赡养、抚养或扶养关系的人。</w:t>
      </w:r>
    </w:p>
    <w:p w14:paraId="4C721042">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ascii="仿宋" w:hAnsi="仿宋" w:eastAsia="仿宋" w:cs="仿宋"/>
          <w:b/>
          <w:bCs/>
          <w:color w:val="000000"/>
          <w:sz w:val="32"/>
          <w:szCs w:val="32"/>
          <w:lang w:val="en-US" w:eastAsia="zh-CN"/>
        </w:rPr>
        <w:t>五</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符合以下情形之一的，为本实施细则第十</w:t>
      </w:r>
      <w:r>
        <w:rPr>
          <w:rFonts w:hint="eastAsia" w:cs="仿宋"/>
          <w:b w:val="0"/>
          <w:color w:val="000000"/>
          <w:sz w:val="32"/>
          <w:szCs w:val="32"/>
          <w:lang w:val="en-US" w:eastAsia="zh-CN"/>
        </w:rPr>
        <w:t>八</w:t>
      </w:r>
      <w:r>
        <w:rPr>
          <w:rFonts w:hint="default" w:ascii="仿宋" w:hAnsi="仿宋" w:eastAsia="仿宋" w:cs="仿宋"/>
          <w:b w:val="0"/>
          <w:color w:val="000000"/>
          <w:sz w:val="32"/>
          <w:szCs w:val="32"/>
          <w:lang w:val="en-US" w:eastAsia="zh-CN"/>
        </w:rPr>
        <w:t>条中的享受其他住房优惠、保障政策：</w:t>
      </w:r>
    </w:p>
    <w:p w14:paraId="2F8BB37A">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（一）按房改成本价或标准价购买公有住房；</w:t>
      </w:r>
    </w:p>
    <w:p w14:paraId="222F8D25">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（二）购买解困房、安居房、经济适用住房、限价商品住房等政府购房优惠政策；</w:t>
      </w:r>
    </w:p>
    <w:p w14:paraId="29A8457C">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（三）参加本单位内部集资建房；</w:t>
      </w:r>
    </w:p>
    <w:p w14:paraId="6FAA3A88">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（四）落实侨房政策专用房；</w:t>
      </w:r>
    </w:p>
    <w:p w14:paraId="7C02EFF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（五）拆迁安置房；</w:t>
      </w:r>
    </w:p>
    <w:p w14:paraId="22547504">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（六）廉租住房实物配租；</w:t>
      </w:r>
    </w:p>
    <w:p w14:paraId="72CC7141">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（七）租住直管公房或单位自管公房；</w:t>
      </w:r>
    </w:p>
    <w:p w14:paraId="7863182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val="0"/>
          <w:color w:val="000000"/>
          <w:sz w:val="32"/>
          <w:szCs w:val="32"/>
          <w:lang w:val="en-US" w:eastAsia="zh-CN"/>
        </w:rPr>
        <w:t>（八）政府提供的其他住房保障政策。</w:t>
      </w:r>
    </w:p>
    <w:p w14:paraId="77A93027">
      <w:pPr>
        <w:spacing w:line="600" w:lineRule="exact"/>
        <w:ind w:left="0" w:leftChars="0" w:firstLine="643" w:firstLineChars="200"/>
        <w:contextualSpacing/>
        <w:rPr>
          <w:rFonts w:hint="default" w:ascii="仿宋" w:hAnsi="仿宋" w:eastAsia="仿宋" w:cs="仿宋"/>
          <w:b w:val="0"/>
          <w:color w:val="000000"/>
          <w:sz w:val="32"/>
          <w:szCs w:val="32"/>
          <w:lang w:val="en-US" w:eastAsia="zh-CN"/>
        </w:rPr>
      </w:pPr>
      <w:r>
        <w:rPr>
          <w:rFonts w:hint="default" w:ascii="仿宋" w:hAnsi="仿宋" w:eastAsia="仿宋" w:cs="仿宋"/>
          <w:b/>
          <w:bCs/>
          <w:color w:val="000000"/>
          <w:sz w:val="32"/>
          <w:szCs w:val="32"/>
          <w:lang w:val="en-US" w:eastAsia="zh-CN"/>
        </w:rPr>
        <w:t>第</w:t>
      </w:r>
      <w:r>
        <w:rPr>
          <w:rFonts w:hint="eastAsia" w:cs="仿宋"/>
          <w:b/>
          <w:bCs/>
          <w:color w:val="000000"/>
          <w:sz w:val="32"/>
          <w:szCs w:val="32"/>
          <w:lang w:val="en-US" w:eastAsia="zh-CN"/>
        </w:rPr>
        <w:t>五</w:t>
      </w:r>
      <w:r>
        <w:rPr>
          <w:rFonts w:hint="default" w:ascii="仿宋" w:hAnsi="仿宋" w:eastAsia="仿宋" w:cs="仿宋"/>
          <w:b/>
          <w:bCs/>
          <w:color w:val="000000"/>
          <w:sz w:val="32"/>
          <w:szCs w:val="32"/>
          <w:lang w:val="en-US" w:eastAsia="zh-CN"/>
        </w:rPr>
        <w:t>十</w:t>
      </w:r>
      <w:r>
        <w:rPr>
          <w:rFonts w:hint="eastAsia" w:cs="仿宋"/>
          <w:b/>
          <w:bCs/>
          <w:color w:val="000000"/>
          <w:sz w:val="32"/>
          <w:szCs w:val="32"/>
          <w:lang w:val="en-US" w:eastAsia="zh-CN"/>
        </w:rPr>
        <w:t>六</w:t>
      </w:r>
      <w:r>
        <w:rPr>
          <w:rFonts w:hint="default" w:ascii="仿宋" w:hAnsi="仿宋" w:eastAsia="仿宋" w:cs="仿宋"/>
          <w:b/>
          <w:bCs/>
          <w:color w:val="000000"/>
          <w:sz w:val="32"/>
          <w:szCs w:val="32"/>
          <w:lang w:val="en-US" w:eastAsia="zh-CN"/>
        </w:rPr>
        <w:t>条</w:t>
      </w:r>
      <w:r>
        <w:rPr>
          <w:rFonts w:hint="default" w:ascii="仿宋" w:hAnsi="仿宋" w:eastAsia="仿宋" w:cs="仿宋"/>
          <w:b w:val="0"/>
          <w:color w:val="000000"/>
          <w:sz w:val="32"/>
          <w:szCs w:val="32"/>
          <w:lang w:val="en-US" w:eastAsia="zh-CN"/>
        </w:rPr>
        <w:t> 本实施细则自2026年</w:t>
      </w:r>
      <w:r>
        <w:rPr>
          <w:rFonts w:hint="eastAsia" w:cs="仿宋"/>
          <w:b w:val="0"/>
          <w:color w:val="000000"/>
          <w:sz w:val="32"/>
          <w:szCs w:val="32"/>
          <w:highlight w:val="none"/>
          <w:lang w:val="en-US" w:eastAsia="zh-CN"/>
        </w:rPr>
        <w:t xml:space="preserve">  </w:t>
      </w:r>
      <w:r>
        <w:rPr>
          <w:rFonts w:hint="default" w:ascii="仿宋" w:hAnsi="仿宋" w:eastAsia="仿宋" w:cs="仿宋"/>
          <w:b w:val="0"/>
          <w:color w:val="000000"/>
          <w:sz w:val="32"/>
          <w:szCs w:val="32"/>
          <w:highlight w:val="none"/>
          <w:lang w:val="en-US" w:eastAsia="zh-CN"/>
        </w:rPr>
        <w:t>月</w:t>
      </w:r>
      <w:r>
        <w:rPr>
          <w:rFonts w:hint="eastAsia" w:cs="仿宋"/>
          <w:b w:val="0"/>
          <w:color w:val="000000"/>
          <w:sz w:val="32"/>
          <w:szCs w:val="32"/>
          <w:lang w:val="en-US" w:eastAsia="zh-CN"/>
        </w:rPr>
        <w:t xml:space="preserve">  </w:t>
      </w:r>
      <w:r>
        <w:rPr>
          <w:rFonts w:hint="default" w:ascii="仿宋" w:hAnsi="仿宋" w:eastAsia="仿宋" w:cs="仿宋"/>
          <w:b w:val="0"/>
          <w:color w:val="000000"/>
          <w:sz w:val="32"/>
          <w:szCs w:val="32"/>
          <w:lang w:val="en-US" w:eastAsia="zh-CN"/>
        </w:rPr>
        <w:t>日起施行，有效期5年。《梅州市梅县区人民政府办公室关于印发梅州市梅县区公共租赁住房租赁补贴办法的通知》（梅县区府办〔2021〕5号）及《梅州市梅县区人民政府办公室关于印发梅县区公共租赁住房实施细则的通知》（梅县区府办〔2023〕5号）同时废止。</w:t>
      </w:r>
    </w:p>
    <w:p w14:paraId="1E87280F">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p>
    <w:p w14:paraId="26B99523">
      <w:pPr>
        <w:spacing w:line="600" w:lineRule="exact"/>
        <w:ind w:left="0" w:leftChars="0" w:firstLine="640" w:firstLineChars="200"/>
        <w:contextualSpacing/>
        <w:rPr>
          <w:rFonts w:hint="default" w:ascii="仿宋" w:hAnsi="仿宋" w:eastAsia="仿宋" w:cs="仿宋"/>
          <w:b w:val="0"/>
          <w:color w:val="000000"/>
          <w:sz w:val="32"/>
          <w:szCs w:val="32"/>
          <w:lang w:val="en-US" w:eastAsia="zh-CN"/>
        </w:rPr>
      </w:pPr>
    </w:p>
    <w:p w14:paraId="183C5359">
      <w:pPr>
        <w:spacing w:line="600" w:lineRule="exact"/>
        <w:ind w:left="0" w:leftChars="0" w:firstLine="640" w:firstLineChars="200"/>
        <w:contextualSpacing/>
        <w:rPr>
          <w:rFonts w:hint="eastAsia" w:ascii="仿宋" w:hAnsi="仿宋" w:eastAsia="仿宋" w:cs="仿宋"/>
          <w:b w:val="0"/>
          <w:color w:val="000000"/>
          <w:sz w:val="32"/>
          <w:szCs w:val="32"/>
          <w:lang w:val="en-US" w:eastAsia="zh-CN"/>
        </w:rPr>
      </w:pPr>
    </w:p>
    <w:sectPr>
      <w:pgSz w:w="11910" w:h="16840"/>
      <w:pgMar w:top="1588" w:right="1361" w:bottom="1418" w:left="136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640" w:firstLine="643"/>
      </w:pPr>
      <w:r>
        <w:separator/>
      </w:r>
    </w:p>
  </w:endnote>
  <w:endnote w:type="continuationSeparator" w:id="1">
    <w:p>
      <w:pPr>
        <w:spacing w:line="240" w:lineRule="auto"/>
        <w:ind w:left="640"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640" w:firstLine="643"/>
      </w:pPr>
      <w:r>
        <w:separator/>
      </w:r>
    </w:p>
  </w:footnote>
  <w:footnote w:type="continuationSeparator" w:id="1">
    <w:p>
      <w:pPr>
        <w:spacing w:line="240" w:lineRule="auto"/>
        <w:ind w:left="640"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iZDQ3MWJkNzFkZTY1MjgwYWZmMTAwYjc0NGJkNzYifQ=="/>
  </w:docVars>
  <w:rsids>
    <w:rsidRoot w:val="5C401289"/>
    <w:rsid w:val="00025260"/>
    <w:rsid w:val="00040679"/>
    <w:rsid w:val="000633CC"/>
    <w:rsid w:val="001E0C08"/>
    <w:rsid w:val="00276891"/>
    <w:rsid w:val="00284D73"/>
    <w:rsid w:val="00297C4F"/>
    <w:rsid w:val="002B35E5"/>
    <w:rsid w:val="002F7FBA"/>
    <w:rsid w:val="003118E1"/>
    <w:rsid w:val="0031380D"/>
    <w:rsid w:val="003A7C4D"/>
    <w:rsid w:val="003E0F7C"/>
    <w:rsid w:val="003F19E9"/>
    <w:rsid w:val="00484EBB"/>
    <w:rsid w:val="004D6D07"/>
    <w:rsid w:val="0050704E"/>
    <w:rsid w:val="00570F90"/>
    <w:rsid w:val="00591718"/>
    <w:rsid w:val="006228F5"/>
    <w:rsid w:val="006B4F71"/>
    <w:rsid w:val="006F03CC"/>
    <w:rsid w:val="007672FD"/>
    <w:rsid w:val="007C692D"/>
    <w:rsid w:val="00882F7F"/>
    <w:rsid w:val="00883AFF"/>
    <w:rsid w:val="00932B1B"/>
    <w:rsid w:val="00AD6C7B"/>
    <w:rsid w:val="00AE4F91"/>
    <w:rsid w:val="00B54675"/>
    <w:rsid w:val="00BB183A"/>
    <w:rsid w:val="00BF7472"/>
    <w:rsid w:val="00C102E4"/>
    <w:rsid w:val="00C10782"/>
    <w:rsid w:val="00C2289A"/>
    <w:rsid w:val="00C36366"/>
    <w:rsid w:val="00C363F6"/>
    <w:rsid w:val="00C42436"/>
    <w:rsid w:val="00C927FA"/>
    <w:rsid w:val="00CE4F0F"/>
    <w:rsid w:val="00F72045"/>
    <w:rsid w:val="00FC55C7"/>
    <w:rsid w:val="00FD2D16"/>
    <w:rsid w:val="012445AC"/>
    <w:rsid w:val="01547704"/>
    <w:rsid w:val="015856B9"/>
    <w:rsid w:val="01CE1437"/>
    <w:rsid w:val="02225B04"/>
    <w:rsid w:val="022B2C0A"/>
    <w:rsid w:val="023229B4"/>
    <w:rsid w:val="024C0DD3"/>
    <w:rsid w:val="024D4205"/>
    <w:rsid w:val="027125E7"/>
    <w:rsid w:val="028D7421"/>
    <w:rsid w:val="02BD2F59"/>
    <w:rsid w:val="02D97BDF"/>
    <w:rsid w:val="03651DB6"/>
    <w:rsid w:val="03AA1EB0"/>
    <w:rsid w:val="03B9347A"/>
    <w:rsid w:val="04414030"/>
    <w:rsid w:val="04447FB3"/>
    <w:rsid w:val="046027B8"/>
    <w:rsid w:val="04A26F2B"/>
    <w:rsid w:val="05B828E7"/>
    <w:rsid w:val="05BB24F7"/>
    <w:rsid w:val="05C23605"/>
    <w:rsid w:val="05C91F03"/>
    <w:rsid w:val="05ED3A32"/>
    <w:rsid w:val="063A78B5"/>
    <w:rsid w:val="066413A3"/>
    <w:rsid w:val="0669791D"/>
    <w:rsid w:val="06FC4B75"/>
    <w:rsid w:val="071A7AD5"/>
    <w:rsid w:val="079A3CF2"/>
    <w:rsid w:val="07D0159B"/>
    <w:rsid w:val="07FF393E"/>
    <w:rsid w:val="0802440D"/>
    <w:rsid w:val="08730E67"/>
    <w:rsid w:val="08B1198F"/>
    <w:rsid w:val="08D37B58"/>
    <w:rsid w:val="09306E39"/>
    <w:rsid w:val="0950425C"/>
    <w:rsid w:val="097D1872"/>
    <w:rsid w:val="0988040A"/>
    <w:rsid w:val="099F6DCA"/>
    <w:rsid w:val="09D61B19"/>
    <w:rsid w:val="0AAB4022"/>
    <w:rsid w:val="0ADB0F46"/>
    <w:rsid w:val="0B1A1A6E"/>
    <w:rsid w:val="0BA0425B"/>
    <w:rsid w:val="0BED7BB9"/>
    <w:rsid w:val="0BF94F69"/>
    <w:rsid w:val="0C607954"/>
    <w:rsid w:val="0C753790"/>
    <w:rsid w:val="0C8C7E8D"/>
    <w:rsid w:val="0C9B273A"/>
    <w:rsid w:val="0CEC0B8F"/>
    <w:rsid w:val="0D98311E"/>
    <w:rsid w:val="0DAC07EF"/>
    <w:rsid w:val="0DEE1060"/>
    <w:rsid w:val="0E325320"/>
    <w:rsid w:val="0E3F18A0"/>
    <w:rsid w:val="0E42792B"/>
    <w:rsid w:val="0E4E5FF9"/>
    <w:rsid w:val="0E8A4023"/>
    <w:rsid w:val="0EA9317B"/>
    <w:rsid w:val="0EC84784"/>
    <w:rsid w:val="0F200877"/>
    <w:rsid w:val="0F250F9E"/>
    <w:rsid w:val="0F33170A"/>
    <w:rsid w:val="0F9446C6"/>
    <w:rsid w:val="0FB12F47"/>
    <w:rsid w:val="0FD3668F"/>
    <w:rsid w:val="10035283"/>
    <w:rsid w:val="108F6A88"/>
    <w:rsid w:val="10D17921"/>
    <w:rsid w:val="113621FF"/>
    <w:rsid w:val="113C41EF"/>
    <w:rsid w:val="115B06EA"/>
    <w:rsid w:val="118B5473"/>
    <w:rsid w:val="11C223EB"/>
    <w:rsid w:val="11F272A1"/>
    <w:rsid w:val="12413CE6"/>
    <w:rsid w:val="12AD166F"/>
    <w:rsid w:val="12BC3223"/>
    <w:rsid w:val="1315791F"/>
    <w:rsid w:val="132E0B8E"/>
    <w:rsid w:val="133259ED"/>
    <w:rsid w:val="135E4139"/>
    <w:rsid w:val="1364246C"/>
    <w:rsid w:val="13D604FC"/>
    <w:rsid w:val="142763EE"/>
    <w:rsid w:val="142A3112"/>
    <w:rsid w:val="14A449C1"/>
    <w:rsid w:val="14CC4B3C"/>
    <w:rsid w:val="14F371D1"/>
    <w:rsid w:val="15022121"/>
    <w:rsid w:val="15410D0C"/>
    <w:rsid w:val="157C3764"/>
    <w:rsid w:val="15BB552F"/>
    <w:rsid w:val="15D13671"/>
    <w:rsid w:val="15D55DE5"/>
    <w:rsid w:val="160268F2"/>
    <w:rsid w:val="162453F6"/>
    <w:rsid w:val="16247B42"/>
    <w:rsid w:val="16534086"/>
    <w:rsid w:val="166444E5"/>
    <w:rsid w:val="166B1213"/>
    <w:rsid w:val="167664C6"/>
    <w:rsid w:val="17057BCE"/>
    <w:rsid w:val="173751CD"/>
    <w:rsid w:val="176E561B"/>
    <w:rsid w:val="179D56E6"/>
    <w:rsid w:val="17C36FE9"/>
    <w:rsid w:val="17CA71E3"/>
    <w:rsid w:val="182A5940"/>
    <w:rsid w:val="183C317B"/>
    <w:rsid w:val="18523FEC"/>
    <w:rsid w:val="19032425"/>
    <w:rsid w:val="1912647A"/>
    <w:rsid w:val="19B0042C"/>
    <w:rsid w:val="19DD3E77"/>
    <w:rsid w:val="1A0D1510"/>
    <w:rsid w:val="1A273FCA"/>
    <w:rsid w:val="1A4F2DB6"/>
    <w:rsid w:val="1ABF2F84"/>
    <w:rsid w:val="1ADD081F"/>
    <w:rsid w:val="1B2D7E89"/>
    <w:rsid w:val="1BF91183"/>
    <w:rsid w:val="1C7A381F"/>
    <w:rsid w:val="1CC738E6"/>
    <w:rsid w:val="1CF56369"/>
    <w:rsid w:val="1D08291E"/>
    <w:rsid w:val="1D6A7BA9"/>
    <w:rsid w:val="1D84C1AF"/>
    <w:rsid w:val="1DD737EE"/>
    <w:rsid w:val="1DE36A7B"/>
    <w:rsid w:val="1DEA416E"/>
    <w:rsid w:val="1E870283"/>
    <w:rsid w:val="1E8A2AED"/>
    <w:rsid w:val="1E984D2C"/>
    <w:rsid w:val="1EC065F0"/>
    <w:rsid w:val="1ED33FB6"/>
    <w:rsid w:val="1F2C50ED"/>
    <w:rsid w:val="1F5A72D6"/>
    <w:rsid w:val="1F8F4478"/>
    <w:rsid w:val="1FBF3557"/>
    <w:rsid w:val="1FC35DD8"/>
    <w:rsid w:val="200224D8"/>
    <w:rsid w:val="204D1B46"/>
    <w:rsid w:val="20597EB3"/>
    <w:rsid w:val="205D7826"/>
    <w:rsid w:val="211F1201"/>
    <w:rsid w:val="214A250B"/>
    <w:rsid w:val="215A451A"/>
    <w:rsid w:val="216836AC"/>
    <w:rsid w:val="219F4876"/>
    <w:rsid w:val="21E6527C"/>
    <w:rsid w:val="21F36C36"/>
    <w:rsid w:val="21FC7971"/>
    <w:rsid w:val="22164403"/>
    <w:rsid w:val="22326B0B"/>
    <w:rsid w:val="22364E11"/>
    <w:rsid w:val="22A01F0E"/>
    <w:rsid w:val="23227D87"/>
    <w:rsid w:val="232F0744"/>
    <w:rsid w:val="233C481F"/>
    <w:rsid w:val="235E3810"/>
    <w:rsid w:val="245B5B2E"/>
    <w:rsid w:val="24710C8A"/>
    <w:rsid w:val="259C3033"/>
    <w:rsid w:val="25C94365"/>
    <w:rsid w:val="25ED3C4E"/>
    <w:rsid w:val="26511F09"/>
    <w:rsid w:val="267C4F33"/>
    <w:rsid w:val="26C2212C"/>
    <w:rsid w:val="270218DC"/>
    <w:rsid w:val="270A14E8"/>
    <w:rsid w:val="281D263A"/>
    <w:rsid w:val="285E44A1"/>
    <w:rsid w:val="28B61CBD"/>
    <w:rsid w:val="28B766F6"/>
    <w:rsid w:val="290F1F95"/>
    <w:rsid w:val="291D29FD"/>
    <w:rsid w:val="29D736A6"/>
    <w:rsid w:val="2A187C76"/>
    <w:rsid w:val="2A1C0099"/>
    <w:rsid w:val="2A1E1108"/>
    <w:rsid w:val="2A4D1AFF"/>
    <w:rsid w:val="2A5C34AB"/>
    <w:rsid w:val="2A743612"/>
    <w:rsid w:val="2A777B8A"/>
    <w:rsid w:val="2A88016B"/>
    <w:rsid w:val="2A9F38E6"/>
    <w:rsid w:val="2AD225C9"/>
    <w:rsid w:val="2AF228E9"/>
    <w:rsid w:val="2B2F07C6"/>
    <w:rsid w:val="2B354F88"/>
    <w:rsid w:val="2BC75CA3"/>
    <w:rsid w:val="2C1A3224"/>
    <w:rsid w:val="2C2603E8"/>
    <w:rsid w:val="2C447BF5"/>
    <w:rsid w:val="2C6C7C25"/>
    <w:rsid w:val="2C99468B"/>
    <w:rsid w:val="2CC338BC"/>
    <w:rsid w:val="2CF978DB"/>
    <w:rsid w:val="2D7C77F8"/>
    <w:rsid w:val="2DE4750E"/>
    <w:rsid w:val="2E3031D3"/>
    <w:rsid w:val="2E6426C6"/>
    <w:rsid w:val="2EAC7280"/>
    <w:rsid w:val="2EF81D95"/>
    <w:rsid w:val="2F000DF7"/>
    <w:rsid w:val="2F0106CB"/>
    <w:rsid w:val="2F081A5A"/>
    <w:rsid w:val="2F2442F3"/>
    <w:rsid w:val="2F5102D5"/>
    <w:rsid w:val="2FBC4F9D"/>
    <w:rsid w:val="2FE955F3"/>
    <w:rsid w:val="2FF41FDE"/>
    <w:rsid w:val="2FFB0744"/>
    <w:rsid w:val="3081343B"/>
    <w:rsid w:val="30B807D5"/>
    <w:rsid w:val="30C73AA6"/>
    <w:rsid w:val="30C83C4B"/>
    <w:rsid w:val="30DF67EA"/>
    <w:rsid w:val="31927D00"/>
    <w:rsid w:val="31973569"/>
    <w:rsid w:val="31D125D7"/>
    <w:rsid w:val="326350A6"/>
    <w:rsid w:val="328D70FE"/>
    <w:rsid w:val="328F683B"/>
    <w:rsid w:val="32A2385B"/>
    <w:rsid w:val="32FF30CE"/>
    <w:rsid w:val="3341378C"/>
    <w:rsid w:val="334678A8"/>
    <w:rsid w:val="336F3872"/>
    <w:rsid w:val="33F15B7B"/>
    <w:rsid w:val="33F80E1A"/>
    <w:rsid w:val="33FD0595"/>
    <w:rsid w:val="34004ED2"/>
    <w:rsid w:val="348363C8"/>
    <w:rsid w:val="3651018A"/>
    <w:rsid w:val="3679277B"/>
    <w:rsid w:val="36920231"/>
    <w:rsid w:val="36BF5605"/>
    <w:rsid w:val="36BF5848"/>
    <w:rsid w:val="36E93B6E"/>
    <w:rsid w:val="36EB0824"/>
    <w:rsid w:val="37323EBD"/>
    <w:rsid w:val="37DE5A4E"/>
    <w:rsid w:val="382A4072"/>
    <w:rsid w:val="38A73A87"/>
    <w:rsid w:val="38A96443"/>
    <w:rsid w:val="39AA20A2"/>
    <w:rsid w:val="39AB7BB1"/>
    <w:rsid w:val="3A076F0D"/>
    <w:rsid w:val="3A2D62BD"/>
    <w:rsid w:val="3A551420"/>
    <w:rsid w:val="3A553A46"/>
    <w:rsid w:val="3A6366DE"/>
    <w:rsid w:val="3A797E9E"/>
    <w:rsid w:val="3A7C32FC"/>
    <w:rsid w:val="3A7F0307"/>
    <w:rsid w:val="3ACDD8DA"/>
    <w:rsid w:val="3B1B3189"/>
    <w:rsid w:val="3B2865AC"/>
    <w:rsid w:val="3B86604C"/>
    <w:rsid w:val="3BEB1FBC"/>
    <w:rsid w:val="3CB52AF5"/>
    <w:rsid w:val="3CC643C4"/>
    <w:rsid w:val="3CE05DC4"/>
    <w:rsid w:val="3CE06912"/>
    <w:rsid w:val="3CFE624A"/>
    <w:rsid w:val="3D0418D3"/>
    <w:rsid w:val="3D094BE5"/>
    <w:rsid w:val="3D2A5291"/>
    <w:rsid w:val="3D534EB2"/>
    <w:rsid w:val="3DA93712"/>
    <w:rsid w:val="3DEE68AA"/>
    <w:rsid w:val="3DF813E7"/>
    <w:rsid w:val="3DFA58D2"/>
    <w:rsid w:val="3E0755D2"/>
    <w:rsid w:val="3E340508"/>
    <w:rsid w:val="3E545502"/>
    <w:rsid w:val="3E90381A"/>
    <w:rsid w:val="3EA8744B"/>
    <w:rsid w:val="3EC42202"/>
    <w:rsid w:val="3EC78B03"/>
    <w:rsid w:val="3ECB47D6"/>
    <w:rsid w:val="3EF6072B"/>
    <w:rsid w:val="3F050A83"/>
    <w:rsid w:val="3F5465F5"/>
    <w:rsid w:val="3F6FE796"/>
    <w:rsid w:val="3F786788"/>
    <w:rsid w:val="401F7A79"/>
    <w:rsid w:val="40674E87"/>
    <w:rsid w:val="40D9262A"/>
    <w:rsid w:val="41484673"/>
    <w:rsid w:val="41641AD3"/>
    <w:rsid w:val="417875C9"/>
    <w:rsid w:val="417C1E33"/>
    <w:rsid w:val="419A5679"/>
    <w:rsid w:val="41A932EA"/>
    <w:rsid w:val="41AD023F"/>
    <w:rsid w:val="421F1EE7"/>
    <w:rsid w:val="423417E5"/>
    <w:rsid w:val="423A3055"/>
    <w:rsid w:val="42406891"/>
    <w:rsid w:val="424C0DA5"/>
    <w:rsid w:val="427E3825"/>
    <w:rsid w:val="42D27D5B"/>
    <w:rsid w:val="43301127"/>
    <w:rsid w:val="438E0846"/>
    <w:rsid w:val="43C87172"/>
    <w:rsid w:val="44082C8A"/>
    <w:rsid w:val="441440F3"/>
    <w:rsid w:val="441E4845"/>
    <w:rsid w:val="44623562"/>
    <w:rsid w:val="44960B69"/>
    <w:rsid w:val="45684454"/>
    <w:rsid w:val="457C68A6"/>
    <w:rsid w:val="457E2E09"/>
    <w:rsid w:val="45B61DB8"/>
    <w:rsid w:val="45CB05CF"/>
    <w:rsid w:val="45DB2DF5"/>
    <w:rsid w:val="463158E2"/>
    <w:rsid w:val="464473C4"/>
    <w:rsid w:val="473176AC"/>
    <w:rsid w:val="47C11391"/>
    <w:rsid w:val="480A706D"/>
    <w:rsid w:val="482D453C"/>
    <w:rsid w:val="488A15F2"/>
    <w:rsid w:val="489D100D"/>
    <w:rsid w:val="48A537E4"/>
    <w:rsid w:val="48FA1FBB"/>
    <w:rsid w:val="491A440C"/>
    <w:rsid w:val="4981358F"/>
    <w:rsid w:val="498272AD"/>
    <w:rsid w:val="49A14B2D"/>
    <w:rsid w:val="49EC082B"/>
    <w:rsid w:val="4A606796"/>
    <w:rsid w:val="4A8254DE"/>
    <w:rsid w:val="4ABB1C1E"/>
    <w:rsid w:val="4AC40DD0"/>
    <w:rsid w:val="4ACD5F5E"/>
    <w:rsid w:val="4AF13892"/>
    <w:rsid w:val="4B0E7FA0"/>
    <w:rsid w:val="4B306168"/>
    <w:rsid w:val="4BD851CD"/>
    <w:rsid w:val="4BEF7C51"/>
    <w:rsid w:val="4BF16EEB"/>
    <w:rsid w:val="4C0C1CBC"/>
    <w:rsid w:val="4C68258E"/>
    <w:rsid w:val="4CC13619"/>
    <w:rsid w:val="4CE74F4D"/>
    <w:rsid w:val="4CEC29AE"/>
    <w:rsid w:val="4CF65190"/>
    <w:rsid w:val="4D1F30C9"/>
    <w:rsid w:val="4D475A41"/>
    <w:rsid w:val="4D73058E"/>
    <w:rsid w:val="4D85288F"/>
    <w:rsid w:val="4D9E513E"/>
    <w:rsid w:val="4DDF149C"/>
    <w:rsid w:val="4E090B8D"/>
    <w:rsid w:val="4E1618F6"/>
    <w:rsid w:val="4E233B70"/>
    <w:rsid w:val="4E9C482A"/>
    <w:rsid w:val="4EBB3F9B"/>
    <w:rsid w:val="4EBF3E92"/>
    <w:rsid w:val="4F3124AF"/>
    <w:rsid w:val="4F6A0B45"/>
    <w:rsid w:val="4F90367A"/>
    <w:rsid w:val="4FA2139E"/>
    <w:rsid w:val="4FB60B31"/>
    <w:rsid w:val="5006393C"/>
    <w:rsid w:val="50964CC0"/>
    <w:rsid w:val="50CD6207"/>
    <w:rsid w:val="50EF622F"/>
    <w:rsid w:val="515713BA"/>
    <w:rsid w:val="515D440B"/>
    <w:rsid w:val="51903F69"/>
    <w:rsid w:val="51BB2504"/>
    <w:rsid w:val="51F595ED"/>
    <w:rsid w:val="522B58DB"/>
    <w:rsid w:val="523948B9"/>
    <w:rsid w:val="52554706"/>
    <w:rsid w:val="5281374D"/>
    <w:rsid w:val="529B480F"/>
    <w:rsid w:val="536426FA"/>
    <w:rsid w:val="53715570"/>
    <w:rsid w:val="538B6035"/>
    <w:rsid w:val="53AE40CE"/>
    <w:rsid w:val="53FC2EA8"/>
    <w:rsid w:val="54142BD1"/>
    <w:rsid w:val="545B77FF"/>
    <w:rsid w:val="54B30BC6"/>
    <w:rsid w:val="54E734EC"/>
    <w:rsid w:val="54ED1C06"/>
    <w:rsid w:val="552D54C7"/>
    <w:rsid w:val="559A2A8E"/>
    <w:rsid w:val="55B96138"/>
    <w:rsid w:val="55DFA5DA"/>
    <w:rsid w:val="560526E3"/>
    <w:rsid w:val="560D2693"/>
    <w:rsid w:val="56275CC5"/>
    <w:rsid w:val="56450654"/>
    <w:rsid w:val="565332B6"/>
    <w:rsid w:val="565F0E89"/>
    <w:rsid w:val="56625C9A"/>
    <w:rsid w:val="56B40AE7"/>
    <w:rsid w:val="56BE6372"/>
    <w:rsid w:val="56E12A0D"/>
    <w:rsid w:val="56F67E43"/>
    <w:rsid w:val="57007D82"/>
    <w:rsid w:val="570345BA"/>
    <w:rsid w:val="579655A5"/>
    <w:rsid w:val="5797784B"/>
    <w:rsid w:val="57B95EFF"/>
    <w:rsid w:val="57EEE5EC"/>
    <w:rsid w:val="581B530B"/>
    <w:rsid w:val="582656A1"/>
    <w:rsid w:val="58397B92"/>
    <w:rsid w:val="58685B60"/>
    <w:rsid w:val="58C46FC2"/>
    <w:rsid w:val="59167C08"/>
    <w:rsid w:val="597E7244"/>
    <w:rsid w:val="59854F5C"/>
    <w:rsid w:val="5A45717A"/>
    <w:rsid w:val="5A5E0427"/>
    <w:rsid w:val="5BA835D7"/>
    <w:rsid w:val="5BBFE993"/>
    <w:rsid w:val="5BC07095"/>
    <w:rsid w:val="5BFE5B2B"/>
    <w:rsid w:val="5BFF13ED"/>
    <w:rsid w:val="5C02145B"/>
    <w:rsid w:val="5C1B6AF9"/>
    <w:rsid w:val="5C312E5A"/>
    <w:rsid w:val="5C401289"/>
    <w:rsid w:val="5D3D49F6"/>
    <w:rsid w:val="5DEA1565"/>
    <w:rsid w:val="5E73614A"/>
    <w:rsid w:val="5F073A6E"/>
    <w:rsid w:val="5F8A0C2F"/>
    <w:rsid w:val="5FE34891"/>
    <w:rsid w:val="60023EAD"/>
    <w:rsid w:val="6022031E"/>
    <w:rsid w:val="60870181"/>
    <w:rsid w:val="61173D6D"/>
    <w:rsid w:val="613D2006"/>
    <w:rsid w:val="6146006C"/>
    <w:rsid w:val="61763208"/>
    <w:rsid w:val="618670E8"/>
    <w:rsid w:val="62084A64"/>
    <w:rsid w:val="62327204"/>
    <w:rsid w:val="62557ED0"/>
    <w:rsid w:val="62C0020C"/>
    <w:rsid w:val="632F02FD"/>
    <w:rsid w:val="6364670D"/>
    <w:rsid w:val="63A9366A"/>
    <w:rsid w:val="63FF44D2"/>
    <w:rsid w:val="642A25F6"/>
    <w:rsid w:val="644A57F4"/>
    <w:rsid w:val="646847EE"/>
    <w:rsid w:val="646D3B32"/>
    <w:rsid w:val="64C97EA0"/>
    <w:rsid w:val="64D94D23"/>
    <w:rsid w:val="650F611A"/>
    <w:rsid w:val="651B55D6"/>
    <w:rsid w:val="652D59E4"/>
    <w:rsid w:val="65B97BFD"/>
    <w:rsid w:val="66833198"/>
    <w:rsid w:val="66886A01"/>
    <w:rsid w:val="66997D70"/>
    <w:rsid w:val="67026752"/>
    <w:rsid w:val="67B71D15"/>
    <w:rsid w:val="68033931"/>
    <w:rsid w:val="683055A2"/>
    <w:rsid w:val="685D39C4"/>
    <w:rsid w:val="686053D0"/>
    <w:rsid w:val="68A0366F"/>
    <w:rsid w:val="68B95597"/>
    <w:rsid w:val="68F15ADF"/>
    <w:rsid w:val="690D42CF"/>
    <w:rsid w:val="69123D75"/>
    <w:rsid w:val="693A4C24"/>
    <w:rsid w:val="6979104D"/>
    <w:rsid w:val="699022E4"/>
    <w:rsid w:val="69904106"/>
    <w:rsid w:val="6A38215B"/>
    <w:rsid w:val="6A564E8E"/>
    <w:rsid w:val="6AB844F7"/>
    <w:rsid w:val="6B144D07"/>
    <w:rsid w:val="6B1A261E"/>
    <w:rsid w:val="6B3B2AA3"/>
    <w:rsid w:val="6B7434FD"/>
    <w:rsid w:val="6B766AF2"/>
    <w:rsid w:val="6B917A01"/>
    <w:rsid w:val="6B96571C"/>
    <w:rsid w:val="6CDF292F"/>
    <w:rsid w:val="6CEB68C6"/>
    <w:rsid w:val="6CF90658"/>
    <w:rsid w:val="6D011D2A"/>
    <w:rsid w:val="6D283542"/>
    <w:rsid w:val="6D7A61C9"/>
    <w:rsid w:val="6D7A7D33"/>
    <w:rsid w:val="6E312F3B"/>
    <w:rsid w:val="6E35439E"/>
    <w:rsid w:val="6EC92693"/>
    <w:rsid w:val="6F170AD1"/>
    <w:rsid w:val="6F3151A2"/>
    <w:rsid w:val="6F32335C"/>
    <w:rsid w:val="6F484F7F"/>
    <w:rsid w:val="6F6E5DAA"/>
    <w:rsid w:val="6F795A80"/>
    <w:rsid w:val="6F7C457C"/>
    <w:rsid w:val="6F926B42"/>
    <w:rsid w:val="6FDC6DDD"/>
    <w:rsid w:val="6FDF5F5E"/>
    <w:rsid w:val="6FE729EA"/>
    <w:rsid w:val="70385063"/>
    <w:rsid w:val="7081069C"/>
    <w:rsid w:val="70E36826"/>
    <w:rsid w:val="70E450FE"/>
    <w:rsid w:val="70F76922"/>
    <w:rsid w:val="710566D4"/>
    <w:rsid w:val="71193077"/>
    <w:rsid w:val="71267542"/>
    <w:rsid w:val="712D3CB8"/>
    <w:rsid w:val="717B788E"/>
    <w:rsid w:val="71B27028"/>
    <w:rsid w:val="71CF1CEE"/>
    <w:rsid w:val="72582ECE"/>
    <w:rsid w:val="726F6048"/>
    <w:rsid w:val="727C72F1"/>
    <w:rsid w:val="7280536A"/>
    <w:rsid w:val="734273A9"/>
    <w:rsid w:val="738A3CA6"/>
    <w:rsid w:val="73B52E41"/>
    <w:rsid w:val="73BC6B9B"/>
    <w:rsid w:val="73EC07C4"/>
    <w:rsid w:val="73ED6A40"/>
    <w:rsid w:val="73F456D6"/>
    <w:rsid w:val="746C1711"/>
    <w:rsid w:val="74856C0D"/>
    <w:rsid w:val="74B12706"/>
    <w:rsid w:val="75844B4F"/>
    <w:rsid w:val="76125DC3"/>
    <w:rsid w:val="76962A74"/>
    <w:rsid w:val="76A03194"/>
    <w:rsid w:val="76C16BAD"/>
    <w:rsid w:val="76C271E2"/>
    <w:rsid w:val="76F37EC6"/>
    <w:rsid w:val="76FC05B4"/>
    <w:rsid w:val="76FD16B9"/>
    <w:rsid w:val="773B0B2E"/>
    <w:rsid w:val="77663F5A"/>
    <w:rsid w:val="776A2556"/>
    <w:rsid w:val="77752FD1"/>
    <w:rsid w:val="77822900"/>
    <w:rsid w:val="77BFCFC1"/>
    <w:rsid w:val="77FC18FD"/>
    <w:rsid w:val="78444D3A"/>
    <w:rsid w:val="78632AB8"/>
    <w:rsid w:val="78CC6D70"/>
    <w:rsid w:val="78D16DE8"/>
    <w:rsid w:val="79053EE1"/>
    <w:rsid w:val="79687CA3"/>
    <w:rsid w:val="796A6958"/>
    <w:rsid w:val="79A14C0A"/>
    <w:rsid w:val="79A5003A"/>
    <w:rsid w:val="7A0464FE"/>
    <w:rsid w:val="7A7F0743"/>
    <w:rsid w:val="7AB01AA8"/>
    <w:rsid w:val="7AD85D51"/>
    <w:rsid w:val="7B0F7299"/>
    <w:rsid w:val="7B14665D"/>
    <w:rsid w:val="7B7B1876"/>
    <w:rsid w:val="7B7E121E"/>
    <w:rsid w:val="7B821E5D"/>
    <w:rsid w:val="7B955434"/>
    <w:rsid w:val="7BA7B2DA"/>
    <w:rsid w:val="7BAB7EE6"/>
    <w:rsid w:val="7BE7F7F6"/>
    <w:rsid w:val="7C34060A"/>
    <w:rsid w:val="7C936CEE"/>
    <w:rsid w:val="7CBA4585"/>
    <w:rsid w:val="7CCF4F32"/>
    <w:rsid w:val="7CD95C3E"/>
    <w:rsid w:val="7CF21B01"/>
    <w:rsid w:val="7D0543E8"/>
    <w:rsid w:val="7D184638"/>
    <w:rsid w:val="7D2A7F95"/>
    <w:rsid w:val="7DA217E5"/>
    <w:rsid w:val="7DB752CB"/>
    <w:rsid w:val="7DCD45A1"/>
    <w:rsid w:val="7DFF610B"/>
    <w:rsid w:val="7E1F6C0F"/>
    <w:rsid w:val="7E222B2E"/>
    <w:rsid w:val="7E233E94"/>
    <w:rsid w:val="7E321585"/>
    <w:rsid w:val="7EB05F55"/>
    <w:rsid w:val="7ED52461"/>
    <w:rsid w:val="7EDB411C"/>
    <w:rsid w:val="7EFD3017"/>
    <w:rsid w:val="7F6DEBAB"/>
    <w:rsid w:val="7FE217E1"/>
    <w:rsid w:val="7FFA8711"/>
    <w:rsid w:val="8FAA4210"/>
    <w:rsid w:val="96E9E6AD"/>
    <w:rsid w:val="9FE764D2"/>
    <w:rsid w:val="A5AF504C"/>
    <w:rsid w:val="AF574696"/>
    <w:rsid w:val="AF744B86"/>
    <w:rsid w:val="B2FDCDA6"/>
    <w:rsid w:val="B3FFBFA1"/>
    <w:rsid w:val="BDF5AD86"/>
    <w:rsid w:val="BFB96C6D"/>
    <w:rsid w:val="F195246A"/>
    <w:rsid w:val="F7FF0711"/>
    <w:rsid w:val="F89DF3CD"/>
    <w:rsid w:val="FBBDDC66"/>
    <w:rsid w:val="FDDF8967"/>
    <w:rsid w:val="FDFBF655"/>
    <w:rsid w:val="FE358623"/>
    <w:rsid w:val="FE4372AB"/>
    <w:rsid w:val="FFFF1B3C"/>
    <w:rsid w:val="FFFFA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left="643" w:leftChars="200" w:firstLine="640" w:firstLineChars="200"/>
      <w:jc w:val="both"/>
    </w:pPr>
    <w:rPr>
      <w:rFonts w:ascii="仿宋" w:hAnsi="仿宋" w:eastAsia="仿宋" w:cstheme="minorBidi"/>
      <w:b/>
      <w:kern w:val="2"/>
      <w:sz w:val="32"/>
      <w:szCs w:val="3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paragraph" w:styleId="3">
    <w:name w:val="heading 2"/>
    <w:basedOn w:val="1"/>
    <w:next w:val="1"/>
    <w:qFormat/>
    <w:uiPriority w:val="1"/>
    <w:pPr>
      <w:autoSpaceDE w:val="0"/>
      <w:autoSpaceDN w:val="0"/>
      <w:jc w:val="center"/>
      <w:outlineLvl w:val="1"/>
    </w:pPr>
    <w:rPr>
      <w:rFonts w:ascii="方正小标宋简体" w:hAnsi="方正小标宋简体" w:eastAsia="方正小标宋简体" w:cs="方正小标宋简体"/>
      <w:kern w:val="0"/>
      <w:sz w:val="44"/>
      <w:szCs w:val="44"/>
      <w:lang w:val="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Cs/>
      <w:kern w:val="0"/>
      <w:sz w:val="24"/>
      <w:szCs w:val="24"/>
      <w:lang w:val="en-US" w:eastAsia="zh-CN" w:bidi="ar"/>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Body Text"/>
    <w:basedOn w:val="1"/>
    <w:qFormat/>
    <w:uiPriority w:val="1"/>
    <w:pPr>
      <w:autoSpaceDE w:val="0"/>
      <w:autoSpaceDN w:val="0"/>
      <w:jc w:val="left"/>
    </w:pPr>
    <w:rPr>
      <w:rFonts w:ascii="宋体" w:hAnsi="宋体" w:eastAsia="宋体" w:cs="宋体"/>
      <w:kern w:val="0"/>
      <w:lang w:val="zh-CN" w:bidi="zh-CN"/>
    </w:rPr>
  </w:style>
  <w:style w:type="paragraph" w:styleId="8">
    <w:name w:val="Body Text Indent"/>
    <w:basedOn w:val="1"/>
    <w:next w:val="9"/>
    <w:qFormat/>
    <w:uiPriority w:val="0"/>
    <w:pPr>
      <w:ind w:firstLine="540"/>
    </w:pPr>
    <w:rPr>
      <w:sz w:val="30"/>
    </w:rPr>
  </w:style>
  <w:style w:type="paragraph" w:styleId="9">
    <w:name w:val="Body Text First Indent 2"/>
    <w:basedOn w:val="8"/>
    <w:next w:val="1"/>
    <w:qFormat/>
    <w:uiPriority w:val="0"/>
    <w:pPr>
      <w:ind w:firstLine="420" w:firstLineChars="200"/>
    </w:pPr>
  </w:style>
  <w:style w:type="paragraph" w:styleId="10">
    <w:name w:val="toc 5"/>
    <w:basedOn w:val="1"/>
    <w:next w:val="1"/>
    <w:qFormat/>
    <w:uiPriority w:val="0"/>
    <w:pPr>
      <w:ind w:left="1680"/>
    </w:pPr>
  </w:style>
  <w:style w:type="paragraph" w:styleId="11">
    <w:name w:val="Plain Text"/>
    <w:basedOn w:val="1"/>
    <w:link w:val="28"/>
    <w:unhideWhenUsed/>
    <w:qFormat/>
    <w:uiPriority w:val="99"/>
    <w:pPr>
      <w:spacing w:line="240" w:lineRule="auto"/>
      <w:ind w:left="0" w:leftChars="0" w:firstLine="0" w:firstLineChars="0"/>
    </w:pPr>
    <w:rPr>
      <w:rFonts w:ascii="宋体" w:hAnsi="Courier New" w:eastAsia="宋体" w:cs="Courier New"/>
      <w:b w:val="0"/>
      <w:sz w:val="21"/>
      <w:szCs w:val="21"/>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next w:val="9"/>
    <w:qFormat/>
    <w:uiPriority w:val="0"/>
    <w:pPr>
      <w:snapToGrid w:val="0"/>
      <w:jc w:val="left"/>
    </w:pPr>
    <w:rPr>
      <w:rFonts w:eastAsia="宋体"/>
      <w:sz w:val="18"/>
    </w:rPr>
  </w:style>
  <w:style w:type="paragraph" w:styleId="15">
    <w:name w:val="Normal (Web)"/>
    <w:basedOn w:val="1"/>
    <w:qFormat/>
    <w:uiPriority w:val="0"/>
    <w:pPr>
      <w:spacing w:beforeAutospacing="1" w:afterAutospacing="1"/>
      <w:ind w:left="0"/>
      <w:jc w:val="left"/>
    </w:pPr>
    <w:rPr>
      <w:rFonts w:cs="Times New Roman"/>
      <w:kern w:val="0"/>
      <w:sz w:val="24"/>
    </w:rPr>
  </w:style>
  <w:style w:type="paragraph" w:styleId="16">
    <w:name w:val="Title"/>
    <w:qFormat/>
    <w:uiPriority w:val="0"/>
    <w:pPr>
      <w:widowControl w:val="0"/>
      <w:overflowPunct w:val="0"/>
      <w:topLinePunct/>
      <w:autoSpaceDN w:val="0"/>
      <w:jc w:val="center"/>
    </w:pPr>
    <w:rPr>
      <w:rFonts w:ascii="Times New Roman" w:hAnsi="Times New Roman" w:eastAsia="方正小标宋_GBK" w:cs="Times New Roman"/>
      <w:spacing w:val="-6"/>
      <w:kern w:val="2"/>
      <w:sz w:val="44"/>
      <w:szCs w:val="32"/>
      <w:lang w:val="en-US" w:eastAsia="zh-CN" w:bidi="ar-SA"/>
    </w:r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character" w:customStyle="1" w:styleId="22">
    <w:name w:val="NormalCharacter"/>
    <w:semiHidden/>
    <w:qFormat/>
    <w:uiPriority w:val="0"/>
  </w:style>
  <w:style w:type="character" w:customStyle="1" w:styleId="23">
    <w:name w:val="15"/>
    <w:basedOn w:val="18"/>
    <w:qFormat/>
    <w:uiPriority w:val="0"/>
    <w:rPr>
      <w:rFonts w:hint="default" w:ascii="Times New Roman" w:hAnsi="Times New Roman" w:eastAsia="宋体" w:cs="Times New Roman"/>
    </w:rPr>
  </w:style>
  <w:style w:type="character" w:customStyle="1" w:styleId="24">
    <w:name w:val="页眉 Char"/>
    <w:basedOn w:val="18"/>
    <w:link w:val="13"/>
    <w:qFormat/>
    <w:uiPriority w:val="0"/>
    <w:rPr>
      <w:rFonts w:asciiTheme="minorHAnsi" w:hAnsiTheme="minorHAnsi" w:eastAsiaTheme="minorEastAsia" w:cstheme="minorBidi"/>
      <w:kern w:val="2"/>
      <w:sz w:val="18"/>
      <w:szCs w:val="18"/>
    </w:rPr>
  </w:style>
  <w:style w:type="character" w:customStyle="1" w:styleId="25">
    <w:name w:val="页脚 Char"/>
    <w:basedOn w:val="18"/>
    <w:link w:val="12"/>
    <w:qFormat/>
    <w:uiPriority w:val="0"/>
    <w:rPr>
      <w:rFonts w:asciiTheme="minorHAnsi" w:hAnsiTheme="minorHAnsi" w:eastAsiaTheme="minorEastAsia" w:cstheme="minorBidi"/>
      <w:kern w:val="2"/>
      <w:sz w:val="18"/>
      <w:szCs w:val="18"/>
    </w:rPr>
  </w:style>
  <w:style w:type="paragraph" w:styleId="26">
    <w:name w:val="List Paragraph"/>
    <w:basedOn w:val="1"/>
    <w:unhideWhenUsed/>
    <w:qFormat/>
    <w:uiPriority w:val="99"/>
    <w:pPr>
      <w:ind w:firstLine="420"/>
    </w:pPr>
  </w:style>
  <w:style w:type="paragraph" w:customStyle="1" w:styleId="27">
    <w:name w:val="Normal"/>
    <w:qFormat/>
    <w:uiPriority w:val="0"/>
    <w:pPr>
      <w:jc w:val="both"/>
    </w:pPr>
    <w:rPr>
      <w:rFonts w:ascii="Courier New" w:hAnsi="Courier New" w:eastAsia="宋体" w:cs="Courier New"/>
      <w:kern w:val="2"/>
      <w:sz w:val="21"/>
      <w:szCs w:val="21"/>
      <w:lang w:val="en-US" w:eastAsia="zh-CN" w:bidi="ar-SA"/>
    </w:rPr>
  </w:style>
  <w:style w:type="character" w:customStyle="1" w:styleId="28">
    <w:name w:val="纯文本 Char"/>
    <w:basedOn w:val="18"/>
    <w:link w:val="11"/>
    <w:qFormat/>
    <w:uiPriority w:val="99"/>
    <w:rPr>
      <w:rFonts w:ascii="宋体" w:hAnsi="Courier New" w:cs="Courier New"/>
      <w:kern w:val="2"/>
      <w:sz w:val="21"/>
      <w:szCs w:val="21"/>
    </w:rPr>
  </w:style>
  <w:style w:type="character" w:customStyle="1" w:styleId="29">
    <w:name w:val="font11"/>
    <w:basedOn w:val="18"/>
    <w:qFormat/>
    <w:uiPriority w:val="0"/>
    <w:rPr>
      <w:rFonts w:hint="default" w:ascii="Segoe UI" w:hAnsi="Segoe UI" w:eastAsia="Segoe UI" w:cs="Segoe UI"/>
      <w:color w:val="000000"/>
      <w:sz w:val="22"/>
      <w:szCs w:val="22"/>
      <w:u w:val="none"/>
    </w:rPr>
  </w:style>
  <w:style w:type="character" w:customStyle="1" w:styleId="30">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民建市委会</Company>
  <Pages>18</Pages>
  <Words>8966</Words>
  <Characters>9030</Characters>
  <Lines>13</Lines>
  <Paragraphs>3</Paragraphs>
  <TotalTime>44</TotalTime>
  <ScaleCrop>false</ScaleCrop>
  <LinksUpToDate>false</LinksUpToDate>
  <CharactersWithSpaces>9105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2024-03-01T10:18:00Z</dcterms:created>
  <dc:creator>Administrator</dc:creator>
  <cp:lastModifiedBy>user</cp:lastModifiedBy>
  <cp:lastPrinted>2025-09-16T08:26:00Z</cp:lastPrinted>
  <dcterms:modified xsi:type="dcterms:W3CDTF">2026-05-28T15:11:48Z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0D0A27F972954B9EACA44861659CF0DB_13</vt:lpwstr>
  </property>
  <property fmtid="{D5CDD505-2E9C-101B-9397-08002B2CF9AE}" pid="4" name="KSOTemplateDocerSaveRecord">
    <vt:lpwstr>eyJoZGlkIjoiOThiZDQ3MWJkNzFkZTY1MjgwYWZmMTAwYjc0NGJkNzYiLCJ1c2VySWQiOiIxMDU0MDE2MDE1In0=</vt:lpwstr>
  </property>
</Properties>
</file>