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5139E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60" w:lineRule="atLeas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  <w:t>2025年梅州市梅县区国民经济和</w:t>
      </w:r>
    </w:p>
    <w:p w14:paraId="14620B4C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60" w:lineRule="atLeas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  <w:t>社会发展统计公报</w:t>
      </w:r>
    </w:p>
    <w:p w14:paraId="36325DE5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60" w:lineRule="atLeast"/>
        <w:ind w:left="0" w:leftChars="0" w:right="0" w:firstLine="0" w:firstLineChars="0"/>
        <w:jc w:val="both"/>
        <w:textAlignment w:val="auto"/>
        <w:rPr>
          <w:rFonts w:hint="default" w:ascii="仿宋" w:hAnsi="仿宋" w:eastAsia="仿宋" w:cs="宋体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" w:hAnsi="仿宋" w:eastAsia="仿宋" w:cs="宋体"/>
          <w:kern w:val="0"/>
          <w:sz w:val="32"/>
          <w:szCs w:val="32"/>
          <w:shd w:val="clear" w:color="auto" w:fill="FFFFFF"/>
          <w:lang w:val="en-US" w:eastAsia="zh-CN" w:bidi="ar"/>
        </w:rPr>
        <w:t xml:space="preserve"> </w:t>
      </w:r>
    </w:p>
    <w:p w14:paraId="10BE818A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60" w:lineRule="atLeast"/>
        <w:ind w:left="0" w:leftChars="0" w:right="0" w:firstLine="640" w:firstLineChars="200"/>
        <w:jc w:val="both"/>
        <w:textAlignment w:val="auto"/>
        <w:rPr>
          <w:rFonts w:hint="default" w:ascii="仿宋" w:hAnsi="仿宋" w:eastAsia="仿宋" w:cs="宋体"/>
          <w:kern w:val="0"/>
          <w:sz w:val="32"/>
          <w:szCs w:val="32"/>
          <w:shd w:val="clear" w:color="auto" w:fill="FFFFFF"/>
        </w:rPr>
      </w:pPr>
      <w:r>
        <w:rPr>
          <w:rFonts w:hint="default" w:ascii="仿宋" w:hAnsi="仿宋" w:eastAsia="仿宋" w:cs="仿宋"/>
          <w:kern w:val="0"/>
          <w:sz w:val="32"/>
          <w:szCs w:val="32"/>
          <w:shd w:val="clear" w:color="auto" w:fill="FFFFFF"/>
          <w:lang w:val="en-US" w:eastAsia="zh-CN" w:bidi="ar"/>
        </w:rPr>
        <w:t>2025年以来，梅县区坚持以习近平新时代中国特色社会主义思想为指导，全面贯彻落实党的二十大</w:t>
      </w:r>
      <w:bookmarkStart w:id="0" w:name="_GoBack"/>
      <w:bookmarkEnd w:id="0"/>
      <w:r>
        <w:rPr>
          <w:rFonts w:hint="default" w:ascii="仿宋" w:hAnsi="仿宋" w:eastAsia="仿宋" w:cs="仿宋"/>
          <w:kern w:val="0"/>
          <w:sz w:val="32"/>
          <w:szCs w:val="32"/>
          <w:shd w:val="clear" w:color="auto" w:fill="FFFFFF"/>
          <w:lang w:val="en-US" w:eastAsia="zh-CN" w:bidi="ar"/>
        </w:rPr>
        <w:t>和二十届历次全会精神，以及习近平总书记视察广东、视察梅州重要讲话和重要指示精神，紧紧围绕高质量发展首要任务，扎实推进省委“1310”具体部署，全力以赴狠抓经济发展，全区经济实现稳步增长。</w:t>
      </w:r>
    </w:p>
    <w:p w14:paraId="3128B316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60" w:lineRule="atLeast"/>
        <w:ind w:left="0" w:leftChars="0" w:right="0" w:firstLine="0" w:firstLineChars="0"/>
        <w:jc w:val="center"/>
        <w:textAlignment w:val="auto"/>
        <w:rPr>
          <w:rFonts w:hint="default" w:ascii="黑体" w:hAnsi="宋体" w:eastAsia="黑体" w:cs="黑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69115639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60" w:lineRule="atLeast"/>
        <w:ind w:left="0" w:leftChars="0" w:right="0" w:firstLine="0" w:firstLineChars="0"/>
        <w:jc w:val="center"/>
        <w:textAlignment w:val="auto"/>
        <w:rPr>
          <w:rFonts w:hint="default" w:ascii="黑体" w:hAnsi="宋体" w:eastAsia="黑体" w:cs="黑体"/>
          <w:b w:val="0"/>
          <w:bCs w:val="0"/>
          <w:kern w:val="0"/>
          <w:sz w:val="32"/>
          <w:szCs w:val="32"/>
        </w:rPr>
      </w:pPr>
      <w:r>
        <w:rPr>
          <w:rFonts w:hint="default" w:ascii="黑体" w:hAnsi="宋体" w:eastAsia="黑体" w:cs="黑体"/>
          <w:b w:val="0"/>
          <w:bCs w:val="0"/>
          <w:kern w:val="0"/>
          <w:sz w:val="32"/>
          <w:szCs w:val="32"/>
          <w:lang w:val="en-US" w:eastAsia="zh-CN" w:bidi="ar"/>
        </w:rPr>
        <w:t>一、综合</w:t>
      </w:r>
    </w:p>
    <w:p w14:paraId="6096D567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60" w:lineRule="atLeast"/>
        <w:ind w:left="0" w:right="0"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根据梅州市地区生产总值统一核算结果，2025年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全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区地区生产总值为301.08亿元（初步核算数），按不变价格计算，同比增长8.6%。</w:t>
      </w:r>
      <w:r>
        <w:rPr>
          <w:rFonts w:hint="default" w:ascii="仿宋_GB2312" w:hAnsi="宋体" w:eastAsia="仿宋_GB2312" w:cs="仿宋_GB2312"/>
          <w:kern w:val="2"/>
          <w:sz w:val="32"/>
          <w:szCs w:val="32"/>
          <w:shd w:val="clear" w:color="auto" w:fill="FFFFFF"/>
          <w:lang w:val="en-US" w:eastAsia="zh-CN" w:bidi="ar"/>
        </w:rPr>
        <w:t>其中，第一产业增加值69.52 亿元，同比增长5.5 %；第二产业增加值86.77 亿元，同比增长11.2 %；第三产业增加值144.79亿元，同比增长8.6 %。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三次产业结构比为23.1：28.8:48.1。人均地区生产总值54711元，同比增长9.0%。</w:t>
      </w:r>
    </w:p>
    <w:p w14:paraId="20343D1C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218" w:leftChars="104" w:right="0" w:firstLine="240" w:firstLineChars="1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0200" cy="3638550"/>
            <wp:effectExtent l="0" t="0" r="0" b="0"/>
            <wp:docPr id="1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77A0C56F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218" w:leftChars="104" w:right="0" w:firstLine="240" w:firstLineChars="1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173BEA94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218" w:leftChars="104" w:right="0" w:firstLine="240" w:firstLineChars="100"/>
        <w:jc w:val="left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  <w:r>
        <w:drawing>
          <wp:inline distT="0" distB="0" distL="114300" distR="114300">
            <wp:extent cx="5403850" cy="3600450"/>
            <wp:effectExtent l="0" t="0" r="6350" b="0"/>
            <wp:docPr id="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  <w:t xml:space="preserve"> </w:t>
      </w:r>
    </w:p>
    <w:p w14:paraId="79FD00FB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pacing w:before="0" w:beforeAutospacing="0" w:after="0" w:afterAutospacing="0" w:line="560" w:lineRule="atLeast"/>
        <w:ind w:left="0" w:right="0" w:firstLine="640" w:firstLineChars="200"/>
        <w:jc w:val="both"/>
        <w:textAlignment w:val="auto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2025年，全区常住人口54.82万人，比上年末减少0.42万人，同比下降0.76%。其中城镇常住人口31.29万人，占常住人口比重（常住人口城镇化率）57.09%，比上年末提高1.15个百分点。全区户籍人口609542人，同比下降0.54%；其中，城镇人口283446人，农村人口326096人。人口出生率为5.50‰，死亡率为 7.91‰，自然增长率为-2.41‰。</w:t>
      </w:r>
    </w:p>
    <w:p w14:paraId="419C0F02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pacing w:before="0" w:beforeAutospacing="0" w:after="0" w:afterAutospacing="0" w:line="560" w:lineRule="atLeast"/>
        <w:ind w:left="0" w:right="0" w:firstLine="640" w:firstLineChars="200"/>
        <w:jc w:val="both"/>
        <w:textAlignment w:val="auto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2025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年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，全区公共财政一般预算收入完成14.55亿元，同比下降20.8%；一般公共预算支出完成62.89亿元，同比增长4.7%。</w:t>
      </w:r>
    </w:p>
    <w:p w14:paraId="7982B914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60" w:lineRule="atLeast"/>
        <w:ind w:left="0" w:right="0"/>
        <w:jc w:val="both"/>
        <w:textAlignment w:val="auto"/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</w:pPr>
    </w:p>
    <w:p w14:paraId="29EA8D66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60" w:lineRule="atLeast"/>
        <w:ind w:left="0" w:right="0"/>
        <w:jc w:val="center"/>
        <w:textAlignment w:val="auto"/>
        <w:rPr>
          <w:rFonts w:hint="default" w:ascii="仿宋" w:hAnsi="仿宋" w:eastAsia="仿宋" w:cs="仿宋"/>
          <w:color w:val="00B0F0"/>
          <w:kern w:val="0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二、农业</w:t>
      </w:r>
    </w:p>
    <w:p w14:paraId="2334AE37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pacing w:before="0" w:beforeAutospacing="0" w:after="0" w:afterAutospacing="0" w:line="560" w:lineRule="atLeast"/>
        <w:ind w:left="0" w:right="0" w:firstLine="640" w:firstLineChars="200"/>
        <w:jc w:val="both"/>
        <w:textAlignment w:val="auto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2025年，全区实现农林牧渔业总产值105.70亿元，同比增长5.6%。</w:t>
      </w:r>
    </w:p>
    <w:p w14:paraId="66EE0927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pacing w:before="0" w:beforeAutospacing="0" w:after="0" w:afterAutospacing="0" w:line="560" w:lineRule="atLeast"/>
        <w:ind w:left="0" w:right="0" w:firstLine="640" w:firstLineChars="200"/>
        <w:jc w:val="both"/>
        <w:textAlignment w:val="auto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2025年，全区粮食作物播种面积33.3万亩，同比减少0.4%；稻谷种植面积28.86万亩，同比减少0.1%；甘蔗种植面积0.17万亩，同比增长0.9%；油料种植面积3.89万亩，同比增长1.5%；蔬菜种植面积18.53万亩，同比增长3.7%；园林水果种植面积41.01万亩，同比增长3.7%；茶叶种植面积2.44万亩，同比增长7.3%。</w:t>
      </w:r>
    </w:p>
    <w:p w14:paraId="3E7B89CD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pacing w:before="0" w:beforeAutospacing="0" w:after="0" w:afterAutospacing="0" w:line="560" w:lineRule="atLeast"/>
        <w:ind w:left="0" w:right="0" w:firstLine="640" w:firstLineChars="200"/>
        <w:jc w:val="both"/>
        <w:textAlignment w:val="auto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2025年，全区粮食产量15.01万吨，同比增长0.7%，其中，稻谷产量13.87万吨，同比增长1.0%；甘蔗产量0.50万吨，同比增长4.2%；油料产量0.91万吨，同比增长1.1%；蔬菜产量58.92万吨，同比增长3.9%；水果产量105.17万吨，同比增长9.1%；茶叶产量2195吨，同比增长3.6%。</w:t>
      </w:r>
    </w:p>
    <w:p w14:paraId="740C83AD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/>
        <w:bidi w:val="0"/>
        <w:adjustRightInd/>
        <w:spacing w:before="0" w:beforeAutospacing="0" w:after="0" w:afterAutospacing="0" w:line="560" w:lineRule="atLeast"/>
        <w:ind w:left="0" w:right="0" w:firstLine="640" w:firstLineChars="200"/>
        <w:jc w:val="both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2025年，全区肉类总产量4.14万吨，比上年减少1.9%，其中：猪肉产量2.74万吨，减少0.3%；禽肉产量1.16万吨，减少3.3%。全年水产品产量3.38万吨，增长1.3%。</w:t>
      </w:r>
    </w:p>
    <w:p w14:paraId="3E941F11">
      <w:pPr>
        <w:pStyle w:val="2"/>
        <w:rPr>
          <w:rFonts w:hint="default"/>
        </w:rPr>
      </w:pPr>
    </w:p>
    <w:p w14:paraId="19517B91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953000" cy="3708400"/>
            <wp:effectExtent l="0" t="0" r="0" b="6350"/>
            <wp:docPr id="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1098FC95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</w:pPr>
    </w:p>
    <w:p w14:paraId="65AA4D3F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三、工业和建筑业</w:t>
      </w:r>
    </w:p>
    <w:p w14:paraId="72EDF4F2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2025年，全区共有规上工业企业123家，共实现产值271.64亿元，同比增长23.5%；增加值同比增长19.4%</w:t>
      </w:r>
    </w:p>
    <w:p w14:paraId="0B1431F9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2025年，全区规模以上工业产值按经济类型分：集体企业产值3145万元，同比下降33.3%；股份制企业产值2483337万元，同比增长26.4%；外商及港澳台投资企业产值229949万元，同比下降0.6%。</w:t>
      </w:r>
    </w:p>
    <w:p w14:paraId="1F647721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2025年，全区规模以上工业六大支柱产业完成产值240.37亿元，同比增长27.6%。产值分类具体如下：电力生产业完成产值46.01亿元，同比增长17%；电力供应业完成产值23.92亿元，同比增长23.5%；建材业完成产值7.51亿元，同比下降13.6 %；电子信息新材料制造业完成产值117.37亿元，同比增长52.3%;装备制造业完成产值40.94亿元，同比增长4.2%；医药及医疗设备制造业完成产值4.62亿元，同比下降0.7%。</w:t>
      </w:r>
    </w:p>
    <w:p w14:paraId="4B39FEC3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313" w:beforeLines="100" w:beforeAutospacing="0" w:after="157" w:afterLines="50" w:afterAutospacing="0" w:line="560" w:lineRule="atLeast"/>
        <w:ind w:left="0" w:right="0" w:firstLine="420" w:firstLineChars="200"/>
        <w:jc w:val="center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410200" cy="3638550"/>
            <wp:effectExtent l="0" t="0" r="0" b="0"/>
            <wp:docPr id="4" name="图片 1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9536F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  <w:t>2025年，全区共有资质等级以上建筑业企业81家，共完成建筑业（省内）总产值30.52亿元，同比增长39.4%；建筑施工企业房屋建筑施工面积153.8万平方米，同比下降7.9%。</w:t>
      </w:r>
    </w:p>
    <w:p w14:paraId="128EB475">
      <w:pPr>
        <w:pStyle w:val="2"/>
        <w:rPr>
          <w:rFonts w:hint="default"/>
        </w:rPr>
      </w:pPr>
    </w:p>
    <w:p w14:paraId="3FC49A8D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仿宋" w:hAnsi="仿宋" w:eastAsia="仿宋" w:cs="仿宋"/>
          <w:kern w:val="0"/>
          <w:sz w:val="32"/>
          <w:szCs w:val="32"/>
          <w:highlight w:val="yellow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四、服务业</w:t>
      </w:r>
    </w:p>
    <w:p w14:paraId="2C61473F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left"/>
        <w:rPr>
          <w:rFonts w:hint="default" w:ascii="仿宋" w:hAnsi="仿宋" w:eastAsia="仿宋" w:cs="仿宋"/>
          <w:kern w:val="2"/>
          <w:sz w:val="32"/>
          <w:szCs w:val="32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  <w:t>2025年，全年规模以上服务业企业实现营业收入10.47亿元，同比下降4.4%。分行业看，无教育行业营业收入；卫生和社会工作行业同比下降5.5%；信息传输、软件和信息技术服务业同比下降34.3%；科学研究和技术服务业同比增长5.8%；交通运输、仓储和邮政业同比增长2.3%；租赁和商务服务业同比下降0.2%；水利、环境和公共设施管理业同比增长8.1%，居民服务业同比下降2.2%，文体娱乐业同比增长2.3%。</w:t>
      </w:r>
    </w:p>
    <w:p w14:paraId="1E5C3F4C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  <w:t>全年货物运输量3239.64万吨，同比增长4.3%。货物运输周转量340161.74万吨公里，同比增长4.3%。</w:t>
      </w:r>
    </w:p>
    <w:p w14:paraId="32886775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  <w:t>全年旅客运输量29.81万人，同比减少12.0%。旅客运输周转量6005.55万人公里，同比减少20.7%（备注：本数据为道路旅客运输量，不含铁路、水路客运数据）。</w:t>
      </w:r>
    </w:p>
    <w:p w14:paraId="7660F328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960" w:firstLineChars="3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  <w:t xml:space="preserve">       2025</w:t>
      </w: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年梅县区交通运输能力情况表</w:t>
      </w:r>
    </w:p>
    <w:tbl>
      <w:tblPr>
        <w:tblStyle w:val="5"/>
        <w:tblW w:w="4812" w:type="pct"/>
        <w:tblInd w:w="1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1572"/>
        <w:gridCol w:w="1767"/>
        <w:gridCol w:w="1767"/>
        <w:gridCol w:w="1567"/>
      </w:tblGrid>
      <w:tr w14:paraId="36D7AC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18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C275F3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  <w:lang w:val="en-US" w:eastAsia="zh-CN" w:bidi="ar"/>
              </w:rPr>
              <w:t xml:space="preserve">指标名称 </w:t>
            </w:r>
          </w:p>
        </w:tc>
        <w:tc>
          <w:tcPr>
            <w:tcW w:w="917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715EC6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  <w:lang w:val="en-US" w:eastAsia="zh-CN" w:bidi="ar"/>
              </w:rPr>
              <w:t>单位</w:t>
            </w:r>
          </w:p>
        </w:tc>
        <w:tc>
          <w:tcPr>
            <w:tcW w:w="101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127B4F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  <w:lang w:val="en-US" w:eastAsia="zh-CN" w:bidi="ar"/>
              </w:rPr>
              <w:t>2025年</w:t>
            </w:r>
          </w:p>
        </w:tc>
        <w:tc>
          <w:tcPr>
            <w:tcW w:w="101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14DA38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  <w:lang w:val="en-US" w:eastAsia="zh-CN" w:bidi="ar"/>
              </w:rPr>
              <w:t>2024年</w:t>
            </w:r>
          </w:p>
        </w:tc>
        <w:tc>
          <w:tcPr>
            <w:tcW w:w="866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689039D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30"/>
                <w:szCs w:val="30"/>
                <w:lang w:val="en-US" w:eastAsia="zh-CN" w:bidi="ar"/>
              </w:rPr>
              <w:t>增速（%）</w:t>
            </w:r>
          </w:p>
        </w:tc>
      </w:tr>
      <w:tr w14:paraId="261E73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18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BE0487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500" w:lineRule="exac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 xml:space="preserve">旅客运输量  </w:t>
            </w:r>
          </w:p>
        </w:tc>
        <w:tc>
          <w:tcPr>
            <w:tcW w:w="917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6826BB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500" w:lineRule="exac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万人</w:t>
            </w:r>
          </w:p>
        </w:tc>
        <w:tc>
          <w:tcPr>
            <w:tcW w:w="17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ADCC8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29.81</w:t>
            </w:r>
          </w:p>
        </w:tc>
        <w:tc>
          <w:tcPr>
            <w:tcW w:w="17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25E38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33.89</w:t>
            </w:r>
          </w:p>
        </w:tc>
        <w:tc>
          <w:tcPr>
            <w:tcW w:w="151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C6B4A2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-12.0</w:t>
            </w:r>
          </w:p>
        </w:tc>
      </w:tr>
      <w:tr w14:paraId="5003E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18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3A032C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500" w:lineRule="exac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 xml:space="preserve">旅客周转量 </w:t>
            </w:r>
          </w:p>
        </w:tc>
        <w:tc>
          <w:tcPr>
            <w:tcW w:w="917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2152B1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500" w:lineRule="exac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万人公里</w:t>
            </w:r>
          </w:p>
        </w:tc>
        <w:tc>
          <w:tcPr>
            <w:tcW w:w="17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2FD6B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6005.55</w:t>
            </w:r>
          </w:p>
        </w:tc>
        <w:tc>
          <w:tcPr>
            <w:tcW w:w="17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AC10E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7576.70</w:t>
            </w:r>
          </w:p>
        </w:tc>
        <w:tc>
          <w:tcPr>
            <w:tcW w:w="151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CCB97A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-20.7</w:t>
            </w:r>
          </w:p>
        </w:tc>
      </w:tr>
      <w:tr w14:paraId="1EC7C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18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6A4C9A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500" w:lineRule="exac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货物运输量</w:t>
            </w:r>
          </w:p>
        </w:tc>
        <w:tc>
          <w:tcPr>
            <w:tcW w:w="917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39E25D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500" w:lineRule="exac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万吨</w:t>
            </w:r>
          </w:p>
        </w:tc>
        <w:tc>
          <w:tcPr>
            <w:tcW w:w="17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80A36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3239.64</w:t>
            </w:r>
          </w:p>
        </w:tc>
        <w:tc>
          <w:tcPr>
            <w:tcW w:w="17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5D630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3106.92</w:t>
            </w:r>
          </w:p>
        </w:tc>
        <w:tc>
          <w:tcPr>
            <w:tcW w:w="151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3C1220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4.3</w:t>
            </w:r>
          </w:p>
        </w:tc>
      </w:tr>
      <w:tr w14:paraId="27046F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89" w:type="pct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C584F95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500" w:lineRule="exac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 xml:space="preserve">货物周转量 </w:t>
            </w:r>
          </w:p>
        </w:tc>
        <w:tc>
          <w:tcPr>
            <w:tcW w:w="917" w:type="pct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E86E00E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500" w:lineRule="exac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万吨公里</w:t>
            </w:r>
          </w:p>
        </w:tc>
        <w:tc>
          <w:tcPr>
            <w:tcW w:w="1767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E32F83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340161.74</w:t>
            </w:r>
          </w:p>
        </w:tc>
        <w:tc>
          <w:tcPr>
            <w:tcW w:w="1767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58E58C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326225.74</w:t>
            </w:r>
          </w:p>
        </w:tc>
        <w:tc>
          <w:tcPr>
            <w:tcW w:w="1510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0CA4EB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00" w:lineRule="exac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4.3</w:t>
            </w:r>
          </w:p>
        </w:tc>
      </w:tr>
    </w:tbl>
    <w:p w14:paraId="2211DA0D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五、固定资产投资、房地产业</w:t>
      </w:r>
    </w:p>
    <w:p w14:paraId="4095C437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  <w:t>2025年，全区固定资产投资同比下降15.8%，其中，项目投资同比下降15.3%。在项目投资中，工业投资同比下降37.3%，技改投资同比下降37.8%，房地产投资同比下降18.8%。分产业看，第一产业投资同比下降88.6%，第二产业投资同比下降37.3%，第三产业投资同比下降5.2%。</w:t>
      </w:r>
    </w:p>
    <w:p w14:paraId="59F0FE76">
      <w:pPr>
        <w:pStyle w:val="2"/>
        <w:rPr>
          <w:rFonts w:hint="default"/>
        </w:rPr>
      </w:pPr>
    </w:p>
    <w:p w14:paraId="70138E4C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 w:firstLine="480" w:firstLineChars="200"/>
        <w:jc w:val="both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0200" cy="3638550"/>
            <wp:effectExtent l="0" t="0" r="0" b="0"/>
            <wp:docPr id="5" name="图片 1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C0C7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p w14:paraId="5DB7FAAC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  <w:t>2025年，全区94家房地产企业完成房地产开发投资同比下降18.8%；其中住宅投资同比下降20.4%。商品房销售面积27.43万平方米，同比增长21.2%；全区商品房销售额13.51亿元，同比增长15.7%；全区房地产待售面积191.66万平方米，同比增长0.4%；商品房施工面积346.31万平方米，同比下降0.6%；竣工面积75.41万平方米，同比增长97.8%。</w:t>
      </w:r>
    </w:p>
    <w:p w14:paraId="6BD643EB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24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</w:pPr>
    </w:p>
    <w:p w14:paraId="6F414725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240" w:lineRule="atLeast"/>
        <w:ind w:left="0" w:right="0"/>
        <w:jc w:val="center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房地产开发和销售主要指标情况表</w:t>
      </w:r>
    </w:p>
    <w:tbl>
      <w:tblPr>
        <w:tblStyle w:val="5"/>
        <w:tblW w:w="8594" w:type="dxa"/>
        <w:tblInd w:w="135" w:type="dxa"/>
        <w:tblBorders>
          <w:top w:val="single" w:color="auto" w:sz="12" w:space="0"/>
          <w:left w:val="none" w:color="auto" w:sz="6" w:space="0"/>
          <w:bottom w:val="single" w:color="auto" w:sz="12" w:space="0"/>
          <w:right w:val="non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5"/>
        <w:gridCol w:w="1529"/>
        <w:gridCol w:w="1116"/>
        <w:gridCol w:w="1224"/>
        <w:gridCol w:w="1350"/>
      </w:tblGrid>
      <w:tr w14:paraId="340BE535"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3375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CD5F0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指 标 名 称</w:t>
            </w:r>
          </w:p>
        </w:tc>
        <w:tc>
          <w:tcPr>
            <w:tcW w:w="1529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C7EFE0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计算单位</w:t>
            </w:r>
          </w:p>
        </w:tc>
        <w:tc>
          <w:tcPr>
            <w:tcW w:w="111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5383E9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2025年</w:t>
            </w:r>
          </w:p>
        </w:tc>
        <w:tc>
          <w:tcPr>
            <w:tcW w:w="122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6F05F0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2024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年</w:t>
            </w:r>
          </w:p>
        </w:tc>
        <w:tc>
          <w:tcPr>
            <w:tcW w:w="135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5B8310A0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同比±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4"/>
                <w:szCs w:val="24"/>
                <w:lang w:val="en-US" w:eastAsia="zh-CN" w:bidi="ar"/>
              </w:rPr>
              <w:t>%</w:t>
            </w:r>
          </w:p>
        </w:tc>
      </w:tr>
      <w:tr w14:paraId="714F712A"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33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B7F237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仿宋" w:cs="Calibri"/>
                <w:kern w:val="0"/>
                <w:sz w:val="22"/>
                <w:szCs w:val="22"/>
              </w:rPr>
            </w:pPr>
            <w:r>
              <w:rPr>
                <w:rFonts w:hint="default" w:ascii="Calibri" w:hAnsi="Calibri" w:eastAsia="仿宋" w:cs="Calibri"/>
                <w:kern w:val="0"/>
                <w:sz w:val="22"/>
                <w:szCs w:val="22"/>
                <w:lang w:val="en-US" w:eastAsia="zh-CN" w:bidi="ar"/>
              </w:rPr>
              <w:t xml:space="preserve">1. 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商品房施工面积</w:t>
            </w:r>
          </w:p>
        </w:tc>
        <w:tc>
          <w:tcPr>
            <w:tcW w:w="1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AE914D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万平方米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262F5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346.31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920356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348.49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 w14:paraId="2B601B9A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-0.6</w:t>
            </w:r>
          </w:p>
        </w:tc>
      </w:tr>
      <w:tr w14:paraId="2B9CA7AE"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33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FC378B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仿宋" w:cs="Calibri"/>
                <w:kern w:val="0"/>
                <w:sz w:val="22"/>
                <w:szCs w:val="22"/>
              </w:rPr>
            </w:pPr>
            <w:r>
              <w:rPr>
                <w:rFonts w:hint="default" w:ascii="Calibri" w:hAnsi="Calibri" w:eastAsia="仿宋" w:cs="Calibri"/>
                <w:kern w:val="0"/>
                <w:sz w:val="22"/>
                <w:szCs w:val="22"/>
                <w:lang w:val="en-US" w:eastAsia="zh-CN" w:bidi="ar"/>
              </w:rPr>
              <w:t>#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住宅</w:t>
            </w:r>
          </w:p>
        </w:tc>
        <w:tc>
          <w:tcPr>
            <w:tcW w:w="1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68A96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万平方米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6F2DEB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215.07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F4A191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232.5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 w14:paraId="71816B2B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-7.5</w:t>
            </w:r>
          </w:p>
        </w:tc>
      </w:tr>
      <w:tr w14:paraId="2581422D"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3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E70112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仿宋" w:cs="Calibri"/>
                <w:kern w:val="0"/>
                <w:sz w:val="22"/>
                <w:szCs w:val="22"/>
              </w:rPr>
            </w:pPr>
            <w:r>
              <w:rPr>
                <w:rFonts w:hint="default" w:ascii="Calibri" w:hAnsi="Calibri" w:eastAsia="仿宋" w:cs="Calibri"/>
                <w:kern w:val="0"/>
                <w:sz w:val="22"/>
                <w:szCs w:val="22"/>
                <w:lang w:val="en-US" w:eastAsia="zh-CN" w:bidi="ar"/>
              </w:rPr>
              <w:t xml:space="preserve">2. 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商品房竣工面积</w:t>
            </w:r>
          </w:p>
        </w:tc>
        <w:tc>
          <w:tcPr>
            <w:tcW w:w="1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23E78B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万平方米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404D1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75.41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FDECC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38.13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 w14:paraId="533D5249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97.8</w:t>
            </w:r>
          </w:p>
        </w:tc>
      </w:tr>
      <w:tr w14:paraId="6AE195B2"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3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283BD9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仿宋" w:cs="Calibri"/>
                <w:kern w:val="0"/>
                <w:sz w:val="22"/>
                <w:szCs w:val="22"/>
              </w:rPr>
            </w:pPr>
            <w:r>
              <w:rPr>
                <w:rFonts w:hint="default" w:ascii="Calibri" w:hAnsi="Calibri" w:eastAsia="仿宋" w:cs="Calibri"/>
                <w:kern w:val="0"/>
                <w:sz w:val="22"/>
                <w:szCs w:val="22"/>
                <w:lang w:val="en-US" w:eastAsia="zh-CN" w:bidi="ar"/>
              </w:rPr>
              <w:t>#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住宅</w:t>
            </w:r>
          </w:p>
        </w:tc>
        <w:tc>
          <w:tcPr>
            <w:tcW w:w="1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1A51E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万平方米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EFD851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46.89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0C2E23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25.64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 w14:paraId="2A5B3519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82.8</w:t>
            </w:r>
          </w:p>
        </w:tc>
      </w:tr>
      <w:tr w14:paraId="7D406B6D"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33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B3E19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</w:rPr>
              <w:t xml:space="preserve">3. 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商品房实际销售面积</w:t>
            </w:r>
          </w:p>
        </w:tc>
        <w:tc>
          <w:tcPr>
            <w:tcW w:w="1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24F70A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万平方米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E36A8E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27.43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E92C2B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22.64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 w14:paraId="7124CC28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21.2</w:t>
            </w:r>
          </w:p>
        </w:tc>
      </w:tr>
      <w:tr w14:paraId="2ED59D3E"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3375" w:type="dxa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/>
            <w:vAlign w:val="center"/>
          </w:tcPr>
          <w:p w14:paraId="2D9C38F8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仿宋" w:cs="Calibri"/>
                <w:kern w:val="0"/>
                <w:sz w:val="22"/>
                <w:szCs w:val="22"/>
              </w:rPr>
            </w:pPr>
            <w:r>
              <w:rPr>
                <w:rFonts w:hint="default" w:ascii="Calibri" w:hAnsi="Calibri" w:eastAsia="仿宋" w:cs="Calibri"/>
                <w:kern w:val="0"/>
                <w:sz w:val="22"/>
                <w:szCs w:val="22"/>
                <w:lang w:val="en-US" w:eastAsia="zh-CN" w:bidi="ar"/>
              </w:rPr>
              <w:t xml:space="preserve">4. 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商品房实际销售额</w:t>
            </w:r>
          </w:p>
        </w:tc>
        <w:tc>
          <w:tcPr>
            <w:tcW w:w="152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/>
            <w:vAlign w:val="center"/>
          </w:tcPr>
          <w:p w14:paraId="0075DCEE">
            <w:pPr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仿宋" w:cs="Calibri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亿元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 w14:paraId="17195D86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13.51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/>
            <w:vAlign w:val="center"/>
          </w:tcPr>
          <w:p w14:paraId="17D22021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11.68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nil"/>
            </w:tcBorders>
            <w:noWrap/>
            <w:vAlign w:val="center"/>
          </w:tcPr>
          <w:p w14:paraId="6B83EE32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kern w:val="2"/>
                <w:sz w:val="24"/>
                <w:szCs w:val="24"/>
                <w:lang w:val="en-US" w:eastAsia="zh-CN" w:bidi="ar"/>
              </w:rPr>
              <w:t>15.7</w:t>
            </w:r>
          </w:p>
        </w:tc>
      </w:tr>
    </w:tbl>
    <w:p w14:paraId="673881B9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</w:pPr>
    </w:p>
    <w:p w14:paraId="16E02DF7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</w:pPr>
    </w:p>
    <w:p w14:paraId="2BA959DE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六、国内贸易</w:t>
      </w:r>
    </w:p>
    <w:p w14:paraId="26ADD06D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both"/>
        <w:rPr>
          <w:rFonts w:hint="default" w:ascii="Arial" w:hAnsi="Arial" w:eastAsia="仿宋_GB2312" w:cs="Arial"/>
          <w:kern w:val="2"/>
          <w:sz w:val="24"/>
          <w:szCs w:val="24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  <w:t>2025年，全区实现社会消费品零售总额125.24亿元，同比增长5.2%。从经营单位所在地看，城镇实现消费品零售总额102.20亿元，同比增长6.1%；乡村市场社会零售总额23.04亿元，同比增长1.5%。从消费形态看，商品零售额116.09亿元，同比增长5.8%；餐饮收入9.14亿元，同比下降1.6%。从销售规模上来看，限额以上法人单位实现零售额41.32亿元，同比增长13.5%。</w:t>
      </w:r>
    </w:p>
    <w:p w14:paraId="177AE1C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410200" cy="3448050"/>
            <wp:effectExtent l="0" t="0" r="0" b="0"/>
            <wp:docPr id="6" name="图片 1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7BF1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</w:pPr>
    </w:p>
    <w:p w14:paraId="688CBC72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七、对外经济</w:t>
      </w:r>
    </w:p>
    <w:p w14:paraId="26199FF6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2025年，全区进出口总额完成35.14亿元，同比增长8.5%。其中，出口总额完成19.33亿元，同比增长8.4%；进口总额完成15.81亿元，同比增长</w:t>
      </w:r>
      <w:r>
        <w:rPr>
          <w:rFonts w:hint="eastAsia" w:ascii="宋体" w:hAnsi="宋体" w:eastAsia="宋体" w:cs="宋体"/>
          <w:color w:val="auto"/>
          <w:kern w:val="2"/>
          <w:sz w:val="32"/>
          <w:szCs w:val="32"/>
          <w:highlight w:val="none"/>
          <w:lang w:val="en-US" w:eastAsia="zh-CN" w:bidi="ar"/>
        </w:rPr>
        <w:t>8.8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%。</w:t>
      </w:r>
    </w:p>
    <w:p w14:paraId="6AE4800E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2025年梅县区新注册外商投资企业32家，合同利用外资金额3396.8万美元，实际利用外资86.1万元。</w:t>
      </w:r>
    </w:p>
    <w:p w14:paraId="464EA74D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黑体" w:hAnsi="宋体" w:eastAsia="黑体" w:cs="黑体"/>
          <w:kern w:val="2"/>
          <w:sz w:val="32"/>
          <w:szCs w:val="32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 xml:space="preserve"> </w:t>
      </w:r>
      <w:r>
        <w:drawing>
          <wp:inline distT="0" distB="0" distL="114300" distR="114300">
            <wp:extent cx="5397500" cy="3606800"/>
            <wp:effectExtent l="4445" t="4445" r="8255" b="8255"/>
            <wp:docPr id="7" name="图表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 xml:space="preserve"> </w:t>
      </w:r>
    </w:p>
    <w:p w14:paraId="401DB842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</w:pPr>
    </w:p>
    <w:p w14:paraId="27880236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八、金融</w:t>
      </w:r>
    </w:p>
    <w:p w14:paraId="7DFB4D99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/>
        <w:jc w:val="both"/>
        <w:rPr>
          <w:rFonts w:hint="default" w:ascii="Times New Roman" w:hAnsi="Times New Roman" w:cs="Times New Roman"/>
          <w:kern w:val="2"/>
          <w:sz w:val="21"/>
          <w:szCs w:val="21"/>
          <w:highlight w:val="none"/>
        </w:rPr>
      </w:pPr>
      <w:r>
        <w:rPr>
          <w:rFonts w:hint="default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2025年，全区金融机构本外币各项存款余额663.76亿元，同比增长3.4</w:t>
      </w:r>
      <w:r>
        <w:rPr>
          <w:rFonts w:hint="default" w:ascii="仿宋" w:hAnsi="仿宋" w:eastAsia="仿宋" w:cs="Times New Roman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%</w:t>
      </w:r>
      <w:r>
        <w:rPr>
          <w:rFonts w:hint="default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；其中，住户存款余额461.36亿元，同比增长12.3</w:t>
      </w:r>
      <w:r>
        <w:rPr>
          <w:rFonts w:hint="default" w:ascii="仿宋" w:hAnsi="仿宋" w:eastAsia="仿宋" w:cs="Times New Roman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%。金融机构本外币各项贷款余额</w:t>
      </w:r>
      <w:r>
        <w:rPr>
          <w:rFonts w:hint="default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489.92亿元，同比增长8.6</w:t>
      </w:r>
      <w:r>
        <w:rPr>
          <w:rFonts w:hint="default" w:ascii="仿宋" w:hAnsi="仿宋" w:eastAsia="仿宋" w:cs="Times New Roman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%。贷存比为</w:t>
      </w:r>
      <w:r>
        <w:rPr>
          <w:rFonts w:hint="default" w:ascii="仿宋" w:hAnsi="仿宋" w:eastAsia="仿宋" w:cs="仿宋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73.8</w:t>
      </w:r>
      <w:r>
        <w:rPr>
          <w:rFonts w:hint="default" w:ascii="仿宋" w:hAnsi="仿宋" w:eastAsia="仿宋" w:cs="Times New Roman"/>
          <w:kern w:val="2"/>
          <w:sz w:val="32"/>
          <w:szCs w:val="32"/>
          <w:highlight w:val="none"/>
          <w:shd w:val="clear" w:color="auto" w:fill="FFFFFF"/>
          <w:lang w:val="en-US" w:eastAsia="zh-CN" w:bidi="ar"/>
        </w:rPr>
        <w:t>%。</w:t>
      </w:r>
    </w:p>
    <w:p w14:paraId="7FC51140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640" w:firstLineChars="200"/>
        <w:jc w:val="center"/>
        <w:rPr>
          <w:rFonts w:hint="default" w:ascii="Times New Roman" w:hAnsi="Times New Roman" w:cs="Times New Roman"/>
          <w:kern w:val="2"/>
          <w:sz w:val="21"/>
          <w:szCs w:val="21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  <w:t>2025</w:t>
      </w: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年金融机构本外币存贷款及增长速度</w:t>
      </w:r>
      <w:r>
        <w:rPr>
          <w:rFonts w:hint="eastAsia" w:ascii="黑体" w:hAnsi="宋体" w:eastAsia="黑体" w:cs="黑体"/>
          <w:kern w:val="2"/>
          <w:sz w:val="32"/>
          <w:szCs w:val="32"/>
          <w:lang w:val="en-US" w:eastAsia="zh-CN" w:bidi="ar"/>
        </w:rPr>
        <w:t>情况表</w:t>
      </w:r>
    </w:p>
    <w:tbl>
      <w:tblPr>
        <w:tblStyle w:val="5"/>
        <w:tblW w:w="86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5"/>
        <w:gridCol w:w="2281"/>
        <w:gridCol w:w="2016"/>
      </w:tblGrid>
      <w:tr w14:paraId="00C8B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4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B30F9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指   标</w:t>
            </w:r>
          </w:p>
        </w:tc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2FC9DE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余额（亿元）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7012C3BE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同比增长%</w:t>
            </w:r>
          </w:p>
        </w:tc>
      </w:tr>
      <w:tr w14:paraId="0E656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4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52F411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金融机构（本外币）各项存款余额</w:t>
            </w:r>
          </w:p>
        </w:tc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F2490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663.76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1F465BC1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3.4</w:t>
            </w:r>
          </w:p>
        </w:tc>
      </w:tr>
      <w:tr w14:paraId="6C263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4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B0D384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其中：住户存款</w:t>
            </w:r>
          </w:p>
        </w:tc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F548E7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461.36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2A0258DD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12.3</w:t>
            </w:r>
          </w:p>
        </w:tc>
      </w:tr>
      <w:tr w14:paraId="4DBF7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4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BFD78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金融机构（本外币）各项贷款余额</w:t>
            </w:r>
          </w:p>
        </w:tc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59935D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489.92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2052478F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atLeast"/>
              <w:ind w:left="0" w:right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8"/>
                <w:szCs w:val="28"/>
                <w:lang w:val="en-US" w:eastAsia="zh-CN" w:bidi="ar"/>
              </w:rPr>
              <w:t>8.6</w:t>
            </w:r>
          </w:p>
        </w:tc>
      </w:tr>
    </w:tbl>
    <w:p w14:paraId="04B10F79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100" w:beforeAutospacing="1" w:after="100" w:afterAutospacing="1" w:line="560" w:lineRule="atLeast"/>
        <w:ind w:left="420" w:leftChars="200" w:right="0"/>
        <w:jc w:val="center"/>
        <w:rPr>
          <w:rFonts w:hint="default" w:ascii="黑体" w:hAnsi="宋体" w:eastAsia="黑体" w:cs="黑体"/>
          <w:kern w:val="2"/>
          <w:sz w:val="32"/>
          <w:szCs w:val="32"/>
        </w:rPr>
      </w:pPr>
      <w:r>
        <w:drawing>
          <wp:inline distT="0" distB="0" distL="114300" distR="114300">
            <wp:extent cx="4916805" cy="3284220"/>
            <wp:effectExtent l="0" t="0" r="17145" b="11430"/>
            <wp:docPr id="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 xml:space="preserve"> </w:t>
      </w:r>
    </w:p>
    <w:p w14:paraId="25A8B81E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/>
        <w:jc w:val="center"/>
        <w:rPr>
          <w:rFonts w:hint="default" w:ascii="黑体" w:hAnsi="宋体" w:eastAsia="黑体" w:cs="黑体"/>
          <w:kern w:val="2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九、人民生活和社会保障</w:t>
      </w:r>
    </w:p>
    <w:p w14:paraId="3B0E0FED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157" w:beforeLines="50" w:beforeAutospacing="0" w:after="157" w:afterLines="50" w:afterAutospacing="0" w:line="560" w:lineRule="atLeast"/>
        <w:ind w:left="0" w:right="0" w:firstLine="640" w:firstLineChars="200"/>
        <w:jc w:val="both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2025年梅县区全体居民人均可支配收入37337元，同比增长1.7%。分城乡看，城镇居民人均可支配收入42752元，同比增长0.1%；农村居民人均可支配收入30464元，同比增长4.0%。</w:t>
      </w:r>
    </w:p>
    <w:p w14:paraId="2A598B43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leftChars="0" w:right="0" w:firstLine="0" w:firstLineChars="0"/>
        <w:jc w:val="center"/>
        <w:rPr>
          <w:rFonts w:hint="default" w:ascii="仿宋" w:hAnsi="仿宋" w:eastAsia="仿宋" w:cs="仿宋"/>
          <w:kern w:val="0"/>
          <w:sz w:val="32"/>
          <w:szCs w:val="32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 xml:space="preserve"> </w:t>
      </w:r>
      <w:r>
        <w:drawing>
          <wp:inline distT="0" distB="0" distL="114300" distR="114300">
            <wp:extent cx="4608830" cy="3077845"/>
            <wp:effectExtent l="0" t="0" r="1270" b="8255"/>
            <wp:docPr id="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25F2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，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全区城镇新增就业2712人、失业人员再就业1682人、就业困难人员实现就业172人、城镇登记失业人数2990人。</w:t>
      </w:r>
    </w:p>
    <w:p w14:paraId="20A549E8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0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2025年，全区有8.14万人参加企业职工基本养老保险，有19.14万人参加城乡居民养老保险；有80015人参加职工医疗保险，有426088人参加城乡医疗保险；有5.85万人参加失业保险，有7.53万人参加工伤保险。</w:t>
      </w:r>
    </w:p>
    <w:p w14:paraId="45E6BA80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480" w:lineRule="atLeast"/>
        <w:ind w:left="0" w:right="0" w:firstLine="641"/>
        <w:jc w:val="both"/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4家正常运营民办养老院拥有备案床位400张，服务对象人数224人。16家敬老院拥有床位415张，入院人数218人；城镇、农村低保标准由862元、647元提高到862元、664元；城镇、农村低保补差水平分别从每月688元、347元提高到688元、366元；城镇、农村特困供养标准分别从每人每月1380元、1036元提高到每人每月1380元、1063元；孤儿基本生活最低养育标准分散供养水平从每人每月1484元提高到1536元；困难残疾人生活补贴、重度残疾人护理补贴标准，分别从每人每月202元、270元提高到209元、280元；通过专项治理，共清退627户1272人、新增低保301户534人。截止到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12月份共有4431户7595人，其中：城镇低保户193户264人，农村低保户4238户7331人。</w:t>
      </w:r>
    </w:p>
    <w:p w14:paraId="3BA14547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/>
        <w:jc w:val="center"/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</w:pPr>
    </w:p>
    <w:p w14:paraId="6647AA21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/>
        <w:jc w:val="center"/>
        <w:rPr>
          <w:rFonts w:hint="default" w:ascii="黑体" w:hAnsi="宋体" w:eastAsia="黑体" w:cs="黑体"/>
          <w:kern w:val="2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十、科技、教育、文化、卫生和体育</w:t>
      </w:r>
    </w:p>
    <w:p w14:paraId="43F3AF6E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480" w:lineRule="atLeast"/>
        <w:ind w:left="0" w:right="0" w:firstLine="641"/>
        <w:jc w:val="both"/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2025年度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，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专利授权量327件，其中：发明专利51件，实用新型专利184件，外观设计专利92件。</w:t>
      </w:r>
    </w:p>
    <w:p w14:paraId="58256C22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480" w:lineRule="atLeast"/>
        <w:ind w:left="0" w:right="0" w:firstLine="641"/>
        <w:jc w:val="both"/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现有专业技术人员7660人，其中正高级职称75人，副高级职称1639人，中级职称3304人，初级职称2642人。教育行业现有在职专业技术人员5178人，其中正高级8人，副高级1260人，中级2385人，初级1525人；女性3156人，占61%；研究生学历173人，本科学历4227人，专科学历618人，中专学历110人,高中及以下学历50人。卫健行业现有在职专业技术人员1837人，其中正高级57人，副高级248人，中级685人，初级847人；女性1048人，占57%；研究生学历73人，本科学历1032人，专科学历608人，中专学历117人，高中及以下学历7人。</w:t>
      </w:r>
    </w:p>
    <w:p w14:paraId="580078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-SA"/>
        </w:rPr>
        <w:t>2025年，各类中等职业教育招生人数1423人，在校学生3959人，毕业生1201人；普通高中实际招生人数4314人，在校学生11759人，毕业生2710人；普通初中招生9073人，在校学生25188人，毕业生7787人；普通小学招生7198人，在校学生48801人，毕业生9719人；幼儿园招生3563人，在校学生15399人，毕业生7426人；特殊教育学校招生人数15人，在校学生76人，毕业生21人。小学和初中净入学率为100%，小学升学率为100%，初中升学率为99.1%。全区高考参考人数3661人，本科上线人数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1306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-SA"/>
        </w:rPr>
        <w:t>人，本科率为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35.67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-SA"/>
        </w:rPr>
        <w:t>%；专科上线人数3237人，专科率88.42%。　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 xml:space="preserve"> </w:t>
      </w:r>
    </w:p>
    <w:p w14:paraId="686B0632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157" w:beforeLines="50" w:beforeAutospacing="0" w:after="157" w:afterLines="50" w:afterAutospacing="0" w:line="240" w:lineRule="atLeast"/>
        <w:ind w:left="0" w:right="0"/>
        <w:jc w:val="center"/>
        <w:rPr>
          <w:rFonts w:hint="default" w:ascii="Times New Roman" w:hAnsi="Times New Roman" w:eastAsia="黑体" w:cs="Times New Roman"/>
          <w:kern w:val="2"/>
          <w:sz w:val="32"/>
          <w:szCs w:val="32"/>
          <w:highlight w:val="none"/>
          <w:lang w:val="en-US" w:eastAsia="zh-CN" w:bidi="ar"/>
        </w:rPr>
      </w:pPr>
    </w:p>
    <w:p w14:paraId="7AF70722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157" w:beforeLines="50" w:beforeAutospacing="0" w:after="157" w:afterLines="50" w:afterAutospacing="0" w:line="240" w:lineRule="atLeast"/>
        <w:ind w:left="0" w:right="0"/>
        <w:jc w:val="center"/>
        <w:rPr>
          <w:rFonts w:hint="default" w:ascii="Times New Roman" w:hAnsi="Times New Roman" w:eastAsia="黑体" w:cs="Times New Roman"/>
          <w:kern w:val="2"/>
          <w:sz w:val="32"/>
          <w:szCs w:val="32"/>
          <w:highlight w:val="none"/>
          <w:lang w:val="en-US" w:eastAsia="zh-CN" w:bidi="ar"/>
        </w:rPr>
      </w:pPr>
    </w:p>
    <w:p w14:paraId="41C3FAFC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157" w:beforeLines="50" w:beforeAutospacing="0" w:after="157" w:afterLines="50" w:afterAutospacing="0" w:line="240" w:lineRule="atLeast"/>
        <w:ind w:left="0" w:right="0"/>
        <w:jc w:val="center"/>
        <w:rPr>
          <w:rFonts w:hint="default" w:ascii="Times New Roman" w:hAnsi="Times New Roman" w:eastAsia="黑体" w:cs="Times New Roman"/>
          <w:kern w:val="2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highlight w:val="none"/>
          <w:lang w:val="en-US" w:eastAsia="zh-CN" w:bidi="ar"/>
        </w:rPr>
        <w:t>2025</w:t>
      </w:r>
      <w:r>
        <w:rPr>
          <w:rFonts w:hint="default" w:ascii="黑体" w:hAnsi="宋体" w:eastAsia="黑体" w:cs="黑体"/>
          <w:kern w:val="2"/>
          <w:sz w:val="32"/>
          <w:szCs w:val="32"/>
          <w:highlight w:val="none"/>
          <w:lang w:val="en-US" w:eastAsia="zh-CN" w:bidi="ar"/>
        </w:rPr>
        <w:t>年各级各类教育招生、在校生、毕业生人数情况表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6"/>
        <w:gridCol w:w="2154"/>
        <w:gridCol w:w="2108"/>
        <w:gridCol w:w="2010"/>
      </w:tblGrid>
      <w:tr w14:paraId="6D3E7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3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F547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黑体" w:hAnsi="宋体" w:eastAsia="黑体" w:cs="黑体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教育阶段/类别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2348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黑体" w:hAnsi="宋体" w:eastAsia="黑体" w:cs="黑体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招生数</w:t>
            </w:r>
          </w:p>
        </w:tc>
        <w:tc>
          <w:tcPr>
            <w:tcW w:w="2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8821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黑体" w:hAnsi="宋体" w:eastAsia="黑体" w:cs="黑体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在校生数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2FDF7C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黑体" w:hAnsi="宋体" w:eastAsia="黑体" w:cs="黑体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毕业生数</w:t>
            </w:r>
          </w:p>
        </w:tc>
      </w:tr>
      <w:tr w14:paraId="42CBA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3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395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中等职业教育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6E66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1423</w:t>
            </w:r>
          </w:p>
        </w:tc>
        <w:tc>
          <w:tcPr>
            <w:tcW w:w="2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4D6B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3959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6CF7CA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1201</w:t>
            </w:r>
          </w:p>
        </w:tc>
      </w:tr>
      <w:tr w14:paraId="4CFA6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3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5AD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普通高中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5C0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4314</w:t>
            </w:r>
          </w:p>
        </w:tc>
        <w:tc>
          <w:tcPr>
            <w:tcW w:w="2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76B0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11759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4868B8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2710</w:t>
            </w:r>
          </w:p>
        </w:tc>
      </w:tr>
      <w:tr w14:paraId="7F705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3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3B87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普通初中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7C6A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9073</w:t>
            </w:r>
          </w:p>
        </w:tc>
        <w:tc>
          <w:tcPr>
            <w:tcW w:w="2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DFD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25188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3A0FAD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7787</w:t>
            </w:r>
          </w:p>
        </w:tc>
      </w:tr>
      <w:tr w14:paraId="7278E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3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7FA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普通小学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5CC1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7198</w:t>
            </w:r>
          </w:p>
        </w:tc>
        <w:tc>
          <w:tcPr>
            <w:tcW w:w="2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6274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48801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0F327E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9719</w:t>
            </w:r>
          </w:p>
        </w:tc>
      </w:tr>
      <w:tr w14:paraId="7E7F0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3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5142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幼儿园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6416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3563</w:t>
            </w:r>
          </w:p>
        </w:tc>
        <w:tc>
          <w:tcPr>
            <w:tcW w:w="2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998D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15399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0D4733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32"/>
                <w:szCs w:val="32"/>
                <w:highlight w:val="none"/>
                <w:lang w:val="en-US" w:eastAsia="zh-CN" w:bidi="ar-SA"/>
              </w:rPr>
              <w:t>7426</w:t>
            </w:r>
          </w:p>
        </w:tc>
      </w:tr>
      <w:tr w14:paraId="08FDE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3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752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特殊教育学校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31B7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15</w:t>
            </w:r>
          </w:p>
        </w:tc>
        <w:tc>
          <w:tcPr>
            <w:tcW w:w="2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FF1C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76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10C54C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kern w:val="0"/>
                <w:sz w:val="28"/>
                <w:szCs w:val="28"/>
                <w:highlight w:val="yellow"/>
              </w:rPr>
            </w:pPr>
            <w:r>
              <w:rPr>
                <w:rFonts w:hint="default" w:ascii="仿宋" w:hAnsi="仿宋" w:eastAsia="仿宋" w:cs="仿宋"/>
                <w:kern w:val="0"/>
                <w:sz w:val="32"/>
                <w:szCs w:val="32"/>
                <w:lang w:val="en-US" w:eastAsia="zh-CN" w:bidi="ar"/>
              </w:rPr>
              <w:t>21</w:t>
            </w:r>
          </w:p>
        </w:tc>
      </w:tr>
    </w:tbl>
    <w:p w14:paraId="6FA181AE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240" w:lineRule="atLeast"/>
        <w:ind w:left="0" w:right="0"/>
        <w:jc w:val="center"/>
      </w:pPr>
    </w:p>
    <w:p w14:paraId="556C6B01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240" w:lineRule="atLeast"/>
        <w:ind w:left="0" w:right="0"/>
        <w:jc w:val="center"/>
      </w:pPr>
    </w:p>
    <w:p w14:paraId="76E5370B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240" w:lineRule="atLeast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</w:rPr>
      </w:pPr>
      <w:r>
        <w:drawing>
          <wp:inline distT="0" distB="0" distL="114300" distR="114300">
            <wp:extent cx="4744085" cy="3168015"/>
            <wp:effectExtent l="0" t="0" r="18415" b="13335"/>
            <wp:docPr id="1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9E44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2025年，全区有文保单位75处、非物质文化遗产63项、博物馆馆藏文物7136件；有国家一级文化馆1家（梅县区文化馆），已评估定级文化站特级站7个、一级站6个、二级站6个。梅县区图书馆有纸质藏书约71.91万册</w:t>
      </w:r>
      <w:r>
        <w:rPr>
          <w:rFonts w:hint="default" w:ascii="仿宋_GB2312" w:hAnsi="Times New Roman" w:eastAsia="仿宋_GB2312" w:cs="仿宋_GB2312"/>
          <w:kern w:val="2"/>
          <w:sz w:val="32"/>
          <w:szCs w:val="32"/>
          <w:highlight w:val="none"/>
          <w:lang w:val="en-US" w:eastAsia="zh-CN" w:bidi="ar"/>
        </w:rPr>
        <w:t>、电子图书25.3万册，人均达到1.29册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。松口图书馆纸质藏书11.96万册，人均3.18册。全区电视卫星接收站2个；有线电视广播站18个；数字电视用户数量4.26万户；有线电视覆盖用户数量13.32万户；全区电视综合人口覆盖率100%，广播综合人口覆盖率100%。</w:t>
      </w:r>
    </w:p>
    <w:p w14:paraId="468798C5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梅县区旅游资源中4级以上（含4级）点位共78处，文化和旅游类企业63家。其中文化类企业24家（含互联网服务企业11家、娱乐场所企业13家），旅游类企业39家（含国家A级旅游景区7家、登记民宿16家、旅行社16家、星级饭店1家）。梅县区接待旅游总人数252.14万人次，同比增长8.22%，旅游总收入24.91亿元，同比增长7.41%。</w:t>
      </w:r>
    </w:p>
    <w:p w14:paraId="0FE0D400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2025年，全区共有医疗卫生机构463个，其中医院类机构6个，基层医疗机构452个，专业公共卫生机构3个，其他卫生机构2个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。</w:t>
      </w:r>
    </w:p>
    <w:p w14:paraId="04ECFB0D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，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全区医疗机构拥有编制床位3188张，其中医院2110 张，基层医疗卫生机构818张，专业公共卫生机构260张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。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2025年全区各类卫生技术人员3816人，其中执业(助理)医师1630人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，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注册护士1534人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，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药师(士)278人，技师(士)263人，检验师154人，影像师29人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，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康复师63人，其他(包括见习医师、卫生监督人员)111人。全区诊疗量22.9万人次，出院量4.9万人次。</w:t>
      </w:r>
    </w:p>
    <w:p w14:paraId="4CB28209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100" w:beforeAutospacing="1" w:after="100" w:afterAutospacing="1" w:line="560" w:lineRule="atLeast"/>
        <w:ind w:left="420" w:leftChars="0" w:right="0" w:hanging="420" w:firstLineChars="0"/>
        <w:jc w:val="center"/>
        <w:rPr>
          <w:rFonts w:hint="default" w:ascii="Arial" w:hAnsi="Arial" w:eastAsia="仿宋_GB2312" w:cs="仿宋_GB2312"/>
          <w:kern w:val="2"/>
          <w:sz w:val="24"/>
          <w:szCs w:val="24"/>
          <w:highlight w:val="none"/>
        </w:rPr>
      </w:pPr>
      <w:r>
        <w:drawing>
          <wp:inline distT="0" distB="0" distL="114300" distR="114300">
            <wp:extent cx="5410200" cy="3613150"/>
            <wp:effectExtent l="0" t="0" r="0" b="6350"/>
            <wp:docPr id="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26CA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2025年，全区运动员参加市级以上比赛获得221块奖牌；举办县级运动竞赛（含县级运动会、单项比赛）15次，参与运动员人数3000人，举办镇级以上各类运动竞赛共524场、参加运动员</w:t>
      </w:r>
      <w:r>
        <w:rPr>
          <w:rFonts w:hint="default" w:ascii="仿宋_GB2312" w:hAnsi="Times New Roman" w:eastAsia="仿宋_GB2312" w:cs="仿宋_GB2312"/>
          <w:kern w:val="2"/>
          <w:sz w:val="32"/>
          <w:szCs w:val="32"/>
          <w:highlight w:val="none"/>
          <w:lang w:val="en-US" w:eastAsia="zh-CN" w:bidi="ar"/>
        </w:rPr>
        <w:t>21778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人；有体育场（馆）2个，体育场地总面积达170万平方米，人均体育场地面积达3.07平方米。</w:t>
      </w:r>
      <w:r>
        <w:rPr>
          <w:rFonts w:hint="default" w:ascii="仿宋_GB2312" w:hAnsi="Times New Roman" w:eastAsia="仿宋_GB2312" w:cs="仿宋_GB2312"/>
          <w:kern w:val="2"/>
          <w:sz w:val="32"/>
          <w:szCs w:val="32"/>
          <w:highlight w:val="none"/>
          <w:lang w:val="en-US" w:eastAsia="zh-CN" w:bidi="ar"/>
        </w:rPr>
        <w:t>开展大型文体活动有58场次，参赛人数达12万人。</w:t>
      </w:r>
    </w:p>
    <w:p w14:paraId="37AD057E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/>
        <w:jc w:val="center"/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</w:pPr>
    </w:p>
    <w:p w14:paraId="31A984B0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/>
        <w:jc w:val="center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  <w:r>
        <w:rPr>
          <w:rFonts w:hint="default" w:ascii="黑体" w:hAnsi="宋体" w:eastAsia="黑体" w:cs="黑体"/>
          <w:kern w:val="2"/>
          <w:sz w:val="32"/>
          <w:szCs w:val="32"/>
          <w:lang w:val="en-US" w:eastAsia="zh-CN" w:bidi="ar"/>
        </w:rPr>
        <w:t>十一、资源、环境和安全生产</w:t>
      </w:r>
    </w:p>
    <w:p w14:paraId="719348F0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2025年，全区总用水量3.14亿立方米，同比下降0.8%，其中地下水</w:t>
      </w:r>
      <w:r>
        <w:rPr>
          <w:rFonts w:hint="default" w:ascii="仿宋" w:hAnsi="仿宋" w:eastAsia="仿宋" w:cs="仿宋"/>
          <w:kern w:val="2"/>
          <w:sz w:val="32"/>
          <w:szCs w:val="32"/>
          <w:highlight w:val="none"/>
          <w:lang w:val="en-US" w:eastAsia="zh-CN" w:bidi="ar"/>
        </w:rPr>
        <w:t>256.51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万立方米，同比下降4.6%。</w:t>
      </w:r>
    </w:p>
    <w:p w14:paraId="551750FD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"/>
        </w:rPr>
        <w:t>2025年，规模以上工业综合能源消费量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"/>
        </w:rPr>
        <w:t>53.79</w:t>
      </w:r>
      <w:r>
        <w:rPr>
          <w:rFonts w:hint="default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"/>
        </w:rPr>
        <w:t>万吨标准煤，同比增长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"/>
        </w:rPr>
        <w:t>29.2</w:t>
      </w:r>
      <w:r>
        <w:rPr>
          <w:rFonts w:hint="default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"/>
        </w:rPr>
        <w:t>%。单位工业增加值能耗增长0.9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"/>
        </w:rPr>
        <w:t>7</w:t>
      </w:r>
      <w:r>
        <w:rPr>
          <w:rFonts w:hint="default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 w:bidi="ar"/>
        </w:rPr>
        <w:t>%。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全区全社会用电量32.9亿千瓦时，同比增长20.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7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%。工业用电量19.52亿千瓦时，同比增长27.</w:t>
      </w:r>
      <w:r>
        <w:rPr>
          <w:rFonts w:hint="eastAsia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9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%；其中规模以上工业用电量15.34亿千瓦时，同比增长28.1%。</w:t>
      </w:r>
    </w:p>
    <w:p w14:paraId="686A0189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2025年，全区环境质量总体保持良好，空气质量优良率98.5%，各项污染物平均浓度符合国家环境空气质量二级标准。全区有环境监测站1个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highlight w:val="none"/>
          <w:lang w:val="en-US" w:eastAsia="zh-CN" w:bidi="ar"/>
        </w:rPr>
        <w:t>（梅州市梅县生态环境监测站），空气自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动监测站1座、水质自动监测站4座、噪声自动监测站3座，全区6个地表水考核断面（1个省考断面，5个市考断面），平均水质均达到或优于Ⅲ类，平均水质优良率、平均水质达标率均为100%。工业危险废物安全处置率为100%。全区建设项目环评审批11宗，建设项目登记备案数99个，环保投资金额11446.10万元。</w:t>
      </w:r>
    </w:p>
    <w:p w14:paraId="20BBCE24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林地面积18.21万公顷，全区森林面积18.72万公顷，森林覆盖率达75.58%，森林蓄积1486.68万立方米，建成11个自然保护区（面积12035.7公顷）和14个森林公园（面积3668.29公顷），林业产值46.68亿元，同比增长15.12%。</w:t>
      </w:r>
    </w:p>
    <w:p w14:paraId="2247E324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2025年，全区受灾人口16484人，共转移群众16322人次（紧急避险转移15583人次，转移安置739人次）。农作物受灾面积25.9公顷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highlight w:val="none"/>
          <w:lang w:val="en-US" w:eastAsia="zh-CN" w:bidi="ar"/>
        </w:rPr>
        <w:t>，未收到有因灾死亡牲畜，未收到有倒塌房屋情况</w:t>
      </w: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，预估直接经济损失0.014583亿元。</w:t>
      </w:r>
    </w:p>
    <w:p w14:paraId="2F4722FA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napToGrid w:val="0"/>
        <w:spacing w:before="0" w:beforeAutospacing="0" w:after="0" w:afterAutospacing="0" w:line="560" w:lineRule="atLeast"/>
        <w:ind w:left="0" w:right="-2" w:rightChars="-1"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highlight w:val="none"/>
        </w:rPr>
      </w:pPr>
      <w:r>
        <w:rPr>
          <w:rFonts w:hint="default" w:ascii="仿宋" w:hAnsi="仿宋" w:eastAsia="仿宋" w:cs="仿宋"/>
          <w:kern w:val="0"/>
          <w:sz w:val="32"/>
          <w:szCs w:val="32"/>
          <w:highlight w:val="none"/>
          <w:lang w:val="en-US" w:eastAsia="zh-CN" w:bidi="ar"/>
        </w:rPr>
        <w:t>2025年，全区共发生7起生产安全事故，其中，生产经营性道路交通事故5起，林业行业安全生产事故1起，非煤矿山安全生产事故1起。</w:t>
      </w:r>
    </w:p>
    <w:p w14:paraId="0314279D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kern w:val="2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highlight w:val="none"/>
          <w:lang w:val="en-US" w:eastAsia="zh-CN" w:bidi="ar"/>
        </w:rPr>
        <w:t xml:space="preserve"> </w:t>
      </w:r>
    </w:p>
    <w:p w14:paraId="49DDAA8A">
      <w:pPr>
        <w:pStyle w:val="4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100" w:beforeAutospacing="1" w:after="100" w:afterAutospacing="1"/>
        <w:ind w:left="420" w:leftChars="200" w:right="0"/>
        <w:jc w:val="both"/>
        <w:rPr>
          <w:rFonts w:hint="default" w:ascii="Times New Roman" w:hAnsi="Times New Roman" w:eastAsia="仿宋_GB2312" w:cs="Times New Roman"/>
          <w:kern w:val="2"/>
          <w:sz w:val="28"/>
          <w:szCs w:val="28"/>
          <w:highlight w:val="none"/>
        </w:rPr>
        <w:sectPr>
          <w:pgSz w:w="11906" w:h="16838"/>
          <w:pgMar w:top="1814" w:right="1531" w:bottom="1701" w:left="1531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</w:p>
    <w:p w14:paraId="1017FDD1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2" w:right="0" w:firstLine="600"/>
        <w:jc w:val="both"/>
        <w:rPr>
          <w:rFonts w:hint="default" w:ascii="Times New Roman" w:hAnsi="Times New Roman" w:eastAsia="仿宋_GB2312" w:cs="Times New Roman"/>
          <w:kern w:val="2"/>
          <w:sz w:val="28"/>
          <w:szCs w:val="28"/>
        </w:rPr>
      </w:pP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注：</w:t>
      </w:r>
    </w:p>
    <w:p w14:paraId="4B0CEA04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2" w:right="0" w:firstLine="600"/>
        <w:jc w:val="both"/>
        <w:rPr>
          <w:rFonts w:hint="default" w:ascii="Times New Roman" w:hAnsi="Times New Roman" w:eastAsia="仿宋_GB2312" w:cs="Times New Roman"/>
          <w:kern w:val="2"/>
          <w:sz w:val="28"/>
          <w:szCs w:val="28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1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、本公报中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2025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年数据为初步统计数。</w:t>
      </w:r>
    </w:p>
    <w:p w14:paraId="4865A044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2" w:right="0" w:firstLine="600"/>
        <w:jc w:val="both"/>
        <w:rPr>
          <w:rFonts w:hint="default" w:ascii="Times New Roman" w:hAnsi="Times New Roman" w:eastAsia="仿宋_GB2312" w:cs="Times New Roman"/>
          <w:kern w:val="2"/>
          <w:sz w:val="28"/>
          <w:szCs w:val="28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2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、从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2011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年起，规模以上工业统计口径由年主营业务收入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500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万元调整为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2000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万元及以上；固定资产投资项目统计起点由计划总投资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50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万元提高到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500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万元，增速为可比口径。限额以上批发和零售业统计标准为：批发业年主营业务收入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2000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万元及以上；零售业年主营业务收入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500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万元及以上。</w:t>
      </w:r>
    </w:p>
    <w:p w14:paraId="29FE1902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2" w:right="0" w:firstLine="600"/>
        <w:jc w:val="both"/>
        <w:rPr>
          <w:rFonts w:hint="default" w:ascii="Times New Roman" w:hAnsi="Times New Roman" w:eastAsia="仿宋_GB2312" w:cs="Times New Roman"/>
          <w:kern w:val="2"/>
          <w:sz w:val="28"/>
          <w:szCs w:val="28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3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、地区生产总值、三次产业及相关行业增加值、人均地区生产总值绝对数按现价计算，增长速度按可比价计算。</w:t>
      </w:r>
    </w:p>
    <w:p w14:paraId="71F9203D"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atLeast"/>
        <w:ind w:left="0" w:right="0" w:firstLine="570"/>
        <w:jc w:val="both"/>
        <w:rPr>
          <w:rFonts w:hint="default" w:ascii="仿宋" w:hAnsi="仿宋" w:eastAsia="仿宋_GB2312" w:cs="仿宋_GB2312"/>
          <w:color w:val="424242"/>
          <w:kern w:val="2"/>
          <w:sz w:val="28"/>
          <w:szCs w:val="28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"/>
        </w:rPr>
        <w:t>3</w:t>
      </w:r>
      <w:r>
        <w:rPr>
          <w:rFonts w:hint="default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、数据来源：本公报中城镇新增就业、登记失业率、社会保障数据来自区民政和人力资源社会保障局和区医疗保障局；财政数据来自区财政局；旅客和货物周转量等数据来自区交通局；外贸进出口、外商直接投资等数据来自区科工商务局；金融数据来自人民银行；教育数据来自区教育局；专利数据来自区市场监督局；博物馆、公共图书馆、文化馆、广播、电视、体育等数据来自区文化广电旅游体育局；环境监测数据来自市生态环境局梅县分局；林业数据来自区林业局；农作物受灾面积、安全生产数据来自区应急管理局；其他数据来自区统计局。</w:t>
      </w:r>
    </w:p>
    <w:p w14:paraId="7CCCA65A"/>
    <w:sectPr>
      <w:pgSz w:w="11906" w:h="16838"/>
      <w:pgMar w:top="1440" w:right="1800" w:bottom="144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" w:fontKey="{63250E78-323A-4A45-ACE0-39CDCBE7978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B10E596-5DDF-4453-9E3B-AE6EDA8CACC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30147F3B-8CA8-4F72-BB6D-84D8A683E7A5}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BB1D6C"/>
    <w:rsid w:val="08D35DAA"/>
    <w:rsid w:val="0B6B22C9"/>
    <w:rsid w:val="0D4903E8"/>
    <w:rsid w:val="0D5439A7"/>
    <w:rsid w:val="0ECF491D"/>
    <w:rsid w:val="0FF67FE7"/>
    <w:rsid w:val="1765661D"/>
    <w:rsid w:val="190D51A2"/>
    <w:rsid w:val="1D9E6DCA"/>
    <w:rsid w:val="1DBBBC79"/>
    <w:rsid w:val="23130AEE"/>
    <w:rsid w:val="257548B4"/>
    <w:rsid w:val="2E4B1DBB"/>
    <w:rsid w:val="2F7215C9"/>
    <w:rsid w:val="3173284C"/>
    <w:rsid w:val="38231794"/>
    <w:rsid w:val="3DEEDB6A"/>
    <w:rsid w:val="41C17BF0"/>
    <w:rsid w:val="43686B13"/>
    <w:rsid w:val="46BC13D0"/>
    <w:rsid w:val="487E46E3"/>
    <w:rsid w:val="49E031D3"/>
    <w:rsid w:val="4A182544"/>
    <w:rsid w:val="4C935807"/>
    <w:rsid w:val="4D245859"/>
    <w:rsid w:val="574B0E81"/>
    <w:rsid w:val="575EB022"/>
    <w:rsid w:val="577337DA"/>
    <w:rsid w:val="57FF725F"/>
    <w:rsid w:val="582836A2"/>
    <w:rsid w:val="5BE5F9C1"/>
    <w:rsid w:val="5FF91018"/>
    <w:rsid w:val="65975D1F"/>
    <w:rsid w:val="68EF80F0"/>
    <w:rsid w:val="6A164324"/>
    <w:rsid w:val="6E1A6AD8"/>
    <w:rsid w:val="6F5BB0A7"/>
    <w:rsid w:val="6FB7758D"/>
    <w:rsid w:val="727B1B10"/>
    <w:rsid w:val="76856AB9"/>
    <w:rsid w:val="777DCCC0"/>
    <w:rsid w:val="78162870"/>
    <w:rsid w:val="78FC3E97"/>
    <w:rsid w:val="7DF57DE9"/>
    <w:rsid w:val="7DFE1871"/>
    <w:rsid w:val="7EF73324"/>
    <w:rsid w:val="7FF51472"/>
    <w:rsid w:val="87EFBD1A"/>
    <w:rsid w:val="B5F73CAA"/>
    <w:rsid w:val="B7BF2121"/>
    <w:rsid w:val="BDFF5951"/>
    <w:rsid w:val="BEB32D2B"/>
    <w:rsid w:val="BFB5A9C5"/>
    <w:rsid w:val="BFFF64E1"/>
    <w:rsid w:val="D3BEDED3"/>
    <w:rsid w:val="D7EFC654"/>
    <w:rsid w:val="DFE7BA76"/>
    <w:rsid w:val="DFF72B33"/>
    <w:rsid w:val="E2E54049"/>
    <w:rsid w:val="E3FF470D"/>
    <w:rsid w:val="EBDD8D04"/>
    <w:rsid w:val="EBFFC420"/>
    <w:rsid w:val="EEEEF680"/>
    <w:rsid w:val="EFFF2BAE"/>
    <w:rsid w:val="F5FD9D49"/>
    <w:rsid w:val="F7EE3511"/>
    <w:rsid w:val="FCFB4A10"/>
    <w:rsid w:val="FDFE4735"/>
    <w:rsid w:val="FE5B0B11"/>
    <w:rsid w:val="FF27004B"/>
    <w:rsid w:val="FFEFBD65"/>
    <w:rsid w:val="FFF6F959"/>
    <w:rsid w:val="FFFA7A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kern w:val="2"/>
      <w:sz w:val="21"/>
      <w:szCs w:val="2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3"/>
    <w:next w:val="1"/>
    <w:qFormat/>
    <w:uiPriority w:val="0"/>
    <w:pPr>
      <w:keepNext w:val="0"/>
      <w:keepLines w:val="0"/>
      <w:widowControl w:val="0"/>
      <w:suppressLineNumbers w:val="0"/>
      <w:ind w:left="420" w:leftChars="200"/>
      <w:jc w:val="both"/>
    </w:pPr>
    <w:rPr>
      <w:rFonts w:hint="default" w:ascii="Arial" w:hAnsi="Arial" w:eastAsia="仿宋_GB2312" w:cs="Arial"/>
      <w:kern w:val="2"/>
      <w:sz w:val="24"/>
      <w:szCs w:val="24"/>
      <w:lang w:val="en-US" w:eastAsia="zh-CN" w:bidi="ar"/>
    </w:rPr>
  </w:style>
  <w:style w:type="paragraph" w:styleId="3">
    <w:name w:val="table of authorities"/>
    <w:basedOn w:val="1"/>
    <w:next w:val="1"/>
    <w:unhideWhenUsed/>
    <w:qFormat/>
    <w:uiPriority w:val="99"/>
    <w:pPr>
      <w:ind w:left="420" w:leftChars="200"/>
    </w:pPr>
  </w:style>
  <w:style w:type="paragraph" w:styleId="4">
    <w:name w:val="Normal (Web)"/>
    <w:basedOn w:val="1"/>
    <w:unhideWhenUsed/>
    <w:qFormat/>
    <w:uiPriority w:val="99"/>
    <w:pPr>
      <w:keepNext w:val="0"/>
      <w:keepLines w:val="0"/>
      <w:widowControl/>
      <w:suppressLineNumbers w:val="0"/>
      <w:spacing w:before="100" w:beforeAutospacing="1" w:after="100" w:afterAutospacing="1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6">
    <w:name w:val="Table Grid"/>
    <w:basedOn w:val="5"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Calibri" w:hAnsi="Calibri" w:cs="Times New Roman"/>
      <w:kern w:val="2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chart" Target="charts/chart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themeOverride" Target="../theme/themeOverride1.xml"/><Relationship Id="rId1" Type="http://schemas.openxmlformats.org/officeDocument/2006/relationships/oleObject" Target="/home/PC-001/&#26700;&#38754;/&#32479;&#35745;&#20844;&#25253;/&#26757;&#21439;%20&#20844;&#25253;&#22270;&#34920;&#27169;&#2649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cap="none" spc="0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+mn-lt"/>
                <a:ea typeface="+mn-ea"/>
                <a:cs typeface="+mn-cs"/>
              </a:defRPr>
            </a:pPr>
            <a:r>
              <a:rPr sz="1400" b="1" i="0" u="none" strike="noStrike" cap="none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rPr>
              <a:t>20</a:t>
            </a:r>
            <a:r>
              <a:rPr lang="en-US" altLang="zh-CN" sz="1400" b="1" i="0" u="none" strike="noStrike" cap="none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rPr>
              <a:t>20</a:t>
            </a:r>
            <a:r>
              <a:rPr sz="1400" b="1" i="0" u="none" strike="noStrike" cap="none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rPr>
              <a:t>-202</a:t>
            </a:r>
            <a:r>
              <a:rPr lang="en-US" altLang="zh-CN" sz="1400" b="1" i="0" u="none" strike="noStrike" cap="none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rPr>
              <a:t>5</a:t>
            </a:r>
            <a:r>
              <a:rPr sz="1400" b="1" i="0" u="none" strike="noStrike" cap="none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rPr>
              <a:t>年进出口情况</a:t>
            </a:r>
            <a:endParaRPr sz="1100" b="0" i="0" u="none" strike="noStrike" cap="none" normalizeH="0" baseline="0">
              <a:solidFill>
                <a:sysClr val="windowText" lastClr="000000"/>
              </a:solidFill>
              <a:uFill>
                <a:solidFill>
                  <a:sysClr val="windowText" lastClr="000000"/>
                </a:solidFill>
              </a:u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2675758288267"/>
          <c:y val="0.127314406630224"/>
          <c:w val="0.769198213026099"/>
          <c:h val="0.6472227120437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'[梅县 公报图表模板.xls]Sheet2'!$B$66</c:f>
              <c:strCache>
                <c:ptCount val="1"/>
                <c:pt idx="0">
                  <c:v>货物出口（亿元）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1" i="0" u="none" strike="noStrike" kern="1200" cap="none" spc="0" normalizeH="0" baseline="0">
                    <a:solidFill>
                      <a:sysClr val="windowText" lastClr="000000"/>
                    </a:solidFill>
                    <a:uFill>
                      <a:solidFill>
                        <a:sysClr val="windowText" lastClr="000000"/>
                      </a:solidFill>
                    </a:u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'[梅县 公报图表模板.xls]Sheet2'!$A$67:$A$72</c:f>
              <c:strCache>
                <c:ptCount val="6"/>
                <c:pt idx="0">
                  <c:v>2020年</c:v>
                </c:pt>
                <c:pt idx="1">
                  <c:v>2021年</c:v>
                </c:pt>
                <c:pt idx="2">
                  <c:v>2022年</c:v>
                </c:pt>
                <c:pt idx="3">
                  <c:v>2023年</c:v>
                </c:pt>
                <c:pt idx="4">
                  <c:v>2024年</c:v>
                </c:pt>
                <c:pt idx="5">
                  <c:v>2025年</c:v>
                </c:pt>
              </c:strCache>
            </c:strRef>
          </c:cat>
          <c:val>
            <c:numRef>
              <c:f>'[梅县 公报图表模板.xls]Sheet2'!$B$67:$B$72</c:f>
              <c:numCache>
                <c:formatCode>0.00_ </c:formatCode>
                <c:ptCount val="6"/>
                <c:pt idx="0">
                  <c:v>12.73</c:v>
                </c:pt>
                <c:pt idx="1">
                  <c:v>17.04</c:v>
                </c:pt>
                <c:pt idx="2">
                  <c:v>16.37</c:v>
                </c:pt>
                <c:pt idx="3">
                  <c:v>17.3</c:v>
                </c:pt>
                <c:pt idx="4">
                  <c:v>17.84</c:v>
                </c:pt>
                <c:pt idx="5">
                  <c:v>19.33</c:v>
                </c:pt>
              </c:numCache>
            </c:numRef>
          </c:val>
        </c:ser>
        <c:ser>
          <c:idx val="1"/>
          <c:order val="1"/>
          <c:tx>
            <c:strRef>
              <c:f>'[梅县 公报图表模板.xls]Sheet2'!$C$66</c:f>
              <c:strCache>
                <c:ptCount val="1"/>
                <c:pt idx="0">
                  <c:v>货物进口（亿元）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.035277516462841"/>
                  <c:y val="0.0458634679837714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1" i="0" u="none" strike="noStrike" kern="1200" cap="none" spc="0" normalizeH="0" baseline="0">
                      <a:solidFill>
                        <a:sysClr val="windowText" lastClr="000000"/>
                      </a:solidFill>
                      <a:uFill>
                        <a:solidFill>
                          <a:sysClr val="windowText" lastClr="000000"/>
                        </a:solidFill>
                      </a:u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587958607714017"/>
                  <c:y val="0.0282236726053978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1" i="0" u="none" strike="noStrike" kern="1200" cap="none" spc="0" normalizeH="0" baseline="0">
                      <a:solidFill>
                        <a:sysClr val="windowText" lastClr="000000"/>
                      </a:solidFill>
                      <a:uFill>
                        <a:solidFill>
                          <a:sysClr val="windowText" lastClr="000000"/>
                        </a:solidFill>
                      </a:u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0446848541862653"/>
                  <c:y val="0.0511554065972835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1" i="0" u="none" strike="noStrike" kern="1200" cap="none" spc="0" normalizeH="0" baseline="0">
                      <a:solidFill>
                        <a:sysClr val="windowText" lastClr="000000"/>
                      </a:solidFill>
                      <a:uFill>
                        <a:solidFill>
                          <a:sysClr val="windowText" lastClr="000000"/>
                        </a:solidFill>
                      </a:u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1" i="0" u="none" strike="noStrike" kern="1200" cap="none" spc="0" normalizeH="0" baseline="0">
                    <a:solidFill>
                      <a:sysClr val="windowText" lastClr="000000"/>
                    </a:solidFill>
                    <a:uFill>
                      <a:solidFill>
                        <a:sysClr val="windowText" lastClr="000000"/>
                      </a:solidFill>
                    </a:u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'[梅县 公报图表模板.xls]Sheet2'!$A$67:$A$72</c:f>
              <c:strCache>
                <c:ptCount val="6"/>
                <c:pt idx="0">
                  <c:v>2020年</c:v>
                </c:pt>
                <c:pt idx="1">
                  <c:v>2021年</c:v>
                </c:pt>
                <c:pt idx="2">
                  <c:v>2022年</c:v>
                </c:pt>
                <c:pt idx="3">
                  <c:v>2023年</c:v>
                </c:pt>
                <c:pt idx="4">
                  <c:v>2024年</c:v>
                </c:pt>
                <c:pt idx="5">
                  <c:v>2025年</c:v>
                </c:pt>
              </c:strCache>
            </c:strRef>
          </c:cat>
          <c:val>
            <c:numRef>
              <c:f>'[梅县 公报图表模板.xls]Sheet2'!$C$67:$C$72</c:f>
              <c:numCache>
                <c:formatCode>0.00_ </c:formatCode>
                <c:ptCount val="6"/>
                <c:pt idx="0">
                  <c:v>6.48</c:v>
                </c:pt>
                <c:pt idx="1">
                  <c:v>15.55</c:v>
                </c:pt>
                <c:pt idx="2">
                  <c:v>9.83</c:v>
                </c:pt>
                <c:pt idx="3">
                  <c:v>10.59</c:v>
                </c:pt>
                <c:pt idx="4">
                  <c:v>14.53</c:v>
                </c:pt>
                <c:pt idx="5">
                  <c:v>15.81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3"/>
        <c:overlap val="-43"/>
        <c:axId val="312120244"/>
        <c:axId val="788286030"/>
      </c:barChart>
      <c:lineChart>
        <c:grouping val="standard"/>
        <c:varyColors val="0"/>
        <c:ser>
          <c:idx val="2"/>
          <c:order val="2"/>
          <c:tx>
            <c:strRef>
              <c:f>'[梅县 公报图表模板.xls]Sheet2'!$D$66</c:f>
              <c:strCache>
                <c:ptCount val="1"/>
                <c:pt idx="0">
                  <c:v>货物进出口比上年增长（%）</c:v>
                </c:pt>
              </c:strCache>
            </c:strRef>
          </c:tx>
          <c:spPr>
            <a:ln w="28575" cap="rnd" cmpd="sng" algn="ctr">
              <a:solidFill>
                <a:srgbClr val="9BBB59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0446848541862653"/>
                  <c:y val="0.0123478567648615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1" i="0" u="none" strike="noStrike" kern="1200" cap="none" spc="0" normalizeH="0" baseline="0">
                      <a:solidFill>
                        <a:sysClr val="windowText" lastClr="000000"/>
                      </a:solidFill>
                      <a:uFill>
                        <a:solidFill>
                          <a:sysClr val="windowText" lastClr="000000"/>
                        </a:solidFill>
                      </a:u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529162746942615"/>
                  <c:y val="-0.0493914270594461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1" i="0" u="none" strike="noStrike" kern="1200" cap="none" spc="0" normalizeH="0" baseline="0">
                      <a:solidFill>
                        <a:sysClr val="windowText" lastClr="000000"/>
                      </a:solidFill>
                      <a:uFill>
                        <a:solidFill>
                          <a:sysClr val="windowText" lastClr="000000"/>
                        </a:solidFill>
                      </a:u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00235183443085607"/>
                  <c:y val="-0.0105838772270242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1" i="0" u="none" strike="noStrike" kern="1200" cap="none" spc="0" normalizeH="0" baseline="0">
                      <a:solidFill>
                        <a:sysClr val="windowText" lastClr="000000"/>
                      </a:solidFill>
                      <a:uFill>
                        <a:solidFill>
                          <a:sysClr val="windowText" lastClr="000000"/>
                        </a:solidFill>
                      </a:u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199905926622766"/>
                  <c:y val="-0.0211677544540483"/>
                </c:manualLayout>
              </c:layout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900" b="1" i="0" u="none" strike="noStrike" kern="1200" cap="none" spc="0" normalizeH="0" baseline="0">
                      <a:solidFill>
                        <a:sysClr val="windowText" lastClr="000000"/>
                      </a:solidFill>
                      <a:uFill>
                        <a:solidFill>
                          <a:sysClr val="windowText" lastClr="000000"/>
                        </a:solidFill>
                      </a:u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1" i="0" u="none" strike="noStrike" kern="1200" cap="none" spc="0" normalizeH="0" baseline="0">
                    <a:solidFill>
                      <a:sysClr val="windowText" lastClr="000000"/>
                    </a:solidFill>
                    <a:uFill>
                      <a:solidFill>
                        <a:sysClr val="windowText" lastClr="000000"/>
                      </a:solidFill>
                    </a:uFill>
                    <a:latin typeface="+mn-lt"/>
                    <a:ea typeface="+mn-ea"/>
                    <a:cs typeface="+mn-cs"/>
                  </a:defRPr>
                </a:pPr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'[梅县 公报图表模板.xls]Sheet2'!$A$67:$A$72</c:f>
              <c:strCache>
                <c:ptCount val="6"/>
                <c:pt idx="0">
                  <c:v>2020年</c:v>
                </c:pt>
                <c:pt idx="1">
                  <c:v>2021年</c:v>
                </c:pt>
                <c:pt idx="2">
                  <c:v>2022年</c:v>
                </c:pt>
                <c:pt idx="3">
                  <c:v>2023年</c:v>
                </c:pt>
                <c:pt idx="4">
                  <c:v>2024年</c:v>
                </c:pt>
                <c:pt idx="5">
                  <c:v>2025年</c:v>
                </c:pt>
              </c:strCache>
            </c:strRef>
          </c:cat>
          <c:val>
            <c:numRef>
              <c:f>'[梅县 公报图表模板.xls]Sheet2'!$D$67:$D$72</c:f>
              <c:numCache>
                <c:formatCode>0.0_ </c:formatCode>
                <c:ptCount val="6"/>
                <c:pt idx="0">
                  <c:v>-35.3</c:v>
                </c:pt>
                <c:pt idx="1">
                  <c:v>69.7</c:v>
                </c:pt>
                <c:pt idx="2">
                  <c:v>-19.6</c:v>
                </c:pt>
                <c:pt idx="3">
                  <c:v>6.4</c:v>
                </c:pt>
                <c:pt idx="4">
                  <c:v>16.1</c:v>
                </c:pt>
                <c:pt idx="5">
                  <c:v>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51223251"/>
        <c:axId val="625964973"/>
      </c:lineChart>
      <c:catAx>
        <c:axId val="151223251"/>
        <c:scaling>
          <c:orientation val="minMax"/>
        </c:scaling>
        <c:delete val="0"/>
        <c:axPos val="b"/>
        <c:majorTickMark val="none"/>
        <c:minorTickMark val="none"/>
        <c:tickLblPos val="low"/>
        <c:spPr>
          <a:noFill/>
          <a:ln w="9525" cap="flat" cmpd="sng" algn="ctr">
            <a:solidFill>
              <a:sysClr val="windowText" lastClr="000000">
                <a:lumMod val="15000"/>
                <a:lumOff val="85000"/>
              </a:sys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1" i="0" u="none" strike="noStrike" kern="1200" cap="none" spc="0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+mn-lt"/>
                <a:ea typeface="+mn-ea"/>
                <a:cs typeface="+mn-cs"/>
              </a:defRPr>
            </a:pPr>
          </a:p>
        </c:txPr>
        <c:crossAx val="625964973"/>
        <c:crosses val="autoZero"/>
        <c:auto val="1"/>
        <c:lblAlgn val="ctr"/>
        <c:lblOffset val="100"/>
        <c:noMultiLvlLbl val="0"/>
      </c:catAx>
      <c:valAx>
        <c:axId val="6259649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ysClr val="windowText" lastClr="000000">
                  <a:lumMod val="15000"/>
                  <a:lumOff val="85000"/>
                </a:sysClr>
              </a:solidFill>
              <a:prstDash val="solid"/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1" i="0" u="none" strike="noStrike" kern="1200" cap="none" spc="0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+mn-lt"/>
                <a:ea typeface="+mn-ea"/>
                <a:cs typeface="+mn-cs"/>
              </a:defRPr>
            </a:pPr>
          </a:p>
        </c:txPr>
        <c:crossAx val="151223251"/>
        <c:crosses val="autoZero"/>
        <c:crossBetween val="between"/>
      </c:valAx>
      <c:catAx>
        <c:axId val="312120244"/>
        <c:scaling>
          <c:orientation val="minMax"/>
        </c:scaling>
        <c:delete val="1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cap="none" spc="0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+mn-lt"/>
                <a:ea typeface="+mn-ea"/>
                <a:cs typeface="+mn-cs"/>
              </a:defRPr>
            </a:pPr>
          </a:p>
        </c:txPr>
        <c:crossAx val="788286030"/>
        <c:crosses val="autoZero"/>
        <c:auto val="1"/>
        <c:lblAlgn val="ctr"/>
        <c:lblOffset val="100"/>
        <c:noMultiLvlLbl val="0"/>
      </c:catAx>
      <c:valAx>
        <c:axId val="788286030"/>
        <c:scaling>
          <c:orientation val="minMax"/>
        </c:scaling>
        <c:delete val="0"/>
        <c:axPos val="r"/>
        <c:numFmt formatCode="0.00_ " sourceLinked="1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cap="none" spc="0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+mn-lt"/>
                <a:ea typeface="+mn-ea"/>
                <a:cs typeface="+mn-cs"/>
              </a:defRPr>
            </a:pPr>
          </a:p>
        </c:txPr>
        <c:crossAx val="312120244"/>
        <c:crosses val="max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1" i="0" u="none" strike="noStrike" kern="1200" cap="none" spc="0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900" b="1" i="0" u="none" strike="noStrike" kern="1200" cap="none" spc="0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zh-CN" sz="900" b="1" i="0" u="none" strike="noStrike" kern="1200" cap="none" spc="0" normalizeH="0" baseline="0">
                <a:solidFill>
                  <a:sysClr val="windowText" lastClr="000000"/>
                </a:solidFill>
                <a:uFill>
                  <a:solidFill>
                    <a:sysClr val="windowText" lastClr="000000"/>
                  </a:solidFill>
                </a:uFill>
                <a:latin typeface="+mn-lt"/>
                <a:ea typeface="+mn-ea"/>
                <a:cs typeface="+mn-cs"/>
              </a:defRPr>
            </a:pPr>
          </a:p>
        </c:txPr>
      </c:legendEntry>
      <c:layout>
        <c:manualLayout>
          <c:xMode val="edge"/>
          <c:yMode val="edge"/>
          <c:x val="0.073"/>
          <c:y val="0.90725"/>
          <c:w val="0.8245"/>
          <c:h val="0.0655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1" i="0" u="none" strike="noStrike" kern="1200" cap="none" spc="0" normalizeH="0" baseline="0">
              <a:solidFill>
                <a:sysClr val="windowText" lastClr="000000"/>
              </a:solidFill>
              <a:uFill>
                <a:solidFill>
                  <a:sysClr val="windowText" lastClr="000000"/>
                </a:solidFill>
              </a:u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96f23019-583c-4bc7-b90d-7dff99c19d5e}"/>
      </c:ext>
    </c:extLst>
  </c:chart>
  <c:spPr>
    <a:solidFill>
      <a:sysClr val="window" lastClr="FFFFFF"/>
    </a:solidFill>
    <a:ln w="9525" cap="flat" cmpd="sng" algn="ctr">
      <a:solidFill>
        <a:sysClr val="window" lastClr="FFFFFF">
          <a:lumMod val="85000"/>
        </a:sysClr>
      </a:solidFill>
      <a:prstDash val="solid"/>
      <a:round/>
    </a:ln>
    <a:effectLst/>
  </c:spPr>
  <c:txPr>
    <a:bodyPr wrap="square"/>
    <a:lstStyle/>
    <a:p>
      <a:pPr>
        <a:defRPr lang="zh-CN" u="none" strike="noStrike" kern="1200" cap="none" spc="0" normalizeH="0">
          <a:solidFill>
            <a:sysClr val="windowText" lastClr="000000"/>
          </a:solidFill>
          <a:uFill>
            <a:solidFill>
              <a:sysClr val="windowText" lastClr="000000"/>
            </a:solidFill>
          </a:uFill>
        </a:defRPr>
      </a:pPr>
    </a:p>
  </c:txPr>
  <c:externalData r:id="rId1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0.256995062308958</cdr:x>
      <cdr:y>0.853817668841474</cdr:y>
    </cdr:from>
    <cdr:to>
      <cdr:x>0.861274394545027</cdr:x>
      <cdr:y>0.874977958032093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1388110" y="3074670"/>
          <a:ext cx="3263900" cy="76200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="horz" wrap="none" lIns="45720" tIns="45720" rIns="45720" bIns="45720" anchor="t" anchorCtr="0">
          <a:normAutofit/>
        </a:bodyPr>
        <a:p>
          <a:r>
            <a:rPr lang="en-US" altLang="zh-CN" sz="800"/>
            <a:t>备注：加贝数据由海关单列统计，本表数据已予以剔除</a:t>
          </a:r>
          <a:endParaRPr lang="en-US" altLang="zh-CN" sz="800"/>
        </a:p>
      </cdr:txBody>
    </cdr:sp>
  </cdr:relSizeAnchor>
</c:userShape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Cambria-Calibri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rgbClr val="FFFFFF"/>
      </a:solidFill>
      <a:gradFill rotWithShape="1">
        <a:gsLst>
          <a:gs pos="0">
            <a:srgbClr val="FFFFFF">
              <a:tint val="50000"/>
              <a:satMod val="300000"/>
            </a:srgbClr>
          </a:gs>
          <a:gs pos="35000">
            <a:srgbClr val="FFFFFF">
              <a:tint val="37000"/>
              <a:satMod val="300000"/>
            </a:srgbClr>
          </a:gs>
          <a:gs pos="100000">
            <a:srgbClr val="FFFFFF">
              <a:tint val="15000"/>
              <a:satMod val="350000"/>
            </a:srgbClr>
          </a:gs>
        </a:gsLst>
        <a:lin ang="16200000" scaled="1"/>
      </a:gradFill>
      <a:gradFill rotWithShape="1">
        <a:gsLst>
          <a:gs pos="0">
            <a:srgbClr val="BDBDBD">
              <a:shade val="51000"/>
              <a:satMod val="130000"/>
            </a:srgbClr>
          </a:gs>
          <a:gs pos="80000">
            <a:srgbClr val="F7F7F7">
              <a:shade val="93000"/>
              <a:satMod val="130000"/>
            </a:srgbClr>
          </a:gs>
          <a:gs pos="100000">
            <a:srgbClr val="F8F8F8">
              <a:shade val="94000"/>
              <a:satMod val="135000"/>
            </a:srgbClr>
          </a:gs>
        </a:gsLst>
        <a:lin ang="16200000" scaled="0"/>
      </a:gradFill>
    </a:fillStyleLst>
    <a:lnStyleLst>
      <a:ln w="9525" cap="flat" cmpd="sng" algn="ctr">
        <a:solidFill>
          <a:srgbClr val="F9F9F9">
            <a:shade val="95000"/>
            <a:satMod val="105000"/>
          </a:srgbClr>
        </a:solidFill>
        <a:prstDash val="solid"/>
      </a:ln>
      <a:ln w="25400" cap="flat" cmpd="sng" algn="ctr">
        <a:solidFill>
          <a:srgbClr val="FFFFFF"/>
        </a:solidFill>
        <a:prstDash val="solid"/>
      </a:ln>
      <a:ln w="38100" cap="flat" cmpd="sng" algn="ctr">
        <a:solidFill>
          <a:srgbClr val="FFFFFF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rgbClr val="FFFFFF"/>
      </a:solidFill>
      <a:gradFill rotWithShape="1">
        <a:gsLst>
          <a:gs pos="0">
            <a:srgbClr val="FFFFFF">
              <a:tint val="40000"/>
              <a:satMod val="350000"/>
            </a:srgbClr>
          </a:gs>
          <a:gs pos="40000">
            <a:srgbClr val="FEFEFE">
              <a:tint val="45000"/>
              <a:satMod val="350000"/>
              <a:shade val="99000"/>
            </a:srgbClr>
          </a:gs>
          <a:gs pos="100000">
            <a:srgbClr val="7C7C7C">
              <a:shade val="20000"/>
              <a:satMod val="255000"/>
            </a:srgbClr>
          </a:gs>
        </a:gsLst>
        <a:path path="circle">
          <a:fillToRect l="50000" t="-80000" r="50000" b="180000"/>
        </a:path>
      </a:gradFill>
      <a:gradFill rotWithShape="1">
        <a:gsLst>
          <a:gs pos="0">
            <a:srgbClr val="FFFFFF">
              <a:tint val="80000"/>
              <a:satMod val="300000"/>
            </a:srgbClr>
          </a:gs>
          <a:gs pos="100000">
            <a:srgbClr val="959595">
              <a:shade val="30000"/>
              <a:satMod val="200000"/>
            </a:srgb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3257</Words>
  <Characters>4397</Characters>
  <Lines>1</Lines>
  <Paragraphs>1</Paragraphs>
  <TotalTime>0</TotalTime>
  <ScaleCrop>false</ScaleCrop>
  <LinksUpToDate>false</LinksUpToDate>
  <CharactersWithSpaces>4437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2026-05-25T08:48:00Z</dcterms:created>
  <dc:creator>PC-001</dc:creator>
  <cp:lastModifiedBy>wing</cp:lastModifiedBy>
  <dcterms:modified xsi:type="dcterms:W3CDTF">2026-06-02T02:56:05Z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A496B191EDB94DF5B52ED9E4CB8FE9BD_13</vt:lpwstr>
  </property>
  <property fmtid="{D5CDD505-2E9C-101B-9397-08002B2CF9AE}" pid="4" name="KSOTemplateDocerSaveRecord">
    <vt:lpwstr>eyJoZGlkIjoiYzYzNmI2MDFjYjY5NDI1N2Y0ZjUzYmMzMWQwYzFhY2MiLCJ1c2VySWQiOiI3NDI5OTAyNTEifQ==</vt:lpwstr>
  </property>
</Properties>
</file>