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0" w:beforeAutospacing="0" w:after="0" w:afterAutospacing="0" w:line="700" w:lineRule="exact"/>
        <w:jc w:val="center"/>
        <w:rPr>
          <w:rFonts w:hint="eastAsia" w:ascii="方正小标宋简体" w:hAnsi="方正小标宋简体" w:eastAsia="方正小标宋简体" w:cs="方正小标宋简体"/>
          <w:bCs/>
          <w:color w:val="000000"/>
          <w:sz w:val="44"/>
          <w:szCs w:val="44"/>
          <w:shd w:val="clear" w:color="auto" w:fill="FFFFFF"/>
          <w:lang w:val="en-US" w:eastAsia="zh-CN"/>
        </w:rPr>
      </w:pPr>
      <w:r>
        <w:rPr>
          <w:rFonts w:hint="eastAsia" w:ascii="方正小标宋简体" w:hAnsi="方正小标宋简体" w:eastAsia="方正小标宋简体" w:cs="方正小标宋简体"/>
          <w:bCs/>
          <w:color w:val="000000"/>
          <w:sz w:val="44"/>
          <w:szCs w:val="44"/>
          <w:shd w:val="clear" w:color="auto" w:fill="FFFFFF"/>
          <w:lang w:val="en-US" w:eastAsia="zh-CN"/>
        </w:rPr>
        <w:t>梅州市生态环境局梅县分局</w:t>
      </w:r>
    </w:p>
    <w:p>
      <w:pPr>
        <w:pStyle w:val="4"/>
        <w:widowControl/>
        <w:spacing w:before="0" w:beforeAutospacing="0" w:after="0" w:afterAutospacing="0" w:line="70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shd w:val="clear" w:color="auto" w:fill="FFFFFF"/>
        </w:rPr>
        <w:t>20</w:t>
      </w:r>
      <w:r>
        <w:rPr>
          <w:rFonts w:hint="eastAsia" w:ascii="方正小标宋简体" w:hAnsi="方正小标宋简体" w:eastAsia="方正小标宋简体" w:cs="方正小标宋简体"/>
          <w:bCs/>
          <w:color w:val="000000"/>
          <w:sz w:val="44"/>
          <w:szCs w:val="44"/>
          <w:shd w:val="clear" w:color="auto" w:fill="FFFFFF"/>
          <w:lang w:val="en-US" w:eastAsia="zh-CN"/>
        </w:rPr>
        <w:t>20</w:t>
      </w:r>
      <w:r>
        <w:rPr>
          <w:rFonts w:hint="eastAsia" w:ascii="方正小标宋简体" w:hAnsi="方正小标宋简体" w:eastAsia="方正小标宋简体" w:cs="方正小标宋简体"/>
          <w:bCs/>
          <w:color w:val="000000"/>
          <w:sz w:val="44"/>
          <w:szCs w:val="44"/>
          <w:shd w:val="clear" w:color="auto" w:fill="FFFFFF"/>
        </w:rPr>
        <w:t>年度政府信息公开工作报告</w:t>
      </w:r>
    </w:p>
    <w:p>
      <w:pPr>
        <w:pStyle w:val="4"/>
        <w:widowControl/>
        <w:spacing w:before="0" w:beforeAutospacing="0" w:after="0" w:afterAutospacing="0"/>
        <w:ind w:firstLine="632" w:firstLineChars="200"/>
        <w:jc w:val="both"/>
        <w:rPr>
          <w:rFonts w:cs="仿宋_GB2312"/>
          <w:color w:val="000000"/>
          <w:sz w:val="32"/>
        </w:rPr>
      </w:pPr>
    </w:p>
    <w:p>
      <w:pPr>
        <w:pStyle w:val="4"/>
        <w:widowControl/>
        <w:spacing w:before="0" w:beforeAutospacing="0" w:after="0" w:afterAutospacing="0"/>
        <w:ind w:firstLine="632" w:firstLineChars="200"/>
        <w:jc w:val="both"/>
        <w:rPr>
          <w:rFonts w:hint="eastAsia" w:ascii="仿宋_GB2312" w:hAnsi="仿宋_GB2312" w:eastAsia="仿宋_GB2312" w:cs="仿宋_GB2312"/>
          <w:color w:val="000000"/>
          <w:sz w:val="32"/>
          <w:szCs w:val="32"/>
          <w:shd w:val="clear" w:color="auto" w:fill="FFFFFF"/>
        </w:rPr>
      </w:pPr>
      <w:r>
        <w:rPr>
          <w:rFonts w:hint="eastAsia" w:ascii="仿宋_GB2312" w:eastAsia="仿宋_GB2312"/>
          <w:sz w:val="32"/>
          <w:szCs w:val="32"/>
        </w:rPr>
        <w:t>根据《中华人民共和国政府信息公开条例》《环境信息公开办法（试行）》有关规定</w:t>
      </w:r>
      <w:r>
        <w:rPr>
          <w:rFonts w:hint="eastAsia" w:ascii="仿宋_GB2312"/>
          <w:sz w:val="32"/>
          <w:szCs w:val="32"/>
          <w:lang w:eastAsia="zh-CN"/>
        </w:rPr>
        <w:t>和省、市、区政府关于政府信息公开工作的要求</w:t>
      </w:r>
      <w:r>
        <w:rPr>
          <w:rFonts w:hint="eastAsia" w:ascii="仿宋_GB2312" w:eastAsia="仿宋_GB2312"/>
          <w:sz w:val="32"/>
          <w:szCs w:val="32"/>
        </w:rPr>
        <w:t>，编制本报告。</w:t>
      </w:r>
      <w:r>
        <w:rPr>
          <w:rFonts w:hint="eastAsia" w:ascii="仿宋_GB2312"/>
          <w:sz w:val="32"/>
          <w:szCs w:val="32"/>
          <w:lang w:eastAsia="zh-CN"/>
        </w:rPr>
        <w:t>报告</w:t>
      </w:r>
      <w:r>
        <w:rPr>
          <w:rFonts w:hint="eastAsia" w:ascii="仿宋_GB2312" w:hAnsi="仿宋_GB2312" w:eastAsia="仿宋_GB2312" w:cs="仿宋_GB2312"/>
          <w:i w:val="0"/>
          <w:caps w:val="0"/>
          <w:color w:val="000000"/>
          <w:spacing w:val="0"/>
          <w:sz w:val="32"/>
          <w:szCs w:val="32"/>
        </w:rPr>
        <w:t>包括</w:t>
      </w:r>
      <w:r>
        <w:rPr>
          <w:rFonts w:hint="eastAsia" w:ascii="仿宋_GB2312" w:hAnsi="仿宋_GB2312" w:cs="仿宋_GB2312"/>
          <w:i w:val="0"/>
          <w:caps w:val="0"/>
          <w:color w:val="000000"/>
          <w:spacing w:val="0"/>
          <w:sz w:val="32"/>
          <w:szCs w:val="32"/>
          <w:lang w:eastAsia="zh-CN"/>
        </w:rPr>
        <w:t>总体情况，</w:t>
      </w:r>
      <w:r>
        <w:rPr>
          <w:rFonts w:hint="eastAsia" w:ascii="仿宋_GB2312" w:hAnsi="仿宋_GB2312" w:eastAsia="仿宋_GB2312" w:cs="仿宋_GB2312"/>
          <w:i w:val="0"/>
          <w:caps w:val="0"/>
          <w:color w:val="000000"/>
          <w:spacing w:val="0"/>
          <w:sz w:val="32"/>
          <w:szCs w:val="32"/>
        </w:rPr>
        <w:t>主动公开政府信息情况</w:t>
      </w:r>
      <w:r>
        <w:rPr>
          <w:rFonts w:hint="eastAsia" w:ascii="仿宋_GB2312" w:hAnsi="仿宋_GB2312" w:cs="仿宋_GB2312"/>
          <w:i w:val="0"/>
          <w:caps w:val="0"/>
          <w:color w:val="000000"/>
          <w:spacing w:val="0"/>
          <w:sz w:val="32"/>
          <w:szCs w:val="32"/>
          <w:lang w:eastAsia="zh-CN"/>
        </w:rPr>
        <w:t>，收到和处理政府信息公开申请情况，</w:t>
      </w:r>
      <w:r>
        <w:rPr>
          <w:rFonts w:hint="eastAsia" w:ascii="仿宋_GB2312" w:hAnsi="仿宋_GB2312" w:eastAsia="仿宋_GB2312" w:cs="仿宋_GB2312"/>
          <w:i w:val="0"/>
          <w:caps w:val="0"/>
          <w:color w:val="000000"/>
          <w:spacing w:val="0"/>
          <w:sz w:val="32"/>
          <w:szCs w:val="32"/>
        </w:rPr>
        <w:t>因政府信息公开</w:t>
      </w:r>
      <w:r>
        <w:rPr>
          <w:rFonts w:hint="eastAsia" w:ascii="仿宋_GB2312" w:hAnsi="仿宋_GB2312" w:cs="仿宋_GB2312"/>
          <w:i w:val="0"/>
          <w:caps w:val="0"/>
          <w:color w:val="000000"/>
          <w:spacing w:val="0"/>
          <w:sz w:val="32"/>
          <w:szCs w:val="32"/>
          <w:lang w:eastAsia="zh-CN"/>
        </w:rPr>
        <w:t>工作被</w:t>
      </w:r>
      <w:r>
        <w:rPr>
          <w:rFonts w:hint="eastAsia" w:ascii="仿宋_GB2312" w:hAnsi="仿宋_GB2312" w:eastAsia="仿宋_GB2312" w:cs="仿宋_GB2312"/>
          <w:i w:val="0"/>
          <w:caps w:val="0"/>
          <w:color w:val="000000"/>
          <w:spacing w:val="0"/>
          <w:sz w:val="32"/>
          <w:szCs w:val="32"/>
        </w:rPr>
        <w:t>申请行政复议、提起行政诉讼的情况，存在的主要问题及改进情况</w:t>
      </w:r>
      <w:r>
        <w:rPr>
          <w:rFonts w:hint="eastAsia" w:ascii="仿宋_GB2312" w:hAnsi="仿宋_GB2312" w:cs="仿宋_GB2312"/>
          <w:i w:val="0"/>
          <w:caps w:val="0"/>
          <w:color w:val="000000"/>
          <w:spacing w:val="0"/>
          <w:sz w:val="32"/>
          <w:szCs w:val="32"/>
          <w:lang w:eastAsia="zh-CN"/>
        </w:rPr>
        <w:t>，其他需要报告的事项等</w:t>
      </w:r>
      <w:r>
        <w:rPr>
          <w:rFonts w:hint="eastAsia" w:ascii="仿宋_GB2312" w:hAnsi="仿宋_GB2312" w:cs="仿宋_GB2312"/>
          <w:i w:val="0"/>
          <w:caps w:val="0"/>
          <w:color w:val="000000"/>
          <w:spacing w:val="0"/>
          <w:sz w:val="32"/>
          <w:szCs w:val="32"/>
          <w:lang w:val="en-US" w:eastAsia="zh-CN"/>
        </w:rPr>
        <w:t>6个部分</w:t>
      </w:r>
      <w:r>
        <w:rPr>
          <w:rFonts w:hint="eastAsia" w:ascii="仿宋_GB2312" w:hAnsi="仿宋_GB2312" w:eastAsia="仿宋_GB2312" w:cs="仿宋_GB2312"/>
          <w:i w:val="0"/>
          <w:caps w:val="0"/>
          <w:color w:val="000000"/>
          <w:spacing w:val="0"/>
          <w:sz w:val="32"/>
          <w:szCs w:val="32"/>
        </w:rPr>
        <w:t>。</w:t>
      </w:r>
      <w:r>
        <w:rPr>
          <w:rFonts w:hint="eastAsia" w:ascii="仿宋_GB2312" w:hAnsi="仿宋_GB2312" w:eastAsia="仿宋_GB2312" w:cs="仿宋_GB2312"/>
          <w:kern w:val="0"/>
          <w:sz w:val="32"/>
          <w:szCs w:val="32"/>
        </w:rPr>
        <w:t>报告中所列数据的统计期限自20</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年1月1日起至20</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年12月31日止。本报告的电子版可在</w:t>
      </w:r>
      <w:r>
        <w:rPr>
          <w:rFonts w:hint="default" w:ascii="Times New Roman" w:hAnsi="Times New Roman" w:eastAsia="方正仿宋_GBK" w:cs="Times New Roman"/>
          <w:color w:val="auto"/>
          <w:sz w:val="32"/>
          <w:szCs w:val="32"/>
        </w:rPr>
        <w:t>（http://www.gdmx.gov.cn/zfxxgkml/mxqhjbhj/zfxxgkgzndbg/content/post_2116671.html</w:t>
      </w:r>
      <w:bookmarkStart w:id="0" w:name="_GoBack"/>
      <w:bookmarkEnd w:id="0"/>
      <w:r>
        <w:rPr>
          <w:rFonts w:hint="default" w:ascii="Times New Roman" w:hAnsi="Times New Roman" w:eastAsia="方正仿宋_GBK" w:cs="Times New Roman"/>
          <w:color w:val="auto"/>
          <w:sz w:val="32"/>
          <w:szCs w:val="32"/>
        </w:rPr>
        <w:t>）</w:t>
      </w:r>
      <w:r>
        <w:rPr>
          <w:rFonts w:hint="eastAsia" w:ascii="仿宋_GB2312" w:hAnsi="仿宋_GB2312" w:eastAsia="仿宋_GB2312" w:cs="仿宋_GB2312"/>
          <w:kern w:val="0"/>
          <w:sz w:val="32"/>
          <w:szCs w:val="32"/>
        </w:rPr>
        <w:t>下载。如对本报告有疑问，请联系梅州市</w:t>
      </w:r>
      <w:r>
        <w:rPr>
          <w:rFonts w:hint="eastAsia" w:ascii="仿宋_GB2312" w:hAnsi="仿宋_GB2312" w:cs="仿宋_GB2312"/>
          <w:kern w:val="0"/>
          <w:sz w:val="32"/>
          <w:szCs w:val="32"/>
          <w:lang w:eastAsia="zh-CN"/>
        </w:rPr>
        <w:t>生态环境局</w:t>
      </w:r>
      <w:r>
        <w:rPr>
          <w:rFonts w:hint="eastAsia" w:ascii="仿宋_GB2312" w:hAnsi="仿宋_GB2312" w:eastAsia="仿宋_GB2312" w:cs="仿宋_GB2312"/>
          <w:kern w:val="0"/>
          <w:sz w:val="32"/>
          <w:szCs w:val="32"/>
        </w:rPr>
        <w:t>梅县分局（地址：梅州市梅县区新县城府前大道4</w:t>
      </w:r>
      <w:r>
        <w:rPr>
          <w:rFonts w:hint="eastAsia" w:ascii="仿宋_GB2312" w:hAnsi="仿宋_GB2312" w:cs="仿宋_GB2312"/>
          <w:kern w:val="0"/>
          <w:sz w:val="32"/>
          <w:szCs w:val="32"/>
          <w:lang w:val="en-US" w:eastAsia="zh-CN"/>
        </w:rPr>
        <w:t>3</w:t>
      </w:r>
      <w:r>
        <w:rPr>
          <w:rFonts w:hint="eastAsia" w:ascii="仿宋_GB2312" w:hAnsi="仿宋_GB2312" w:eastAsia="仿宋_GB2312" w:cs="仿宋_GB2312"/>
          <w:kern w:val="0"/>
          <w:sz w:val="32"/>
          <w:szCs w:val="32"/>
        </w:rPr>
        <w:t>号，联系电话：0753-258</w:t>
      </w:r>
      <w:r>
        <w:rPr>
          <w:rFonts w:hint="eastAsia" w:ascii="仿宋_GB2312" w:hAnsi="仿宋_GB2312" w:cs="仿宋_GB2312"/>
          <w:kern w:val="0"/>
          <w:sz w:val="32"/>
          <w:szCs w:val="32"/>
          <w:lang w:val="en-US" w:eastAsia="zh-CN"/>
        </w:rPr>
        <w:t>9382</w:t>
      </w:r>
      <w:r>
        <w:rPr>
          <w:rFonts w:hint="eastAsia" w:ascii="仿宋_GB2312" w:hAnsi="仿宋_GB2312" w:eastAsia="仿宋_GB2312" w:cs="仿宋_GB2312"/>
          <w:kern w:val="0"/>
          <w:sz w:val="32"/>
          <w:szCs w:val="32"/>
        </w:rPr>
        <w:t>）。</w:t>
      </w:r>
    </w:p>
    <w:p>
      <w:pPr>
        <w:pStyle w:val="4"/>
        <w:widowControl/>
        <w:spacing w:before="0" w:beforeAutospacing="0" w:after="0" w:afterAutospacing="0"/>
        <w:ind w:firstLine="632" w:firstLineChars="200"/>
        <w:jc w:val="both"/>
        <w:rPr>
          <w:rFonts w:eastAsia="黑体" w:cs="黑体"/>
          <w:color w:val="000000"/>
          <w:sz w:val="32"/>
        </w:rPr>
      </w:pPr>
      <w:r>
        <w:rPr>
          <w:rFonts w:hint="eastAsia" w:eastAsia="黑体" w:cs="黑体"/>
          <w:color w:val="000000"/>
          <w:sz w:val="32"/>
          <w:shd w:val="clear" w:color="auto" w:fill="FFFFFF"/>
        </w:rPr>
        <w:t>一、总体情况</w:t>
      </w:r>
    </w:p>
    <w:p>
      <w:pPr>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梅州市</w:t>
      </w:r>
      <w:r>
        <w:rPr>
          <w:rFonts w:hint="eastAsia" w:ascii="仿宋_GB2312" w:hAnsi="仿宋_GB2312" w:cs="仿宋_GB2312"/>
          <w:sz w:val="32"/>
          <w:szCs w:val="32"/>
          <w:lang w:eastAsia="zh-CN"/>
        </w:rPr>
        <w:t>生态环境局梅县分局政府</w:t>
      </w:r>
      <w:r>
        <w:rPr>
          <w:rFonts w:hint="eastAsia" w:ascii="仿宋_GB2312" w:hAnsi="仿宋_GB2312" w:eastAsia="仿宋_GB2312" w:cs="仿宋_GB2312"/>
          <w:sz w:val="32"/>
          <w:szCs w:val="32"/>
        </w:rPr>
        <w:t>信息公开</w:t>
      </w:r>
      <w:r>
        <w:rPr>
          <w:rFonts w:hint="eastAsia" w:ascii="仿宋_GB2312" w:hAnsi="仿宋_GB2312" w:cs="仿宋_GB2312"/>
          <w:sz w:val="32"/>
          <w:szCs w:val="32"/>
          <w:lang w:eastAsia="zh-CN"/>
        </w:rPr>
        <w:t>工作坚持“以公开为常态，不公开为例外”原则，不断提高公开的“含金量”，</w:t>
      </w:r>
      <w:r>
        <w:rPr>
          <w:rFonts w:hint="eastAsia" w:ascii="仿宋_GB2312" w:hAnsi="仿宋_GB2312" w:eastAsia="仿宋_GB2312" w:cs="仿宋_GB2312"/>
          <w:sz w:val="32"/>
          <w:szCs w:val="32"/>
        </w:rPr>
        <w:t>采取长期、定期公开、随时公开相结合的方式</w:t>
      </w:r>
      <w:r>
        <w:rPr>
          <w:rFonts w:hint="eastAsia" w:ascii="仿宋_GB2312" w:hAnsi="仿宋_GB2312" w:cs="仿宋_GB2312"/>
          <w:sz w:val="32"/>
          <w:szCs w:val="32"/>
          <w:lang w:eastAsia="zh-CN"/>
        </w:rPr>
        <w:t>在</w:t>
      </w:r>
      <w:r>
        <w:rPr>
          <w:rFonts w:hint="eastAsia" w:ascii="仿宋_GB2312" w:hAnsi="仿宋_GB2312" w:eastAsia="仿宋_GB2312" w:cs="仿宋_GB2312"/>
          <w:sz w:val="32"/>
          <w:szCs w:val="32"/>
        </w:rPr>
        <w:t>梅县区人民政府门户网站、</w:t>
      </w:r>
      <w:r>
        <w:rPr>
          <w:rFonts w:hint="eastAsia" w:ascii="仿宋_GB2312" w:hAnsi="仿宋_GB2312" w:cs="仿宋_GB2312"/>
          <w:sz w:val="32"/>
          <w:szCs w:val="32"/>
          <w:lang w:eastAsia="zh-CN"/>
        </w:rPr>
        <w:t>梅州市生态环境局梅县分局</w:t>
      </w:r>
      <w:r>
        <w:rPr>
          <w:rFonts w:hint="eastAsia" w:ascii="仿宋_GB2312" w:hAnsi="仿宋_GB2312" w:eastAsia="仿宋_GB2312" w:cs="仿宋_GB2312"/>
          <w:sz w:val="32"/>
          <w:szCs w:val="32"/>
        </w:rPr>
        <w:t>政务公开信息目录</w:t>
      </w:r>
      <w:r>
        <w:rPr>
          <w:rFonts w:hint="eastAsia" w:ascii="仿宋_GB2312" w:hAnsi="仿宋_GB2312" w:cs="仿宋_GB2312"/>
          <w:sz w:val="32"/>
          <w:szCs w:val="32"/>
          <w:lang w:eastAsia="zh-CN"/>
        </w:rPr>
        <w:t>进行公开</w:t>
      </w:r>
      <w:r>
        <w:rPr>
          <w:rFonts w:hint="eastAsia" w:ascii="仿宋_GB2312" w:hAnsi="仿宋_GB2312" w:eastAsia="仿宋_GB2312" w:cs="仿宋_GB2312"/>
          <w:sz w:val="32"/>
          <w:szCs w:val="32"/>
        </w:rPr>
        <w:t>。截止</w:t>
      </w:r>
      <w:r>
        <w:rPr>
          <w:rFonts w:hint="eastAsia" w:ascii="仿宋_GB2312" w:hAnsi="仿宋_GB2312" w:cs="仿宋_GB2312"/>
          <w:sz w:val="32"/>
          <w:szCs w:val="32"/>
          <w:lang w:val="en-US" w:eastAsia="zh-CN"/>
        </w:rPr>
        <w:t>2020年底</w:t>
      </w:r>
      <w:r>
        <w:rPr>
          <w:rFonts w:hint="eastAsia" w:ascii="仿宋_GB2312" w:hAnsi="仿宋_GB2312" w:eastAsia="仿宋_GB2312" w:cs="仿宋_GB2312"/>
          <w:sz w:val="32"/>
          <w:szCs w:val="32"/>
        </w:rPr>
        <w:t>，我局按照规定的主动公开信息范围，按要求发布或更新信息，未出现影响或者可能影响社会稳定、扰乱社会管理秩序的虚假或者不完整的信息。</w:t>
      </w:r>
    </w:p>
    <w:p>
      <w:pPr>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（一）规范实施政府信息主动公开。202</w:t>
      </w:r>
      <w:r>
        <w:rPr>
          <w:rFonts w:hint="eastAsia" w:ascii="仿宋_GB2312" w:hAnsi="仿宋_GB2312" w:cs="仿宋_GB2312"/>
          <w:sz w:val="32"/>
          <w:szCs w:val="32"/>
          <w:lang w:val="en-US" w:eastAsia="zh-CN"/>
        </w:rPr>
        <w:t>0</w:t>
      </w:r>
      <w:r>
        <w:rPr>
          <w:rFonts w:hint="eastAsia" w:ascii="仿宋_GB2312" w:hAnsi="仿宋_GB2312" w:eastAsia="仿宋_GB2312" w:cs="仿宋_GB2312"/>
          <w:sz w:val="32"/>
          <w:szCs w:val="32"/>
        </w:rPr>
        <w:t>年，梅州市生态环境局梅县分局通过梅县区政府网站推送的各类生态环境保护政务信息</w:t>
      </w:r>
      <w:r>
        <w:rPr>
          <w:rFonts w:hint="eastAsia" w:ascii="仿宋_GB2312" w:hAnsi="仿宋_GB2312" w:cs="仿宋_GB2312"/>
          <w:sz w:val="32"/>
          <w:szCs w:val="32"/>
          <w:lang w:val="en-US" w:eastAsia="zh-CN"/>
        </w:rPr>
        <w:t>245</w:t>
      </w:r>
      <w:r>
        <w:rPr>
          <w:rFonts w:hint="eastAsia" w:ascii="仿宋_GB2312" w:hAnsi="仿宋_GB2312" w:eastAsia="仿宋_GB2312" w:cs="仿宋_GB2312"/>
          <w:sz w:val="32"/>
          <w:szCs w:val="32"/>
        </w:rPr>
        <w:t>条。</w:t>
      </w:r>
    </w:p>
    <w:p>
      <w:pPr>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（二）规范办理政府信息依申请公开工作。202</w:t>
      </w:r>
      <w:r>
        <w:rPr>
          <w:rFonts w:hint="eastAsia" w:ascii="仿宋_GB2312" w:hAnsi="仿宋_GB2312" w:cs="仿宋_GB2312"/>
          <w:sz w:val="32"/>
          <w:szCs w:val="32"/>
          <w:lang w:val="en-US" w:eastAsia="zh-CN"/>
        </w:rPr>
        <w:t>0</w:t>
      </w:r>
      <w:r>
        <w:rPr>
          <w:rFonts w:hint="eastAsia" w:ascii="仿宋_GB2312" w:hAnsi="仿宋_GB2312" w:eastAsia="仿宋_GB2312" w:cs="仿宋_GB2312"/>
          <w:sz w:val="32"/>
          <w:szCs w:val="32"/>
        </w:rPr>
        <w:t>年，梅州市生态环境局梅县分局受理政府信息公开申请件</w:t>
      </w: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rPr>
        <w:t>宗，</w:t>
      </w:r>
      <w:r>
        <w:rPr>
          <w:rFonts w:hint="eastAsia" w:ascii="仿宋_GB2312" w:hAnsi="仿宋_GB2312" w:cs="仿宋_GB2312"/>
          <w:sz w:val="32"/>
          <w:szCs w:val="32"/>
          <w:lang w:eastAsia="zh-CN"/>
        </w:rPr>
        <w:t>已</w:t>
      </w:r>
      <w:r>
        <w:rPr>
          <w:rFonts w:hint="eastAsia" w:ascii="仿宋_GB2312" w:hAnsi="仿宋_GB2312" w:eastAsia="仿宋_GB2312" w:cs="仿宋_GB2312"/>
          <w:sz w:val="32"/>
          <w:szCs w:val="32"/>
        </w:rPr>
        <w:t>办结并回复申请人。</w:t>
      </w:r>
    </w:p>
    <w:p>
      <w:pPr>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（三）持续强化政府信息管理工作。积极推动生态环境领域基层政务公开标准化规范化建设，结合我区生态环境特点和工作实际，明确公开事项、公开内容、公开时限、公开方式等内容。</w:t>
      </w:r>
    </w:p>
    <w:p>
      <w:pPr>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加强政府信息公开平台建设。根据区政府统一部署，全力做好公众网站集约化工作，准确、规范、及时公开生态环境信息。目前在政府网站主动公开的政务信息为：机构职能、空气质量、水质环境、建设项目环境影响评价、企业环境信用评价、挂牌督办和行政执法、行政处罚信息、通知公告、部门工作动态、办事指南、网上办事、部门预决算和三公经费预决算及其他需要公开的内容。</w:t>
      </w:r>
    </w:p>
    <w:p>
      <w:pPr>
        <w:ind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监督保障方面。我局根据《政府信息公开条例》有关保密审查规定、《国务院办公厅关于进一步做好政府信息公开保密审查工作的通知》以及《党政机关和涉密单位网络保密管理规定》相关要求，制定了《梅州市生态环境局梅县分局信息公开保密审查制度》，在公开信息方面严格执行政府信息公开保密审查制度，所有需公开的内容均要求公开部门填写《梅州市生态环境局梅县分局政府信息公开保密审查表》，并提交局办公室及分管领导批准后报负责信息推送的</w:t>
      </w:r>
      <w:r>
        <w:rPr>
          <w:rFonts w:hint="eastAsia" w:ascii="仿宋_GB2312" w:hAnsi="仿宋_GB2312" w:cs="仿宋_GB2312"/>
          <w:sz w:val="32"/>
          <w:szCs w:val="32"/>
          <w:lang w:eastAsia="zh-CN"/>
        </w:rPr>
        <w:t>部门</w:t>
      </w:r>
      <w:r>
        <w:rPr>
          <w:rFonts w:hint="eastAsia" w:ascii="仿宋_GB2312" w:hAnsi="仿宋_GB2312" w:eastAsia="仿宋_GB2312" w:cs="仿宋_GB2312"/>
          <w:sz w:val="32"/>
          <w:szCs w:val="32"/>
        </w:rPr>
        <w:t>公开，从而使政府信息公开审查制度真正落到实处，防止泄密情况的发生。</w:t>
      </w:r>
    </w:p>
    <w:p>
      <w:pPr>
        <w:ind w:firstLine="632" w:firstLineChars="200"/>
        <w:rPr>
          <w:rFonts w:hint="eastAsia" w:eastAsia="黑体" w:cs="黑体"/>
          <w:color w:val="auto"/>
          <w:sz w:val="32"/>
          <w:shd w:val="clear" w:color="auto" w:fill="FFFFFF"/>
        </w:rPr>
      </w:pPr>
      <w:r>
        <w:rPr>
          <w:rFonts w:hint="eastAsia" w:ascii="黑体" w:hAnsi="黑体" w:eastAsia="黑体" w:cs="黑体"/>
          <w:sz w:val="32"/>
          <w:szCs w:val="32"/>
          <w:lang w:eastAsia="zh-CN"/>
        </w:rPr>
        <w:t>二、</w:t>
      </w:r>
      <w:r>
        <w:rPr>
          <w:rFonts w:hint="eastAsia" w:ascii="黑体" w:hAnsi="黑体" w:eastAsia="黑体" w:cs="黑体"/>
          <w:color w:val="000000"/>
          <w:sz w:val="32"/>
          <w:shd w:val="clear" w:color="auto" w:fill="FFFFFF"/>
        </w:rPr>
        <w:t>主动公</w:t>
      </w:r>
      <w:r>
        <w:rPr>
          <w:rFonts w:hint="eastAsia" w:eastAsia="黑体" w:cs="黑体"/>
          <w:color w:val="000000"/>
          <w:sz w:val="32"/>
          <w:shd w:val="clear" w:color="auto" w:fill="FFFFFF"/>
        </w:rPr>
        <w:t>开政</w:t>
      </w:r>
      <w:r>
        <w:rPr>
          <w:rFonts w:hint="eastAsia" w:eastAsia="黑体" w:cs="黑体"/>
          <w:color w:val="auto"/>
          <w:sz w:val="32"/>
          <w:shd w:val="clear" w:color="auto" w:fill="FFFFFF"/>
        </w:rPr>
        <w:t>府信息情况</w:t>
      </w:r>
    </w:p>
    <w:tbl>
      <w:tblPr>
        <w:tblStyle w:val="5"/>
        <w:tblW w:w="8840" w:type="dxa"/>
        <w:jc w:val="center"/>
        <w:tblLayout w:type="fixed"/>
        <w:tblCellMar>
          <w:top w:w="0" w:type="dxa"/>
          <w:left w:w="0" w:type="dxa"/>
          <w:bottom w:w="0" w:type="dxa"/>
          <w:right w:w="0" w:type="dxa"/>
        </w:tblCellMar>
      </w:tblPr>
      <w:tblGrid>
        <w:gridCol w:w="3378"/>
        <w:gridCol w:w="2034"/>
        <w:gridCol w:w="6"/>
        <w:gridCol w:w="1372"/>
        <w:gridCol w:w="2050"/>
      </w:tblGrid>
      <w:tr>
        <w:tblPrEx>
          <w:tblCellMar>
            <w:top w:w="0" w:type="dxa"/>
            <w:left w:w="0" w:type="dxa"/>
            <w:bottom w:w="0" w:type="dxa"/>
            <w:right w:w="0" w:type="dxa"/>
          </w:tblCellMar>
        </w:tblPrEx>
        <w:trPr>
          <w:trHeight w:val="451" w:hRule="atLeast"/>
          <w:jc w:val="center"/>
        </w:trPr>
        <w:tc>
          <w:tcPr>
            <w:tcW w:w="8840" w:type="dxa"/>
            <w:gridSpan w:val="5"/>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第二十条第（一）项</w:t>
            </w:r>
          </w:p>
        </w:tc>
      </w:tr>
      <w:tr>
        <w:tblPrEx>
          <w:tblCellMar>
            <w:top w:w="0" w:type="dxa"/>
            <w:left w:w="0" w:type="dxa"/>
            <w:bottom w:w="0" w:type="dxa"/>
            <w:right w:w="0" w:type="dxa"/>
          </w:tblCellMar>
        </w:tblPrEx>
        <w:trPr>
          <w:trHeight w:val="963"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信息内容</w:t>
            </w:r>
          </w:p>
        </w:tc>
        <w:tc>
          <w:tcPr>
            <w:tcW w:w="2034" w:type="dxa"/>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本年新</w:t>
            </w:r>
            <w:r>
              <w:rPr>
                <w:rFonts w:hint="eastAsia" w:cs="仿宋_GB2312"/>
                <w:color w:val="000000"/>
                <w:kern w:val="0"/>
                <w:sz w:val="20"/>
                <w:szCs w:val="20"/>
              </w:rPr>
              <w:br w:type="textWrapping"/>
            </w:r>
            <w:r>
              <w:rPr>
                <w:rFonts w:hint="eastAsia" w:cs="仿宋_GB2312"/>
                <w:color w:val="000000"/>
                <w:kern w:val="0"/>
                <w:sz w:val="20"/>
                <w:szCs w:val="20"/>
              </w:rPr>
              <w:t>制作数量</w:t>
            </w:r>
          </w:p>
        </w:tc>
        <w:tc>
          <w:tcPr>
            <w:tcW w:w="1378" w:type="dxa"/>
            <w:gridSpan w:val="2"/>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本年新</w:t>
            </w:r>
            <w:r>
              <w:rPr>
                <w:rFonts w:hint="eastAsia" w:cs="仿宋_GB2312"/>
                <w:color w:val="000000"/>
                <w:kern w:val="0"/>
                <w:sz w:val="20"/>
                <w:szCs w:val="20"/>
              </w:rPr>
              <w:br w:type="textWrapping"/>
            </w:r>
            <w:r>
              <w:rPr>
                <w:rFonts w:hint="eastAsia" w:cs="仿宋_GB2312"/>
                <w:color w:val="000000"/>
                <w:kern w:val="0"/>
                <w:sz w:val="20"/>
                <w:szCs w:val="20"/>
              </w:rPr>
              <w:t>公开数量</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对外公开总数量</w:t>
            </w:r>
          </w:p>
        </w:tc>
      </w:tr>
      <w:tr>
        <w:tblPrEx>
          <w:tblCellMar>
            <w:top w:w="0" w:type="dxa"/>
            <w:left w:w="0" w:type="dxa"/>
            <w:bottom w:w="0" w:type="dxa"/>
            <w:right w:w="0" w:type="dxa"/>
          </w:tblCellMar>
        </w:tblPrEx>
        <w:trPr>
          <w:trHeight w:val="471"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规章</w:t>
            </w:r>
          </w:p>
        </w:tc>
        <w:tc>
          <w:tcPr>
            <w:tcW w:w="2034"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1378"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CellMar>
            <w:top w:w="0" w:type="dxa"/>
            <w:left w:w="0" w:type="dxa"/>
            <w:bottom w:w="0" w:type="dxa"/>
            <w:right w:w="0" w:type="dxa"/>
          </w:tblCellMar>
        </w:tblPrEx>
        <w:trPr>
          <w:trHeight w:val="441"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规范性文件</w:t>
            </w:r>
          </w:p>
        </w:tc>
        <w:tc>
          <w:tcPr>
            <w:tcW w:w="2034"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val="en-US" w:eastAsia="zh-CN"/>
              </w:rPr>
            </w:pPr>
            <w:r>
              <w:rPr>
                <w:rFonts w:hint="eastAsia" w:cs="仿宋_GB2312"/>
                <w:color w:val="000000"/>
                <w:kern w:val="0"/>
                <w:sz w:val="20"/>
                <w:szCs w:val="20"/>
                <w:lang w:val="en-US" w:eastAsia="zh-CN"/>
              </w:rPr>
              <w:t>0</w:t>
            </w:r>
          </w:p>
        </w:tc>
        <w:tc>
          <w:tcPr>
            <w:tcW w:w="1378"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eastAsia="zh-CN"/>
              </w:rPr>
            </w:pPr>
            <w:r>
              <w:rPr>
                <w:rFonts w:hint="eastAsia" w:cs="仿宋_GB2312"/>
                <w:color w:val="000000"/>
                <w:kern w:val="0"/>
                <w:sz w:val="20"/>
                <w:szCs w:val="20"/>
                <w:lang w:val="en-US" w:eastAsia="zh-CN"/>
              </w:rPr>
              <w:t>0</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eastAsia="zh-CN"/>
              </w:rPr>
            </w:pPr>
            <w:r>
              <w:rPr>
                <w:rFonts w:hint="eastAsia" w:cs="仿宋_GB2312"/>
                <w:color w:val="000000"/>
                <w:kern w:val="0"/>
                <w:sz w:val="20"/>
                <w:szCs w:val="20"/>
                <w:lang w:val="en-US" w:eastAsia="zh-CN"/>
              </w:rPr>
              <w:t>0</w:t>
            </w:r>
          </w:p>
        </w:tc>
      </w:tr>
      <w:tr>
        <w:tblPrEx>
          <w:tblCellMar>
            <w:top w:w="0" w:type="dxa"/>
            <w:left w:w="0" w:type="dxa"/>
            <w:bottom w:w="0" w:type="dxa"/>
            <w:right w:w="0" w:type="dxa"/>
          </w:tblCellMar>
        </w:tblPrEx>
        <w:trPr>
          <w:trHeight w:val="471" w:hRule="atLeast"/>
          <w:jc w:val="center"/>
        </w:trPr>
        <w:tc>
          <w:tcPr>
            <w:tcW w:w="88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第二十条第（五）项</w:t>
            </w:r>
          </w:p>
        </w:tc>
      </w:tr>
      <w:tr>
        <w:tblPrEx>
          <w:tblCellMar>
            <w:top w:w="0" w:type="dxa"/>
            <w:left w:w="0" w:type="dxa"/>
            <w:bottom w:w="0" w:type="dxa"/>
            <w:right w:w="0" w:type="dxa"/>
          </w:tblCellMar>
        </w:tblPrEx>
        <w:trPr>
          <w:trHeight w:val="545"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信息内容</w:t>
            </w:r>
          </w:p>
        </w:tc>
        <w:tc>
          <w:tcPr>
            <w:tcW w:w="2034" w:type="dxa"/>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上一年项目数量</w:t>
            </w:r>
          </w:p>
        </w:tc>
        <w:tc>
          <w:tcPr>
            <w:tcW w:w="1378" w:type="dxa"/>
            <w:gridSpan w:val="2"/>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本年增/减</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处理决定数量</w:t>
            </w:r>
          </w:p>
        </w:tc>
      </w:tr>
      <w:tr>
        <w:tblPrEx>
          <w:tblCellMar>
            <w:top w:w="0" w:type="dxa"/>
            <w:left w:w="0" w:type="dxa"/>
            <w:bottom w:w="0" w:type="dxa"/>
            <w:right w:w="0" w:type="dxa"/>
          </w:tblCellMar>
        </w:tblPrEx>
        <w:trPr>
          <w:trHeight w:val="486"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行政许可</w:t>
            </w:r>
          </w:p>
        </w:tc>
        <w:tc>
          <w:tcPr>
            <w:tcW w:w="2040"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val="en-US" w:eastAsia="zh-CN"/>
              </w:rPr>
            </w:pPr>
            <w:r>
              <w:rPr>
                <w:rFonts w:hint="eastAsia" w:cs="仿宋_GB2312"/>
                <w:color w:val="000000"/>
                <w:kern w:val="0"/>
                <w:sz w:val="20"/>
                <w:szCs w:val="20"/>
                <w:lang w:val="en-US" w:eastAsia="zh-CN"/>
              </w:rPr>
              <w:t>0</w:t>
            </w:r>
          </w:p>
        </w:tc>
        <w:tc>
          <w:tcPr>
            <w:tcW w:w="137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val="en-US" w:eastAsia="zh-CN"/>
              </w:rPr>
            </w:pPr>
            <w:r>
              <w:rPr>
                <w:rFonts w:hint="eastAsia" w:cs="仿宋_GB2312"/>
                <w:color w:val="000000"/>
                <w:kern w:val="0"/>
                <w:sz w:val="20"/>
                <w:szCs w:val="20"/>
                <w:lang w:val="en-US" w:eastAsia="zh-CN"/>
              </w:rPr>
              <w:t>0</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val="en-US" w:eastAsia="zh-CN"/>
              </w:rPr>
            </w:pPr>
            <w:r>
              <w:rPr>
                <w:rFonts w:hint="eastAsia" w:cs="仿宋_GB2312"/>
                <w:color w:val="000000"/>
                <w:kern w:val="0"/>
                <w:sz w:val="20"/>
                <w:szCs w:val="20"/>
                <w:lang w:val="en-US" w:eastAsia="zh-CN"/>
              </w:rPr>
              <w:t>88</w:t>
            </w:r>
          </w:p>
        </w:tc>
      </w:tr>
      <w:tr>
        <w:tblPrEx>
          <w:tblCellMar>
            <w:top w:w="0" w:type="dxa"/>
            <w:left w:w="0" w:type="dxa"/>
            <w:bottom w:w="0" w:type="dxa"/>
            <w:right w:w="0" w:type="dxa"/>
          </w:tblCellMar>
        </w:tblPrEx>
        <w:trPr>
          <w:trHeight w:val="426"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其他对外管理服务事项</w:t>
            </w:r>
          </w:p>
        </w:tc>
        <w:tc>
          <w:tcPr>
            <w:tcW w:w="2040"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137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val="en-US" w:eastAsia="zh-CN"/>
              </w:rPr>
            </w:pPr>
            <w:r>
              <w:rPr>
                <w:rFonts w:hint="eastAsia" w:cs="仿宋_GB2312"/>
                <w:color w:val="000000"/>
                <w:kern w:val="0"/>
                <w:sz w:val="20"/>
                <w:szCs w:val="20"/>
                <w:lang w:val="en-US" w:eastAsia="zh-CN"/>
              </w:rPr>
              <w:t>296</w:t>
            </w:r>
          </w:p>
        </w:tc>
      </w:tr>
      <w:tr>
        <w:tblPrEx>
          <w:tblCellMar>
            <w:top w:w="0" w:type="dxa"/>
            <w:left w:w="0" w:type="dxa"/>
            <w:bottom w:w="0" w:type="dxa"/>
            <w:right w:w="0" w:type="dxa"/>
          </w:tblCellMar>
        </w:tblPrEx>
        <w:trPr>
          <w:trHeight w:val="516" w:hRule="atLeast"/>
          <w:jc w:val="center"/>
        </w:trPr>
        <w:tc>
          <w:tcPr>
            <w:tcW w:w="88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第二十条第（六）项</w:t>
            </w:r>
          </w:p>
        </w:tc>
      </w:tr>
      <w:tr>
        <w:tblPrEx>
          <w:tblCellMar>
            <w:top w:w="0" w:type="dxa"/>
            <w:left w:w="0" w:type="dxa"/>
            <w:bottom w:w="0" w:type="dxa"/>
            <w:right w:w="0" w:type="dxa"/>
          </w:tblCellMar>
        </w:tblPrEx>
        <w:trPr>
          <w:trHeight w:val="545"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信息内容</w:t>
            </w:r>
          </w:p>
        </w:tc>
        <w:tc>
          <w:tcPr>
            <w:tcW w:w="2034" w:type="dxa"/>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上一年项目数量</w:t>
            </w:r>
          </w:p>
        </w:tc>
        <w:tc>
          <w:tcPr>
            <w:tcW w:w="1378" w:type="dxa"/>
            <w:gridSpan w:val="2"/>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本年增/减</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处理决定数量</w:t>
            </w:r>
          </w:p>
        </w:tc>
      </w:tr>
      <w:tr>
        <w:tblPrEx>
          <w:tblCellMar>
            <w:top w:w="0" w:type="dxa"/>
            <w:left w:w="0" w:type="dxa"/>
            <w:bottom w:w="0" w:type="dxa"/>
            <w:right w:w="0" w:type="dxa"/>
          </w:tblCellMar>
        </w:tblPrEx>
        <w:trPr>
          <w:trHeight w:val="519"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行政处罚</w:t>
            </w:r>
          </w:p>
        </w:tc>
        <w:tc>
          <w:tcPr>
            <w:tcW w:w="2040"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137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val="en-US" w:eastAsia="zh-CN"/>
              </w:rPr>
            </w:pPr>
            <w:r>
              <w:rPr>
                <w:rFonts w:hint="eastAsia" w:cs="仿宋_GB2312"/>
                <w:color w:val="000000"/>
                <w:sz w:val="20"/>
                <w:szCs w:val="20"/>
                <w:lang w:val="en-US" w:eastAsia="zh-CN"/>
              </w:rPr>
              <w:t>0</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val="en-US" w:eastAsia="zh-CN"/>
              </w:rPr>
            </w:pPr>
            <w:r>
              <w:rPr>
                <w:rFonts w:hint="eastAsia" w:cs="仿宋_GB2312"/>
                <w:color w:val="000000"/>
                <w:kern w:val="0"/>
                <w:sz w:val="20"/>
                <w:szCs w:val="20"/>
                <w:lang w:val="en-US" w:eastAsia="zh-CN"/>
              </w:rPr>
              <w:t>8</w:t>
            </w:r>
          </w:p>
        </w:tc>
      </w:tr>
      <w:tr>
        <w:tblPrEx>
          <w:tblCellMar>
            <w:top w:w="0" w:type="dxa"/>
            <w:left w:w="0" w:type="dxa"/>
            <w:bottom w:w="0" w:type="dxa"/>
            <w:right w:w="0" w:type="dxa"/>
          </w:tblCellMar>
        </w:tblPrEx>
        <w:trPr>
          <w:trHeight w:val="474"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行政强制</w:t>
            </w:r>
          </w:p>
        </w:tc>
        <w:tc>
          <w:tcPr>
            <w:tcW w:w="2040"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137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2050"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CellMar>
            <w:top w:w="0" w:type="dxa"/>
            <w:left w:w="0" w:type="dxa"/>
            <w:bottom w:w="0" w:type="dxa"/>
            <w:right w:w="0" w:type="dxa"/>
          </w:tblCellMar>
        </w:tblPrEx>
        <w:trPr>
          <w:trHeight w:val="471" w:hRule="atLeast"/>
          <w:jc w:val="center"/>
        </w:trPr>
        <w:tc>
          <w:tcPr>
            <w:tcW w:w="88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第二十条第（八）项</w:t>
            </w:r>
          </w:p>
        </w:tc>
      </w:tr>
      <w:tr>
        <w:tblPrEx>
          <w:tblCellMar>
            <w:top w:w="0" w:type="dxa"/>
            <w:left w:w="0" w:type="dxa"/>
            <w:bottom w:w="0" w:type="dxa"/>
            <w:right w:w="0" w:type="dxa"/>
          </w:tblCellMar>
        </w:tblPrEx>
        <w:trPr>
          <w:trHeight w:val="471"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信息内容</w:t>
            </w:r>
          </w:p>
        </w:tc>
        <w:tc>
          <w:tcPr>
            <w:tcW w:w="2040" w:type="dxa"/>
            <w:gridSpan w:val="2"/>
            <w:tcBorders>
              <w:top w:val="nil"/>
              <w:left w:val="nil"/>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上一年项目数量</w:t>
            </w:r>
          </w:p>
        </w:tc>
        <w:tc>
          <w:tcPr>
            <w:tcW w:w="3422" w:type="dxa"/>
            <w:gridSpan w:val="2"/>
            <w:tcBorders>
              <w:top w:val="single" w:color="auto" w:sz="8" w:space="0"/>
              <w:left w:val="nil"/>
              <w:bottom w:val="single" w:color="auto" w:sz="8" w:space="0"/>
              <w:right w:val="single" w:color="000000"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本年增/减</w:t>
            </w:r>
          </w:p>
        </w:tc>
      </w:tr>
      <w:tr>
        <w:tblPrEx>
          <w:tblCellMar>
            <w:top w:w="0" w:type="dxa"/>
            <w:left w:w="0" w:type="dxa"/>
            <w:bottom w:w="0" w:type="dxa"/>
            <w:right w:w="0" w:type="dxa"/>
          </w:tblCellMar>
        </w:tblPrEx>
        <w:trPr>
          <w:trHeight w:val="429"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行政事业性收费</w:t>
            </w:r>
          </w:p>
        </w:tc>
        <w:tc>
          <w:tcPr>
            <w:tcW w:w="2040"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3422" w:type="dxa"/>
            <w:gridSpan w:val="2"/>
            <w:tcBorders>
              <w:top w:val="nil"/>
              <w:left w:val="nil"/>
              <w:bottom w:val="single" w:color="auto" w:sz="8" w:space="0"/>
              <w:right w:val="single" w:color="000000"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r>
      <w:tr>
        <w:tblPrEx>
          <w:tblCellMar>
            <w:top w:w="0" w:type="dxa"/>
            <w:left w:w="0" w:type="dxa"/>
            <w:bottom w:w="0" w:type="dxa"/>
            <w:right w:w="0" w:type="dxa"/>
          </w:tblCellMar>
        </w:tblPrEx>
        <w:trPr>
          <w:trHeight w:val="501" w:hRule="atLeast"/>
          <w:jc w:val="center"/>
        </w:trPr>
        <w:tc>
          <w:tcPr>
            <w:tcW w:w="88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第二十条第（九）项</w:t>
            </w:r>
          </w:p>
        </w:tc>
      </w:tr>
      <w:tr>
        <w:tblPrEx>
          <w:tblCellMar>
            <w:top w:w="0" w:type="dxa"/>
            <w:left w:w="0" w:type="dxa"/>
            <w:bottom w:w="0" w:type="dxa"/>
            <w:right w:w="0" w:type="dxa"/>
          </w:tblCellMar>
        </w:tblPrEx>
        <w:trPr>
          <w:trHeight w:val="523"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信息内容</w:t>
            </w:r>
          </w:p>
        </w:tc>
        <w:tc>
          <w:tcPr>
            <w:tcW w:w="2040"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采购项目数量</w:t>
            </w:r>
          </w:p>
        </w:tc>
        <w:tc>
          <w:tcPr>
            <w:tcW w:w="3422" w:type="dxa"/>
            <w:gridSpan w:val="2"/>
            <w:tcBorders>
              <w:top w:val="single" w:color="auto" w:sz="8" w:space="0"/>
              <w:left w:val="nil"/>
              <w:bottom w:val="single" w:color="auto" w:sz="8" w:space="0"/>
              <w:right w:val="single" w:color="000000"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采购总金额</w:t>
            </w:r>
          </w:p>
        </w:tc>
      </w:tr>
      <w:tr>
        <w:tblPrEx>
          <w:tblCellMar>
            <w:top w:w="0" w:type="dxa"/>
            <w:left w:w="0" w:type="dxa"/>
            <w:bottom w:w="0" w:type="dxa"/>
            <w:right w:w="0" w:type="dxa"/>
          </w:tblCellMar>
        </w:tblPrEx>
        <w:trPr>
          <w:trHeight w:val="494" w:hRule="atLeast"/>
          <w:jc w:val="center"/>
        </w:trPr>
        <w:tc>
          <w:tcPr>
            <w:tcW w:w="3378"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left"/>
              <w:rPr>
                <w:rFonts w:cs="仿宋_GB2312"/>
                <w:color w:val="000000"/>
              </w:rPr>
            </w:pPr>
            <w:r>
              <w:rPr>
                <w:rFonts w:hint="eastAsia" w:cs="仿宋_GB2312"/>
                <w:color w:val="000000"/>
                <w:kern w:val="0"/>
                <w:sz w:val="20"/>
                <w:szCs w:val="20"/>
              </w:rPr>
              <w:t>政府集中采购</w:t>
            </w:r>
          </w:p>
        </w:tc>
        <w:tc>
          <w:tcPr>
            <w:tcW w:w="2040" w:type="dxa"/>
            <w:gridSpan w:val="2"/>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lang w:val="en-US" w:eastAsia="zh-CN"/>
              </w:rPr>
            </w:pPr>
            <w:r>
              <w:rPr>
                <w:rFonts w:hint="eastAsia" w:ascii="仿宋_GB2312" w:hAnsi="仿宋_GB2312" w:cs="仿宋_GB2312"/>
                <w:color w:val="000000"/>
                <w:kern w:val="0"/>
                <w:sz w:val="21"/>
                <w:szCs w:val="21"/>
                <w:lang w:val="en-US" w:eastAsia="zh-CN"/>
              </w:rPr>
              <w:t>13</w:t>
            </w:r>
          </w:p>
        </w:tc>
        <w:tc>
          <w:tcPr>
            <w:tcW w:w="3422" w:type="dxa"/>
            <w:gridSpan w:val="2"/>
            <w:tcBorders>
              <w:top w:val="nil"/>
              <w:left w:val="nil"/>
              <w:bottom w:val="single" w:color="auto" w:sz="8" w:space="0"/>
              <w:right w:val="single" w:color="000000" w:sz="8" w:space="0"/>
            </w:tcBorders>
            <w:tcMar>
              <w:left w:w="108" w:type="dxa"/>
              <w:right w:w="108" w:type="dxa"/>
            </w:tcMar>
            <w:vAlign w:val="center"/>
          </w:tcPr>
          <w:p>
            <w:pPr>
              <w:jc w:val="center"/>
              <w:rPr>
                <w:rFonts w:hint="eastAsia" w:ascii="仿宋_GB2312" w:hAnsi="仿宋_GB2312" w:eastAsia="仿宋_GB2312" w:cs="仿宋_GB2312"/>
                <w:color w:val="000000"/>
                <w:sz w:val="21"/>
                <w:szCs w:val="21"/>
                <w:lang w:val="en-US" w:eastAsia="zh-CN"/>
              </w:rPr>
            </w:pPr>
            <w:r>
              <w:rPr>
                <w:rFonts w:hint="eastAsia" w:ascii="仿宋_GB2312" w:hAnsi="仿宋_GB2312" w:cs="仿宋_GB2312"/>
                <w:color w:val="000000"/>
                <w:sz w:val="21"/>
                <w:szCs w:val="21"/>
                <w:lang w:val="en-US" w:eastAsia="zh-CN"/>
              </w:rPr>
              <w:t>316266元</w:t>
            </w:r>
          </w:p>
        </w:tc>
      </w:tr>
    </w:tbl>
    <w:p>
      <w:pPr>
        <w:pStyle w:val="4"/>
        <w:widowControl/>
        <w:spacing w:before="0" w:beforeAutospacing="0" w:after="0" w:afterAutospacing="0"/>
        <w:ind w:firstLine="632" w:firstLineChars="200"/>
        <w:jc w:val="both"/>
        <w:rPr>
          <w:rFonts w:eastAsia="黑体" w:cs="黑体"/>
          <w:bCs/>
          <w:color w:val="000000"/>
          <w:sz w:val="32"/>
          <w:shd w:val="clear" w:color="auto" w:fill="FFFFFF"/>
        </w:rPr>
      </w:pPr>
      <w:r>
        <w:rPr>
          <w:rFonts w:hint="eastAsia" w:eastAsia="黑体" w:cs="黑体"/>
          <w:bCs/>
          <w:color w:val="000000"/>
          <w:sz w:val="32"/>
          <w:shd w:val="clear" w:color="auto" w:fill="FFFFFF"/>
        </w:rPr>
        <w:t>三、收到和处理政府信息公开申请情况</w:t>
      </w:r>
    </w:p>
    <w:tbl>
      <w:tblPr>
        <w:tblStyle w:val="5"/>
        <w:tblW w:w="885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10"/>
        <w:gridCol w:w="828"/>
        <w:gridCol w:w="2034"/>
        <w:gridCol w:w="792"/>
        <w:gridCol w:w="735"/>
        <w:gridCol w:w="735"/>
        <w:gridCol w:w="792"/>
        <w:gridCol w:w="948"/>
        <w:gridCol w:w="703"/>
        <w:gridCol w:w="68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67" w:hRule="atLeast"/>
          <w:jc w:val="center"/>
        </w:trPr>
        <w:tc>
          <w:tcPr>
            <w:tcW w:w="3472" w:type="dxa"/>
            <w:gridSpan w:val="3"/>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（本列数据的勾稽关系为：第一项加第二项之和，等于第三项加第四项之和）</w:t>
            </w:r>
          </w:p>
        </w:tc>
        <w:tc>
          <w:tcPr>
            <w:tcW w:w="5387" w:type="dxa"/>
            <w:gridSpan w:val="7"/>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2" w:hRule="atLeast"/>
          <w:jc w:val="center"/>
        </w:trPr>
        <w:tc>
          <w:tcPr>
            <w:tcW w:w="3472" w:type="dxa"/>
            <w:gridSpan w:val="3"/>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792" w:type="dxa"/>
            <w:vMerge w:val="restart"/>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自然人</w:t>
            </w:r>
          </w:p>
        </w:tc>
        <w:tc>
          <w:tcPr>
            <w:tcW w:w="3913" w:type="dxa"/>
            <w:gridSpan w:val="5"/>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法人或其他组织</w:t>
            </w:r>
          </w:p>
        </w:tc>
        <w:tc>
          <w:tcPr>
            <w:tcW w:w="682"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710" w:hRule="atLeast"/>
          <w:jc w:val="center"/>
        </w:trPr>
        <w:tc>
          <w:tcPr>
            <w:tcW w:w="3472" w:type="dxa"/>
            <w:gridSpan w:val="3"/>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792"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73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商业企业</w:t>
            </w:r>
          </w:p>
        </w:tc>
        <w:tc>
          <w:tcPr>
            <w:tcW w:w="73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科研机构</w:t>
            </w:r>
          </w:p>
        </w:tc>
        <w:tc>
          <w:tcPr>
            <w:tcW w:w="792"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社会公益组织</w:t>
            </w:r>
          </w:p>
        </w:tc>
        <w:tc>
          <w:tcPr>
            <w:tcW w:w="948"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法律服务机构</w:t>
            </w:r>
          </w:p>
        </w:tc>
        <w:tc>
          <w:tcPr>
            <w:tcW w:w="703"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其他</w:t>
            </w:r>
          </w:p>
        </w:tc>
        <w:tc>
          <w:tcPr>
            <w:tcW w:w="682"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37" w:hRule="atLeast"/>
          <w:jc w:val="center"/>
        </w:trPr>
        <w:tc>
          <w:tcPr>
            <w:tcW w:w="3472" w:type="dxa"/>
            <w:gridSpan w:val="3"/>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一、本年新收政府信息公开申请数量</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eastAsia="zh-CN"/>
              </w:rPr>
            </w:pPr>
            <w:r>
              <w:rPr>
                <w:rFonts w:hint="eastAsia" w:cs="仿宋_GB2312"/>
                <w:color w:val="000000"/>
                <w:kern w:val="0"/>
                <w:sz w:val="20"/>
                <w:szCs w:val="20"/>
                <w:lang w:val="en-US" w:eastAsia="zh-CN"/>
              </w:rPr>
              <w:t>1</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eastAsia="zh-CN"/>
              </w:rPr>
            </w:pPr>
            <w:r>
              <w:rPr>
                <w:rFonts w:hint="eastAsia" w:cs="仿宋_GB2312"/>
                <w:color w:val="000000"/>
                <w:kern w:val="0"/>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4" w:hRule="atLeast"/>
          <w:jc w:val="center"/>
        </w:trPr>
        <w:tc>
          <w:tcPr>
            <w:tcW w:w="3472" w:type="dxa"/>
            <w:gridSpan w:val="3"/>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二、上年结转政府信息公开申请数量</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610" w:type="dxa"/>
            <w:vMerge w:val="restart"/>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三、本年度办理结果</w:t>
            </w:r>
          </w:p>
        </w:tc>
        <w:tc>
          <w:tcPr>
            <w:tcW w:w="2862" w:type="dxa"/>
            <w:gridSpan w:val="2"/>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（一）予以公开</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eastAsia="zh-CN"/>
              </w:rPr>
            </w:pPr>
            <w:r>
              <w:rPr>
                <w:rFonts w:hint="eastAsia" w:cs="仿宋_GB2312"/>
                <w:color w:val="000000"/>
                <w:kern w:val="0"/>
                <w:sz w:val="20"/>
                <w:szCs w:val="20"/>
                <w:lang w:val="en-US" w:eastAsia="zh-CN"/>
              </w:rPr>
              <w:t>1</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eastAsia="zh-CN"/>
              </w:rPr>
            </w:pPr>
            <w:r>
              <w:rPr>
                <w:rFonts w:hint="eastAsia" w:cs="仿宋_GB2312"/>
                <w:color w:val="000000"/>
                <w:kern w:val="0"/>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4"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862" w:type="dxa"/>
            <w:gridSpan w:val="2"/>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（二）部分公开（区分处理的，只计这一情形，不计其他情形）</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34"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restart"/>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（三）不予公开</w:t>
            </w: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1.属于国家秘密</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4"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2.其他法律行政法规禁止公开</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9"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3.危及“三安全一稳定”</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99"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4.保护第三方合法权益</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84"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5.属于三类内部事务信息</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9"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6.属于四类过程性信息</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7.属于行政执法案卷</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8.属于行政查询事项</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eastAsia="仿宋_GB2312" w:cs="仿宋_GB2312"/>
                <w:color w:val="000000"/>
                <w:lang w:eastAsia="zh-CN"/>
              </w:rPr>
            </w:pPr>
            <w:r>
              <w:rPr>
                <w:rFonts w:hint="eastAsia" w:cs="仿宋_GB2312"/>
                <w:color w:val="000000"/>
                <w:kern w:val="0"/>
                <w:sz w:val="20"/>
                <w:szCs w:val="20"/>
                <w:lang w:val="en-US" w:eastAsia="zh-CN"/>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84"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restart"/>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（四）无法提供</w:t>
            </w: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1.本机关不掌握相关政府信息</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4"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2.没有现成信息需要另行制作</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cs="仿宋_GB2312"/>
                <w:color w:val="000000"/>
              </w:rPr>
            </w:pPr>
            <w:r>
              <w:rPr>
                <w:rFonts w:hint="eastAsia" w:cs="仿宋_GB2312"/>
                <w:color w:val="000000"/>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24"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3.补正后申请内容仍不明确</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39"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restart"/>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（五）不予处理</w:t>
            </w: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1.信访举报投诉类申请</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2.重复申请</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19"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3.要求提供公开出版物</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99"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4.无正当理由大量反复申请</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80"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828"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03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5.要求行政机关确认或重新出具已获取信息</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22"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862" w:type="dxa"/>
            <w:gridSpan w:val="2"/>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（六）其他处理</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610"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2862" w:type="dxa"/>
            <w:gridSpan w:val="2"/>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（七）总计</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lang w:eastAsia="zh-CN"/>
              </w:rPr>
            </w:pPr>
            <w:r>
              <w:rPr>
                <w:rFonts w:hint="eastAsia" w:ascii="仿宋_GB2312" w:hAnsi="仿宋_GB2312" w:cs="仿宋_GB2312"/>
                <w:color w:val="000000"/>
                <w:kern w:val="0"/>
                <w:sz w:val="21"/>
                <w:szCs w:val="21"/>
                <w:lang w:val="en-US" w:eastAsia="zh-CN"/>
              </w:rPr>
              <w:t>1</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lang w:eastAsia="zh-CN"/>
              </w:rPr>
            </w:pPr>
            <w:r>
              <w:rPr>
                <w:rFonts w:hint="eastAsia" w:ascii="仿宋_GB2312" w:hAnsi="仿宋_GB2312" w:cs="仿宋_GB2312"/>
                <w:color w:val="000000"/>
                <w:kern w:val="0"/>
                <w:sz w:val="21"/>
                <w:szCs w:val="21"/>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6" w:hRule="atLeast"/>
          <w:jc w:val="center"/>
        </w:trPr>
        <w:tc>
          <w:tcPr>
            <w:tcW w:w="3472" w:type="dxa"/>
            <w:gridSpan w:val="3"/>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cs="仿宋_GB2312"/>
                <w:color w:val="000000"/>
              </w:rPr>
            </w:pPr>
            <w:r>
              <w:rPr>
                <w:rFonts w:hint="eastAsia" w:cs="仿宋_GB2312"/>
                <w:color w:val="000000"/>
                <w:kern w:val="0"/>
                <w:sz w:val="20"/>
                <w:szCs w:val="20"/>
              </w:rPr>
              <w:t>四、结转下年度继续办理</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92"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94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703"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82" w:type="dxa"/>
            <w:tcBorders>
              <w:top w:val="nil"/>
              <w:left w:val="nil"/>
              <w:bottom w:val="single" w:color="auto" w:sz="8" w:space="0"/>
              <w:right w:val="single" w:color="auto" w:sz="8" w:space="0"/>
            </w:tcBorders>
            <w:tcMar>
              <w:left w:w="108" w:type="dxa"/>
              <w:right w:w="108" w:type="dxa"/>
            </w:tcMar>
            <w:vAlign w:val="center"/>
          </w:tcPr>
          <w:p>
            <w:pPr>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w:t>
            </w:r>
          </w:p>
        </w:tc>
      </w:tr>
    </w:tbl>
    <w:p>
      <w:pPr>
        <w:pStyle w:val="4"/>
        <w:widowControl/>
        <w:spacing w:before="0" w:beforeAutospacing="0" w:after="0" w:afterAutospacing="0"/>
        <w:ind w:firstLine="632" w:firstLineChars="200"/>
        <w:jc w:val="both"/>
        <w:rPr>
          <w:rFonts w:eastAsia="黑体" w:cs="黑体"/>
          <w:bCs/>
          <w:color w:val="000000"/>
          <w:sz w:val="32"/>
        </w:rPr>
      </w:pPr>
      <w:r>
        <w:rPr>
          <w:rFonts w:hint="eastAsia" w:eastAsia="黑体" w:cs="黑体"/>
          <w:bCs/>
          <w:color w:val="000000"/>
          <w:sz w:val="32"/>
          <w:shd w:val="clear" w:color="auto" w:fill="FFFFFF"/>
        </w:rPr>
        <w:t>四、政府信息公开行政复议、行政诉讼情况</w:t>
      </w:r>
    </w:p>
    <w:tbl>
      <w:tblPr>
        <w:tblStyle w:val="5"/>
        <w:tblW w:w="883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87"/>
        <w:gridCol w:w="587"/>
        <w:gridCol w:w="587"/>
        <w:gridCol w:w="587"/>
        <w:gridCol w:w="647"/>
        <w:gridCol w:w="535"/>
        <w:gridCol w:w="588"/>
        <w:gridCol w:w="588"/>
        <w:gridCol w:w="588"/>
        <w:gridCol w:w="595"/>
        <w:gridCol w:w="588"/>
        <w:gridCol w:w="588"/>
        <w:gridCol w:w="588"/>
        <w:gridCol w:w="589"/>
        <w:gridCol w:w="59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07" w:hRule="atLeast"/>
          <w:jc w:val="center"/>
        </w:trPr>
        <w:tc>
          <w:tcPr>
            <w:tcW w:w="2995"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行政复议</w:t>
            </w:r>
          </w:p>
        </w:tc>
        <w:tc>
          <w:tcPr>
            <w:tcW w:w="5844" w:type="dxa"/>
            <w:gridSpan w:val="10"/>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2" w:hRule="atLeast"/>
          <w:jc w:val="center"/>
        </w:trPr>
        <w:tc>
          <w:tcPr>
            <w:tcW w:w="587" w:type="dxa"/>
            <w:vMerge w:val="restart"/>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结果维持</w:t>
            </w:r>
          </w:p>
        </w:tc>
        <w:tc>
          <w:tcPr>
            <w:tcW w:w="587" w:type="dxa"/>
            <w:vMerge w:val="restart"/>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结果纠正</w:t>
            </w:r>
          </w:p>
        </w:tc>
        <w:tc>
          <w:tcPr>
            <w:tcW w:w="587"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其他结果</w:t>
            </w:r>
          </w:p>
        </w:tc>
        <w:tc>
          <w:tcPr>
            <w:tcW w:w="587"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尚未审结</w:t>
            </w:r>
          </w:p>
        </w:tc>
        <w:tc>
          <w:tcPr>
            <w:tcW w:w="647"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总计</w:t>
            </w:r>
          </w:p>
        </w:tc>
        <w:tc>
          <w:tcPr>
            <w:tcW w:w="2894" w:type="dxa"/>
            <w:gridSpan w:val="5"/>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未经复议直接起诉</w:t>
            </w:r>
          </w:p>
        </w:tc>
        <w:tc>
          <w:tcPr>
            <w:tcW w:w="2950" w:type="dxa"/>
            <w:gridSpan w:val="5"/>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42" w:hRule="atLeast"/>
          <w:jc w:val="center"/>
        </w:trPr>
        <w:tc>
          <w:tcPr>
            <w:tcW w:w="587"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587"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587"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587"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647"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cs="仿宋_GB2312"/>
                <w:color w:val="000000"/>
                <w:sz w:val="24"/>
                <w:szCs w:val="24"/>
              </w:rPr>
            </w:pPr>
          </w:p>
        </w:tc>
        <w:tc>
          <w:tcPr>
            <w:tcW w:w="53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结果维持</w:t>
            </w:r>
          </w:p>
        </w:tc>
        <w:tc>
          <w:tcPr>
            <w:tcW w:w="588"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结果纠正</w:t>
            </w:r>
          </w:p>
        </w:tc>
        <w:tc>
          <w:tcPr>
            <w:tcW w:w="588"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其他结果</w:t>
            </w:r>
          </w:p>
        </w:tc>
        <w:tc>
          <w:tcPr>
            <w:tcW w:w="588"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尚未审结</w:t>
            </w:r>
          </w:p>
        </w:tc>
        <w:tc>
          <w:tcPr>
            <w:tcW w:w="59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总计</w:t>
            </w:r>
          </w:p>
        </w:tc>
        <w:tc>
          <w:tcPr>
            <w:tcW w:w="588"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结果维持</w:t>
            </w:r>
          </w:p>
        </w:tc>
        <w:tc>
          <w:tcPr>
            <w:tcW w:w="588"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结果纠正</w:t>
            </w:r>
          </w:p>
        </w:tc>
        <w:tc>
          <w:tcPr>
            <w:tcW w:w="588"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其他结果</w:t>
            </w:r>
          </w:p>
        </w:tc>
        <w:tc>
          <w:tcPr>
            <w:tcW w:w="589"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尚未审结</w:t>
            </w:r>
          </w:p>
        </w:tc>
        <w:tc>
          <w:tcPr>
            <w:tcW w:w="597"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cs="仿宋_GB2312"/>
                <w:color w:val="000000"/>
              </w:rPr>
            </w:pPr>
            <w:r>
              <w:rPr>
                <w:rFonts w:hint="eastAsia" w:cs="仿宋_GB2312"/>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2" w:hRule="atLeast"/>
          <w:jc w:val="center"/>
        </w:trPr>
        <w:tc>
          <w:tcPr>
            <w:tcW w:w="587" w:type="dxa"/>
            <w:tcBorders>
              <w:top w:val="nil"/>
              <w:left w:val="single" w:color="auto" w:sz="8" w:space="0"/>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7"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7"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7"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647"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3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95"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8"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89" w:type="dxa"/>
            <w:tcBorders>
              <w:top w:val="nil"/>
              <w:left w:val="nil"/>
              <w:bottom w:val="single" w:color="auto" w:sz="8" w:space="0"/>
              <w:right w:val="single" w:color="auto" w:sz="8" w:space="0"/>
            </w:tcBorders>
            <w:tcMar>
              <w:left w:w="108" w:type="dxa"/>
              <w:right w:w="108" w:type="dxa"/>
            </w:tcMar>
            <w:vAlign w:val="center"/>
          </w:tcPr>
          <w:p>
            <w:pPr>
              <w:widowControl/>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0</w:t>
            </w:r>
          </w:p>
        </w:tc>
        <w:tc>
          <w:tcPr>
            <w:tcW w:w="597" w:type="dxa"/>
            <w:tcBorders>
              <w:top w:val="nil"/>
              <w:left w:val="nil"/>
              <w:bottom w:val="single" w:color="auto" w:sz="8" w:space="0"/>
              <w:right w:val="single" w:color="auto" w:sz="8" w:space="0"/>
            </w:tcBorders>
            <w:tcMar>
              <w:left w:w="108" w:type="dxa"/>
              <w:right w:w="108" w:type="dxa"/>
            </w:tcMar>
            <w:vAlign w:val="center"/>
          </w:tcPr>
          <w:p>
            <w:pPr>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w:t>
            </w:r>
          </w:p>
        </w:tc>
      </w:tr>
    </w:tbl>
    <w:p>
      <w:pPr>
        <w:pStyle w:val="4"/>
        <w:widowControl/>
        <w:spacing w:before="0" w:beforeAutospacing="0" w:after="0" w:afterAutospacing="0"/>
        <w:ind w:firstLine="632" w:firstLineChars="200"/>
        <w:jc w:val="both"/>
        <w:rPr>
          <w:rFonts w:hint="eastAsia" w:ascii="黑体" w:hAnsi="黑体" w:eastAsia="黑体" w:cs="黑体"/>
          <w:bCs/>
          <w:color w:val="000000"/>
          <w:sz w:val="32"/>
          <w:szCs w:val="32"/>
          <w:shd w:val="clear" w:color="auto" w:fill="FFFFFF"/>
        </w:rPr>
      </w:pPr>
      <w:r>
        <w:rPr>
          <w:rFonts w:hint="eastAsia" w:ascii="黑体" w:hAnsi="黑体" w:eastAsia="黑体" w:cs="黑体"/>
          <w:bCs/>
          <w:color w:val="000000"/>
          <w:sz w:val="32"/>
          <w:szCs w:val="32"/>
          <w:shd w:val="clear" w:color="auto" w:fill="FFFFFF"/>
        </w:rPr>
        <w:t>五、存在的主要问题及改进情况</w:t>
      </w:r>
    </w:p>
    <w:p>
      <w:pPr>
        <w:ind w:firstLine="632" w:firstLineChars="200"/>
        <w:rPr>
          <w:rFonts w:ascii="仿宋_GB2312" w:eastAsia="仿宋_GB2312"/>
          <w:sz w:val="32"/>
          <w:szCs w:val="32"/>
        </w:rPr>
      </w:pPr>
      <w:r>
        <w:rPr>
          <w:rFonts w:hint="eastAsia" w:ascii="仿宋_GB2312" w:eastAsia="仿宋_GB2312"/>
          <w:sz w:val="32"/>
          <w:szCs w:val="32"/>
        </w:rPr>
        <w:t>20</w:t>
      </w:r>
      <w:r>
        <w:rPr>
          <w:rFonts w:hint="eastAsia" w:ascii="仿宋_GB2312"/>
          <w:sz w:val="32"/>
          <w:szCs w:val="32"/>
          <w:lang w:val="en-US" w:eastAsia="zh-CN"/>
        </w:rPr>
        <w:t>20</w:t>
      </w:r>
      <w:r>
        <w:rPr>
          <w:rFonts w:hint="eastAsia" w:ascii="仿宋_GB2312" w:eastAsia="仿宋_GB2312"/>
          <w:sz w:val="32"/>
          <w:szCs w:val="32"/>
        </w:rPr>
        <w:t>年，</w:t>
      </w:r>
      <w:r>
        <w:rPr>
          <w:rFonts w:hint="eastAsia" w:ascii="仿宋_GB2312"/>
          <w:sz w:val="32"/>
          <w:szCs w:val="32"/>
          <w:lang w:eastAsia="zh-CN"/>
        </w:rPr>
        <w:t>梅州市生态环境局梅县分局</w:t>
      </w:r>
      <w:r>
        <w:rPr>
          <w:rFonts w:hint="eastAsia" w:ascii="仿宋_GB2312" w:eastAsia="仿宋_GB2312"/>
          <w:sz w:val="32"/>
          <w:szCs w:val="32"/>
        </w:rPr>
        <w:t>依法开展政府环境信息公开工作，在组织保障、制度建设、信息公开内容等方面取得了一定成绩，但与公众需求仍存在一定的差距，</w:t>
      </w:r>
      <w:r>
        <w:rPr>
          <w:rFonts w:hint="eastAsia" w:ascii="仿宋_GB2312"/>
          <w:sz w:val="32"/>
          <w:szCs w:val="32"/>
          <w:lang w:eastAsia="zh-CN"/>
        </w:rPr>
        <w:t>如主动公开政府信息意识还需提高、在线互动等方面有待进一步加强。</w:t>
      </w:r>
    </w:p>
    <w:p>
      <w:pPr>
        <w:ind w:firstLine="632"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新的一</w:t>
      </w:r>
      <w:r>
        <w:rPr>
          <w:rFonts w:hint="eastAsia" w:ascii="仿宋_GB2312" w:hAnsi="仿宋_GB2312" w:eastAsia="仿宋_GB2312" w:cs="仿宋_GB2312"/>
          <w:sz w:val="32"/>
          <w:szCs w:val="32"/>
        </w:rPr>
        <w:t>年，我局将结合本局工作职能，配合政府信息</w:t>
      </w:r>
      <w:r>
        <w:rPr>
          <w:rFonts w:hint="eastAsia" w:ascii="仿宋_GB2312" w:hAnsi="仿宋_GB2312" w:eastAsia="仿宋_GB2312" w:cs="仿宋_GB2312"/>
          <w:sz w:val="32"/>
          <w:szCs w:val="32"/>
          <w:lang w:eastAsia="zh-CN"/>
        </w:rPr>
        <w:t>公开</w:t>
      </w:r>
      <w:r>
        <w:rPr>
          <w:rFonts w:hint="eastAsia" w:ascii="仿宋_GB2312" w:hAnsi="仿宋_GB2312" w:eastAsia="仿宋_GB2312" w:cs="仿宋_GB2312"/>
          <w:sz w:val="32"/>
          <w:szCs w:val="32"/>
        </w:rPr>
        <w:t>工作，</w:t>
      </w:r>
      <w:r>
        <w:rPr>
          <w:rFonts w:hint="eastAsia" w:ascii="仿宋_GB2312" w:hAnsi="仿宋_GB2312" w:cs="仿宋_GB2312"/>
          <w:sz w:val="32"/>
          <w:szCs w:val="32"/>
          <w:lang w:eastAsia="zh-CN"/>
        </w:rPr>
        <w:t>加强网络信息安全、政务公开专业人才的培训，不断完善信息系统安全的软硬件建设，准确、及时、主动公开相关环境信息，全面提升环境信息公开工作质量和水平。</w:t>
      </w:r>
    </w:p>
    <w:p>
      <w:pPr>
        <w:pStyle w:val="4"/>
        <w:widowControl/>
        <w:spacing w:before="0" w:beforeAutospacing="0" w:after="0" w:afterAutospacing="0"/>
        <w:ind w:firstLine="632" w:firstLineChars="200"/>
        <w:jc w:val="both"/>
        <w:rPr>
          <w:rFonts w:hint="eastAsia" w:ascii="黑体" w:hAnsi="黑体" w:eastAsia="黑体" w:cs="黑体"/>
          <w:bCs/>
          <w:color w:val="000000"/>
          <w:sz w:val="32"/>
          <w:szCs w:val="32"/>
        </w:rPr>
      </w:pPr>
      <w:r>
        <w:rPr>
          <w:rFonts w:hint="eastAsia" w:ascii="黑体" w:hAnsi="黑体" w:eastAsia="黑体" w:cs="黑体"/>
          <w:bCs/>
          <w:color w:val="000000"/>
          <w:sz w:val="32"/>
          <w:szCs w:val="32"/>
          <w:shd w:val="clear" w:color="auto" w:fill="FFFFFF"/>
        </w:rPr>
        <w:t>六、其他需要报告的事项</w:t>
      </w:r>
    </w:p>
    <w:p>
      <w:pPr>
        <w:ind w:firstLine="632" w:firstLineChars="200"/>
        <w:rPr>
          <w:rFonts w:cs="仿宋_GB2312"/>
          <w:color w:val="000000"/>
        </w:rPr>
      </w:pPr>
      <w:r>
        <w:rPr>
          <w:rFonts w:hint="eastAsia" w:ascii="仿宋_GB2312" w:hAnsi="仿宋_GB2312" w:eastAsia="仿宋_GB2312" w:cs="仿宋_GB2312"/>
          <w:color w:val="000000"/>
          <w:sz w:val="32"/>
          <w:szCs w:val="32"/>
          <w:shd w:val="clear" w:color="auto" w:fill="FFFFFF"/>
        </w:rPr>
        <w:t>收取信息处理费的情况：本年度无发出收费通知，无收取信息处理费用。</w:t>
      </w:r>
    </w:p>
    <w:p>
      <w:pPr>
        <w:rPr>
          <w:rFonts w:cs="仿宋_GB2312"/>
          <w:color w:val="000000"/>
        </w:rPr>
      </w:pPr>
    </w:p>
    <w:p>
      <w:pPr>
        <w:rPr>
          <w:rFonts w:cs="仿宋_GB2312"/>
          <w:color w:val="000000"/>
        </w:rPr>
      </w:pPr>
    </w:p>
    <w:p>
      <w:pPr>
        <w:ind w:firstLine="4108" w:firstLineChars="1300"/>
        <w:rPr>
          <w:rFonts w:hint="eastAsia" w:ascii="仿宋_GB2312" w:hAnsi="仿宋_GB2312" w:eastAsia="仿宋_GB2312" w:cs="仿宋_GB2312"/>
          <w:color w:val="000000"/>
          <w:sz w:val="32"/>
          <w:szCs w:val="32"/>
          <w:lang w:eastAsia="zh-CN"/>
        </w:rPr>
      </w:pPr>
      <w:r>
        <w:rPr>
          <w:rFonts w:hint="eastAsia" w:ascii="仿宋_GB2312" w:hAnsi="仿宋_GB2312" w:cs="仿宋_GB2312"/>
          <w:color w:val="000000"/>
          <w:sz w:val="32"/>
          <w:szCs w:val="32"/>
          <w:lang w:eastAsia="zh-CN"/>
        </w:rPr>
        <w:t>梅州市生态环境局梅县分局</w:t>
      </w:r>
    </w:p>
    <w:p>
      <w:pPr>
        <w:ind w:firstLine="4740" w:firstLineChars="15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2021年1月</w:t>
      </w:r>
      <w:r>
        <w:rPr>
          <w:rFonts w:hint="eastAsia" w:ascii="仿宋_GB2312" w:hAnsi="仿宋_GB2312" w:cs="仿宋_GB2312"/>
          <w:color w:val="000000"/>
          <w:sz w:val="32"/>
          <w:szCs w:val="32"/>
          <w:lang w:val="en-US" w:eastAsia="zh-CN"/>
        </w:rPr>
        <w:t>11</w:t>
      </w:r>
      <w:r>
        <w:rPr>
          <w:rFonts w:hint="eastAsia" w:ascii="仿宋_GB2312" w:hAnsi="仿宋_GB2312" w:eastAsia="仿宋_GB2312" w:cs="仿宋_GB2312"/>
          <w:color w:val="000000"/>
          <w:sz w:val="32"/>
          <w:szCs w:val="32"/>
          <w:lang w:eastAsia="zh-CN"/>
        </w:rPr>
        <w:t>日</w:t>
      </w:r>
    </w:p>
    <w:sectPr>
      <w:footerReference r:id="rId3" w:type="default"/>
      <w:pgSz w:w="11906" w:h="16838"/>
      <w:pgMar w:top="2098" w:right="1474" w:bottom="1984" w:left="1587" w:header="851" w:footer="992" w:gutter="0"/>
      <w:pgNumType w:fmt="numberInDash"/>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PAGE  \* MERGEFORMAT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rPr>
                            <w:t>- 5 -</w:t>
                          </w:r>
                          <w:r>
                            <w:rPr>
                              <w:rFonts w:hint="eastAsia" w:ascii="仿宋_GB2312" w:hAnsi="仿宋_GB2312" w:eastAsia="仿宋_GB2312" w:cs="仿宋_GB2312"/>
                              <w:sz w:val="21"/>
                              <w:szCs w:val="21"/>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fBqN30gEAAKUDAAAOAAAAAAAAAAEAIAAAAB4BAABk&#10;cnMvZTJvRG9jLnhtbFBLBQYAAAAABgAGAFkBAABiBQAAAAA=&#10;">
              <v:fill on="f" focussize="0,0"/>
              <v:stroke on="f"/>
              <v:imagedata o:title=""/>
              <o:lock v:ext="edit" aspectratio="f"/>
              <v:textbox inset="0mm,0mm,0mm,0mm" style="mso-fit-shape-to-text:t;">
                <w:txbxContent>
                  <w:p>
                    <w:pPr>
                      <w:pStyle w:val="2"/>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PAGE  \* MERGEFORMAT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rPr>
                      <w:t>- 5 -</w:t>
                    </w:r>
                    <w:r>
                      <w:rPr>
                        <w:rFonts w:hint="eastAsia" w:ascii="仿宋_GB2312" w:hAnsi="仿宋_GB2312" w:eastAsia="仿宋_GB2312" w:cs="仿宋_GB2312"/>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4E2DA9"/>
    <w:rsid w:val="002729CB"/>
    <w:rsid w:val="002838DA"/>
    <w:rsid w:val="005B56BD"/>
    <w:rsid w:val="008B5A6C"/>
    <w:rsid w:val="009056FB"/>
    <w:rsid w:val="00B83AD7"/>
    <w:rsid w:val="00C9661B"/>
    <w:rsid w:val="01956C5E"/>
    <w:rsid w:val="01D05E69"/>
    <w:rsid w:val="0291571B"/>
    <w:rsid w:val="02B03F9D"/>
    <w:rsid w:val="093B17CA"/>
    <w:rsid w:val="0CAD61E0"/>
    <w:rsid w:val="0E3D350F"/>
    <w:rsid w:val="19ED1532"/>
    <w:rsid w:val="1C6326BB"/>
    <w:rsid w:val="1D7E6692"/>
    <w:rsid w:val="1DDA6D74"/>
    <w:rsid w:val="23E64C1E"/>
    <w:rsid w:val="26512013"/>
    <w:rsid w:val="270A16EB"/>
    <w:rsid w:val="2AD90D16"/>
    <w:rsid w:val="2DF76EF5"/>
    <w:rsid w:val="31A958EF"/>
    <w:rsid w:val="34876C30"/>
    <w:rsid w:val="34B17DD7"/>
    <w:rsid w:val="34DB4B5A"/>
    <w:rsid w:val="372F6CE9"/>
    <w:rsid w:val="38BF52D6"/>
    <w:rsid w:val="3E934B9A"/>
    <w:rsid w:val="47C32F55"/>
    <w:rsid w:val="48137BEB"/>
    <w:rsid w:val="4DFF5C2C"/>
    <w:rsid w:val="544E2DA9"/>
    <w:rsid w:val="56A45471"/>
    <w:rsid w:val="57015DC7"/>
    <w:rsid w:val="5D420A58"/>
    <w:rsid w:val="60885401"/>
    <w:rsid w:val="62967996"/>
    <w:rsid w:val="69182437"/>
    <w:rsid w:val="6B3E410D"/>
    <w:rsid w:val="6B567879"/>
    <w:rsid w:val="6B9774A8"/>
    <w:rsid w:val="70106EF7"/>
    <w:rsid w:val="701D189E"/>
    <w:rsid w:val="7A331AF1"/>
    <w:rsid w:val="7C363A4D"/>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2165</Words>
  <Characters>2219</Characters>
  <Lines>13</Lines>
  <Paragraphs>3</Paragraphs>
  <TotalTime>0</TotalTime>
  <ScaleCrop>false</ScaleCrop>
  <LinksUpToDate>false</LinksUpToDate>
  <CharactersWithSpaces>2219</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2020-01-15T06:52:00Z</dcterms:created>
  <dc:creator>fjfj</dc:creator>
  <cp:lastModifiedBy>11</cp:lastModifiedBy>
  <cp:lastPrinted>2019-12-16T09:31:00Z</cp:lastPrinted>
  <dcterms:modified xsi:type="dcterms:W3CDTF">2026-06-01T01:04:17Z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KSOTemplateDocerSaveRecord">
    <vt:lpwstr>eyJoZGlkIjoiMDhiNWU1MWI2MWNkZDk3MjdmYWU4MzMxZmJjN2M1ZWUiLCJ1c2VySWQiOiIxMzAyOTY2NzUyIn0=</vt:lpwstr>
  </property>
  <property fmtid="{D5CDD505-2E9C-101B-9397-08002B2CF9AE}" pid="4" name="ICV">
    <vt:lpwstr>8DB6E72A03C24E9C965C24FA2564A7A6_13</vt:lpwstr>
  </property>
</Properties>
</file>