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20F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区文广旅</w:t>
      </w:r>
      <w:r>
        <w:rPr>
          <w:rFonts w:hint="eastAsia" w:ascii="方正小标宋简体" w:hAnsi="方正小标宋简体" w:eastAsia="方正小标宋简体" w:cs="方正小标宋简体"/>
          <w:i w:val="0"/>
          <w:iCs w:val="0"/>
          <w:caps w:val="0"/>
          <w:color w:val="000000"/>
          <w:spacing w:val="0"/>
          <w:sz w:val="44"/>
          <w:szCs w:val="44"/>
          <w:lang w:val="en-US" w:eastAsia="zh-CN"/>
        </w:rPr>
        <w:t>体</w:t>
      </w:r>
      <w:r>
        <w:rPr>
          <w:rFonts w:hint="eastAsia" w:ascii="方正小标宋简体" w:hAnsi="方正小标宋简体" w:eastAsia="方正小标宋简体" w:cs="方正小标宋简体"/>
          <w:i w:val="0"/>
          <w:iCs w:val="0"/>
          <w:caps w:val="0"/>
          <w:color w:val="000000"/>
          <w:spacing w:val="0"/>
          <w:sz w:val="44"/>
          <w:szCs w:val="44"/>
        </w:rPr>
        <w:t>局202</w:t>
      </w:r>
      <w:r>
        <w:rPr>
          <w:rFonts w:hint="eastAsia" w:ascii="方正小标宋简体" w:hAnsi="方正小标宋简体" w:eastAsia="方正小标宋简体" w:cs="方正小标宋简体"/>
          <w:i w:val="0"/>
          <w:iCs w:val="0"/>
          <w:caps w:val="0"/>
          <w:color w:val="000000"/>
          <w:spacing w:val="0"/>
          <w:sz w:val="44"/>
          <w:szCs w:val="44"/>
          <w:lang w:val="en-US" w:eastAsia="zh-CN"/>
        </w:rPr>
        <w:t>5</w:t>
      </w:r>
      <w:r>
        <w:rPr>
          <w:rFonts w:hint="eastAsia" w:ascii="方正小标宋简体" w:hAnsi="方正小标宋简体" w:eastAsia="方正小标宋简体" w:cs="方正小标宋简体"/>
          <w:i w:val="0"/>
          <w:iCs w:val="0"/>
          <w:caps w:val="0"/>
          <w:color w:val="000000"/>
          <w:spacing w:val="0"/>
          <w:sz w:val="44"/>
          <w:szCs w:val="44"/>
        </w:rPr>
        <w:t>年度政府信息公开</w:t>
      </w:r>
    </w:p>
    <w:p w14:paraId="272ECB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w:t>
      </w:r>
      <w:r>
        <w:rPr>
          <w:rFonts w:hint="eastAsia" w:ascii="方正小标宋简体" w:hAnsi="方正小标宋简体" w:eastAsia="方正小标宋简体" w:cs="方正小标宋简体"/>
          <w:i w:val="0"/>
          <w:iCs w:val="0"/>
          <w:caps w:val="0"/>
          <w:color w:val="000000"/>
          <w:spacing w:val="0"/>
          <w:sz w:val="44"/>
          <w:szCs w:val="44"/>
          <w:lang w:val="en-US" w:eastAsia="zh-CN"/>
        </w:rPr>
        <w:t>作</w:t>
      </w:r>
      <w:r>
        <w:rPr>
          <w:rFonts w:hint="eastAsia" w:ascii="方正小标宋简体" w:hAnsi="方正小标宋简体" w:eastAsia="方正小标宋简体" w:cs="方正小标宋简体"/>
          <w:i w:val="0"/>
          <w:iCs w:val="0"/>
          <w:caps w:val="0"/>
          <w:color w:val="000000"/>
          <w:spacing w:val="0"/>
          <w:sz w:val="44"/>
          <w:szCs w:val="44"/>
        </w:rPr>
        <w:t>年度报告</w:t>
      </w:r>
    </w:p>
    <w:p w14:paraId="30E7E02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p w14:paraId="1159FA2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2025年度报告根据《中华人民共和国政府信息公开条例》和《中华人民共和国政府信息公开工作年度报告格式》的相关规定，包括总体情况、主动公开政府信息情况、收到和处理政府信息公开申请情况、政府信息公开行政复议和行政诉讼情况、存在的主要问题及改进情况、其他需要报告的事项等六方面。本报告中所列数据的统计期限从2025年1月1日至2025年12月31日止，现公布本局2025年度信息公开年度报告。本报告的电子版可在梅州市梅县区文化广电旅游体育局信息公开年报（http://www.gdmx.gov.cn/mzmxwglj/gkmlpt/annualreport）下载，如对本报告有疑问，请联系梅州市梅县区文化广电旅游体育局（地址：梅州市梅县区府东二路11号，联系电话：0753-2589856）。</w:t>
      </w:r>
    </w:p>
    <w:p w14:paraId="2F6F1B3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一、总体情况</w:t>
      </w:r>
    </w:p>
    <w:p w14:paraId="2762E6E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（一）主动公开情况</w:t>
      </w:r>
    </w:p>
    <w:p w14:paraId="5786591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聚焦文广旅体领域重点工作和群众关切，明确公开范围。依托政府门户网站政务公开专栏，集中发布政策文件、财政预决算、通知公告、重点领域信息公开、工作动态等信息，全年主动公开信息109条。</w:t>
      </w:r>
    </w:p>
    <w:p w14:paraId="0937FD5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（二）依申请公开情况</w:t>
      </w:r>
    </w:p>
    <w:p w14:paraId="2B37294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畅通依申请信息公开渠道，规范申请全流程管理，健全快速响应机制，确保每件申请依法依规妥善处理，保障申请人合法权益，全年未收到政府信息公开申请。</w:t>
      </w:r>
    </w:p>
    <w:p w14:paraId="60144BF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（三）政府信息管理情况</w:t>
      </w:r>
    </w:p>
    <w:p w14:paraId="5898E82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成立政府信息公开工作领导小组，明确责任领导和责任股室，指派专人负责政府信息公开工作。完善政府信息公开审核制度，严格执行“三审三校”制度，确保信息发布前严格审核、发布后及时更新，全年未发生信息发布泄密问题。</w:t>
      </w:r>
    </w:p>
    <w:p w14:paraId="6F83795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（四）政府信息公开平台建设情况</w:t>
      </w:r>
    </w:p>
    <w:p w14:paraId="740851E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优化政府门户网站政务公开专栏设置，调整完善文化市场综合执法信息公开专栏，积极利用网络平台发布权威信息、提供便民服务、加强互动交流，确保信息传播便捷高效。</w:t>
      </w:r>
    </w:p>
    <w:p w14:paraId="5A08301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（五）监督保障情况</w:t>
      </w:r>
    </w:p>
    <w:p w14:paraId="2F93546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主动学习上级有关文件精神，补充修订政务公开相关制度。定期开展网站自查工作，发现问题及时整改，确保整改到位。</w:t>
      </w:r>
    </w:p>
    <w:p w14:paraId="192B0B4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0"/>
        <w:gridCol w:w="2060"/>
        <w:gridCol w:w="1945"/>
        <w:gridCol w:w="2061"/>
      </w:tblGrid>
      <w:tr w14:paraId="3886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5961F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第二十条第（一）项</w:t>
            </w:r>
          </w:p>
        </w:tc>
      </w:tr>
      <w:tr w14:paraId="5058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5BD6B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1234" w:type="pct"/>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0E554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本年制发件数</w:t>
            </w:r>
          </w:p>
        </w:tc>
        <w:tc>
          <w:tcPr>
            <w:tcW w:w="1304"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C285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本年废止件数</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E0DA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现行有效件数</w:t>
            </w:r>
          </w:p>
        </w:tc>
      </w:tr>
      <w:tr w14:paraId="247D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E9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规章</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DB34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0512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56ECD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DFD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C6E6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行政规范性文件</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873D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9B30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1C4F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042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4C884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第二十条第（五）项</w:t>
            </w:r>
          </w:p>
        </w:tc>
      </w:tr>
      <w:tr w14:paraId="55B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0358E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45A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1456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15F4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行政许可</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5199C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37</w:t>
            </w:r>
          </w:p>
        </w:tc>
      </w:tr>
      <w:tr w14:paraId="0B3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1B933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第二十条第（六）项</w:t>
            </w:r>
          </w:p>
        </w:tc>
      </w:tr>
      <w:tr w14:paraId="64C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2C06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2B3B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7647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00B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行政处罚</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77BA1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w:t>
            </w:r>
          </w:p>
        </w:tc>
      </w:tr>
      <w:tr w14:paraId="1BAA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666EA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行政强制</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CB71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2</w:t>
            </w:r>
          </w:p>
        </w:tc>
      </w:tr>
      <w:tr w14:paraId="1A38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026EE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第二十条第（八）项</w:t>
            </w:r>
          </w:p>
        </w:tc>
      </w:tr>
      <w:tr w14:paraId="4292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A3B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5852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本年收费金额（单位：万元）</w:t>
            </w:r>
          </w:p>
        </w:tc>
      </w:tr>
      <w:tr w14:paraId="23A7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7C49D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行政事业性收费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17A98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5C92F3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三、收到和处理政府信息公开申请情况</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1"/>
        <w:gridCol w:w="1309"/>
        <w:gridCol w:w="2103"/>
        <w:gridCol w:w="541"/>
        <w:gridCol w:w="583"/>
        <w:gridCol w:w="497"/>
        <w:gridCol w:w="666"/>
        <w:gridCol w:w="666"/>
        <w:gridCol w:w="508"/>
        <w:gridCol w:w="522"/>
      </w:tblGrid>
      <w:tr w14:paraId="7C4C7B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93D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（本列数据的勾稽关系为：第一项加第二项之和，等于第三项加第四项之和）</w:t>
            </w:r>
          </w:p>
        </w:tc>
        <w:tc>
          <w:tcPr>
            <w:tcW w:w="2356" w:type="pct"/>
            <w:gridSpan w:val="7"/>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5C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申请人情况</w:t>
            </w:r>
          </w:p>
        </w:tc>
      </w:tr>
      <w:tr w14:paraId="597AB8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2D62B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213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自然人</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F1E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法人或其他组织</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F32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11D95C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3C656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03935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E0128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商业企业</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9B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科研</w:t>
            </w:r>
          </w:p>
          <w:p w14:paraId="7B531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机构</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827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社会公益组织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465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法律服务机构</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7E7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E17D0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r>
      <w:tr w14:paraId="33543B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05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一、本年新收政府信息公开申请数量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DCB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D490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F92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1841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C9C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443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324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0</w:t>
            </w:r>
          </w:p>
        </w:tc>
      </w:tr>
      <w:tr w14:paraId="0F3037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453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二、上年结转政府信息公开申请数量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23D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3E6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868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F2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0B0F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AD6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E18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2F99E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5B3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三、本年度办理结果</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5D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（一）予以公开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DB48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FA8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EB0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71E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F35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133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CE59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5A43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6CA65E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D95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（二）部分公开（区分处理的，只计这一情形，不计其他情形）</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C36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D97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21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1CB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31B2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42E9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8ED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266D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858B3D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AC6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（三）不予公开</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A1A0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1.属于国家秘密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C0D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C47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572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E0B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7AA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EA5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76C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D9D0C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1957A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AA7DF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6A00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2.其他法律行政法规禁止公开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570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64E1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5EC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88A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5F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A9C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C82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13B0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0D73F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58D05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8C81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3.危及“三安全一稳定”</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1AA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A29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982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A622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E07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7D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A03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6903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45BE3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6ED30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D85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4.保护第三方合法权益</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2A3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68E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74CA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95F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A4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CE2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2BD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9D2A4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5E8C4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C0AE3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C7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5.属于三类内部事务信息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B399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9B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83B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FE4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E0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88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100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E9F7F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768A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696AC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9D8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6.属于四类过程性信息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18E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812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69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3F2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0B1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95C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70B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DBC23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65579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039C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5D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7.属于行政执法案卷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E98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B6C3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08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99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FC91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8F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BB0A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E777E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D0980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74102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E26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8.属于行政查询事项</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A87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12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804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F88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17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75E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DA5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8A2DF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72364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509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（四）无法提供</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0AA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1.本机关不掌握相关政府信息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747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047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B26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469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81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AFD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244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r>
      <w:tr w14:paraId="3862F1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547F9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63B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7D2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2.没有现成信息需要另行制作</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DF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439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8F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6C4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164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D95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5CB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C2E1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B6FCD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BCED07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526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3.补正后申请内容仍不明确</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072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8BD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C9EA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3632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748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DC1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6A4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0776B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231F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0CA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（五）不予处理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1D5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1.信访举报投诉类申请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A3A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39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21E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3FF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D01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57D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CE76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31DE6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A39A5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AF5EC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C8F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47A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7A1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BB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BFC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99A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1F72F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17E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CFFC5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DC8378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3F31A0">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0C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3.要求提供公开出版物</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AD2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F0B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AF2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494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924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4A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648E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87BFF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6D4C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EA072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34B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4.无正当理由大量反复申请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81F7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B00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A7D4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93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0EF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AD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9E1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38F8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9118B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0A295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675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5.要求行政机关确认或重新出具已获取信息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106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DC3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E5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765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DD31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BFA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6D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E35FC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992F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3B6E4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（六）其他处理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2B6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1.申请人无正当理由逾期不补正、行政机关不再处理其政府信息公开申请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2A0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C9AA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20A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FDD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48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D33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338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036AD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3CD91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88F490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92D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2.申请人逾期未按通知要求缴纳费用、行政机关不再处理其政府信息公开申请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915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8964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B66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C50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FCA4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43B5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CF8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03D9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DA1B9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BE2501">
            <w:pPr>
              <w:keepNext w:val="0"/>
              <w:keepLines w:val="0"/>
              <w:pageBreakBefore w:val="0"/>
              <w:widowControl/>
              <w:suppressLineNumbers w:val="0"/>
              <w:kinsoku/>
              <w:wordWrap w:val="0"/>
              <w:overflowPunct/>
              <w:topLinePunct w:val="0"/>
              <w:autoSpaceDE/>
              <w:autoSpaceDN/>
              <w:bidi w:val="0"/>
              <w:adjustRightInd/>
              <w:snapToGrid/>
              <w:spacing w:line="560" w:lineRule="exact"/>
              <w:jc w:val="left"/>
              <w:textAlignment w:val="center"/>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14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3.其他</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6BA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9DB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708A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747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1FA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7E40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F42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00BFB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F3079F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990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（七）总计</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DE4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63B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5D5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A2D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42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73A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0A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r>
      <w:tr w14:paraId="09A55C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4C0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四、结转下年度继续办理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03B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AAE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892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7B0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DC6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6DB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B13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06D89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四、政府信息公开行政复议、行政诉讼情况</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562"/>
        <w:gridCol w:w="562"/>
        <w:gridCol w:w="562"/>
        <w:gridCol w:w="563"/>
        <w:gridCol w:w="562"/>
        <w:gridCol w:w="563"/>
        <w:gridCol w:w="563"/>
        <w:gridCol w:w="563"/>
        <w:gridCol w:w="564"/>
        <w:gridCol w:w="563"/>
        <w:gridCol w:w="563"/>
        <w:gridCol w:w="563"/>
        <w:gridCol w:w="563"/>
        <w:gridCol w:w="566"/>
      </w:tblGrid>
      <w:tr w14:paraId="1A9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E6D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行政复议</w:t>
            </w:r>
          </w:p>
        </w:tc>
        <w:tc>
          <w:tcPr>
            <w:tcW w:w="3333" w:type="pct"/>
            <w:gridSpan w:val="10"/>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CF07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行政诉讼</w:t>
            </w:r>
          </w:p>
        </w:tc>
      </w:tr>
      <w:tr w14:paraId="428E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vMerge w:val="restar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1E3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vMerge w:val="restar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7DF31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79C2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9C49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928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A7C9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未经复议直接起诉</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0E00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复议后起诉</w:t>
            </w:r>
          </w:p>
        </w:tc>
      </w:tr>
      <w:tr w14:paraId="6AC9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vMerge w:val="continue"/>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993A4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33DEDD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C07EC3">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75EE8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B700B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59AD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2220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BB0B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532C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35CC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8D0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FA71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911C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573D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F09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5108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719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F58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95D5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6CB1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7CA8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183E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F63C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3D3C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A52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61BD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A442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936C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C065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943E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E528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74F762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五、存在的主要问题及改进情况</w:t>
      </w:r>
    </w:p>
    <w:p w14:paraId="4CEB12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（一）存在问题</w:t>
      </w:r>
    </w:p>
    <w:p w14:paraId="47847F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一是政策解读的针对性、生动性有待加强；二是政务公开与业务工作协同不够紧密，工作人员对公开范围、尺度的把握能力和业务水平需进一步提升。</w:t>
      </w:r>
    </w:p>
    <w:p w14:paraId="13D6E4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lang w:val="en-US" w:eastAsia="zh-CN"/>
        </w:rPr>
        <w:t>（二）改进情况</w:t>
      </w:r>
    </w:p>
    <w:p w14:paraId="1B142F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lang w:val="en-US" w:eastAsia="zh-CN"/>
        </w:rPr>
        <w:t>一是根据实际情况增加政策解读图解等形式，优化平台建设；二是引导工作人员对政务公开相关政策法规进行学习，提升综合业务能力，做到及时回应群众关切、按时公开政务信息、依时清理过时内容，严抓政务公开工作。</w:t>
      </w:r>
    </w:p>
    <w:p w14:paraId="3C9974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lang w:val="en-US" w:eastAsia="zh-CN"/>
        </w:rPr>
        <w:t>六、其他需要报告的事项</w:t>
      </w:r>
    </w:p>
    <w:p w14:paraId="713A80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lang w:val="en-US" w:eastAsia="zh-CN"/>
        </w:rPr>
        <w:t>2025年未收取信息处理费。</w:t>
      </w:r>
    </w:p>
    <w:p w14:paraId="2D5B19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p>
    <w:p w14:paraId="44890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bookmarkStart w:id="0" w:name="_GoBack"/>
      <w:bookmarkEnd w:id="0"/>
    </w:p>
    <w:p w14:paraId="52EF2365">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lang w:val="en-US" w:eastAsia="zh-CN"/>
        </w:rPr>
        <w:t>梅州市梅县区文化广电旅游体育局</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p w14:paraId="73A0430C">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rPr>
      </w:pPr>
      <w:r>
        <w:rPr>
          <w:rFonts w:hint="default" w:ascii="方正仿宋_GB2312" w:hAnsi="方正仿宋_GB2312" w:eastAsia="方正仿宋_GB2312" w:cs="方正仿宋_GB2312"/>
          <w:i w:val="0"/>
          <w:iCs w:val="0"/>
          <w:caps w:val="0"/>
          <w:color w:val="000000"/>
          <w:spacing w:val="0"/>
          <w:sz w:val="32"/>
          <w:szCs w:val="32"/>
          <w:lang w:val="en-US" w:eastAsia="zh-CN"/>
        </w:rPr>
        <w:t>2026年1月7日</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AFC37114-F6FB-4A50-9E3E-3A2C2316B53F}"/>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0F5F"/>
    <w:rsid w:val="28283D92"/>
    <w:rsid w:val="3BC161FB"/>
    <w:rsid w:val="4E35052C"/>
    <w:rsid w:val="526A6B6A"/>
    <w:rsid w:val="58CA2906"/>
    <w:rsid w:val="74850A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980</Words>
  <Characters>1063</Characters>
  <Lines>0</Lines>
  <Paragraphs>0</Paragraphs>
  <TotalTime>21</TotalTime>
  <ScaleCrop>false</ScaleCrop>
  <LinksUpToDate>false</LinksUpToDate>
  <CharactersWithSpaces>1063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杨茂莲</cp:lastModifiedBy>
  <dcterms:modified xsi:type="dcterms:W3CDTF">2026-05-29T15:33:19Z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eyJoZGlkIjoiODJlNWQyNTMyNWQ2ZjA3MGU4ODkxOTljNTZkZjM1MTYiLCJ1c2VySWQiOiIyNjE5MDIwMjgifQ==</vt:lpwstr>
  </property>
  <property fmtid="{D5CDD505-2E9C-101B-9397-08002B2CF9AE}" pid="4" name="ICV">
    <vt:lpwstr>E02EFF17670B4F2B94E9329A09597050_12</vt:lpwstr>
  </property>
</Properties>
</file>