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9A770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区文广旅</w:t>
      </w:r>
      <w:r>
        <w:rPr>
          <w:rFonts w:hint="eastAsia" w:ascii="方正小标宋简体" w:hAnsi="方正小标宋简体" w:eastAsia="方正小标宋简体" w:cs="方正小标宋简体"/>
          <w:i w:val="0"/>
          <w:iCs w:val="0"/>
          <w:caps w:val="0"/>
          <w:color w:val="000000"/>
          <w:spacing w:val="0"/>
          <w:sz w:val="44"/>
          <w:szCs w:val="44"/>
          <w:lang w:val="en-US" w:eastAsia="zh-CN"/>
        </w:rPr>
        <w:t>体</w:t>
      </w:r>
      <w:r>
        <w:rPr>
          <w:rFonts w:hint="eastAsia" w:ascii="方正小标宋简体" w:hAnsi="方正小标宋简体" w:eastAsia="方正小标宋简体" w:cs="方正小标宋简体"/>
          <w:i w:val="0"/>
          <w:iCs w:val="0"/>
          <w:caps w:val="0"/>
          <w:color w:val="000000"/>
          <w:spacing w:val="0"/>
          <w:sz w:val="44"/>
          <w:szCs w:val="44"/>
        </w:rPr>
        <w:t>局202</w:t>
      </w:r>
      <w:r>
        <w:rPr>
          <w:rFonts w:hint="eastAsia" w:ascii="方正小标宋简体" w:hAnsi="方正小标宋简体" w:eastAsia="方正小标宋简体" w:cs="方正小标宋简体"/>
          <w:i w:val="0"/>
          <w:iCs w:val="0"/>
          <w:caps w:val="0"/>
          <w:color w:val="000000"/>
          <w:spacing w:val="0"/>
          <w:sz w:val="44"/>
          <w:szCs w:val="44"/>
          <w:lang w:val="en-US" w:eastAsia="zh-CN"/>
        </w:rPr>
        <w:t>3</w:t>
      </w:r>
      <w:r>
        <w:rPr>
          <w:rFonts w:hint="eastAsia" w:ascii="方正小标宋简体" w:hAnsi="方正小标宋简体" w:eastAsia="方正小标宋简体" w:cs="方正小标宋简体"/>
          <w:i w:val="0"/>
          <w:iCs w:val="0"/>
          <w:caps w:val="0"/>
          <w:color w:val="000000"/>
          <w:spacing w:val="0"/>
          <w:sz w:val="44"/>
          <w:szCs w:val="44"/>
        </w:rPr>
        <w:t>年度政府信息公开</w:t>
      </w:r>
    </w:p>
    <w:p w14:paraId="272ECB3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jc w:val="center"/>
        <w:textAlignment w:val="auto"/>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工</w:t>
      </w:r>
      <w:r>
        <w:rPr>
          <w:rFonts w:hint="eastAsia" w:ascii="方正小标宋简体" w:hAnsi="方正小标宋简体" w:eastAsia="方正小标宋简体" w:cs="方正小标宋简体"/>
          <w:i w:val="0"/>
          <w:iCs w:val="0"/>
          <w:caps w:val="0"/>
          <w:color w:val="000000"/>
          <w:spacing w:val="0"/>
          <w:sz w:val="44"/>
          <w:szCs w:val="44"/>
          <w:lang w:val="en-US" w:eastAsia="zh-CN"/>
        </w:rPr>
        <w:t>作</w:t>
      </w:r>
      <w:bookmarkStart w:id="0" w:name="_GoBack"/>
      <w:bookmarkEnd w:id="0"/>
      <w:r>
        <w:rPr>
          <w:rFonts w:hint="eastAsia" w:ascii="方正小标宋简体" w:hAnsi="方正小标宋简体" w:eastAsia="方正小标宋简体" w:cs="方正小标宋简体"/>
          <w:i w:val="0"/>
          <w:iCs w:val="0"/>
          <w:caps w:val="0"/>
          <w:color w:val="000000"/>
          <w:spacing w:val="0"/>
          <w:sz w:val="44"/>
          <w:szCs w:val="44"/>
        </w:rPr>
        <w:t>年度报告</w:t>
      </w:r>
    </w:p>
    <w:p w14:paraId="30E7E02E">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p>
    <w:p w14:paraId="373DEF42">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一、总体情况</w:t>
      </w:r>
    </w:p>
    <w:p w14:paraId="0B52B416">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本年度报告根据《中华人民共和国政府信息公开条例》和《中华人民共和国政府信息公开工作年度报告格式》的相关规定，列出本单位应主动公开的政府信息，对政府信息公开内容进行认真修正和梳理，统一公开标准，规范发布格式。本报告中所列数据的统计期限从2023年1月1日至2023年12月31日止。现公布本局2023年度信息公开年度报告。本报告的电子版可在梅州市梅县区文化广电旅游体育局信息公开年报（http://www.gdmx.gov.cn/mzmxwglj/gkmlpt/annualreport）下载，如对本报告有疑问，请联系梅州市梅县区文化广电旅游体育局（地址：梅州市梅县区府东二路11号，联系电话：0753-2589856）。</w:t>
      </w:r>
    </w:p>
    <w:p w14:paraId="4B356905">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（一）主动公开情况</w:t>
      </w:r>
    </w:p>
    <w:p w14:paraId="613F4F0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聚焦文广旅体领域重点工作和群众关切，明确公开范围。依托政府门户网站政务公开专栏，集中发布政策文件、财政预决算、通知公告、重点领域信息公开、工作动态等信息，全年主动公开信息33条。</w:t>
      </w:r>
    </w:p>
    <w:p w14:paraId="2DBC8290">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（二）依申请公开情况</w:t>
      </w:r>
    </w:p>
    <w:p w14:paraId="5522C0D8">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畅通依申请信息公开渠道，规范申请全流程管理，健全快速响应机制，确保每件申请依法依规妥善处理，保障申请人合法权益，2023年收到1条政府信息公开申请，已办结1条。</w:t>
      </w:r>
    </w:p>
    <w:p w14:paraId="7CB479DF">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（三）政府信息管理情况</w:t>
      </w:r>
    </w:p>
    <w:p w14:paraId="5CEAA70C">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成立政府信息公开工作领导小组，明确责任领导和责任股室，指派专人负责政府信息公开工作。完善政府信息公开审核制度，严格执行“三审三校”制度，确保信息发布前严格审核、发布后及时更新，全年未发生信息发布泄密问题。</w:t>
      </w:r>
    </w:p>
    <w:p w14:paraId="617A9CBB">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（四）政府信息公开平台建设情况</w:t>
      </w:r>
    </w:p>
    <w:p w14:paraId="3D8D569E">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优化政府门户网站栏目设置，积极利用网络平台发布权威信息、提供便民服务、加强互动交流，确保信息传播便捷高效。</w:t>
      </w:r>
    </w:p>
    <w:p w14:paraId="3AEC6353">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（五）监督保障情况</w:t>
      </w:r>
    </w:p>
    <w:p w14:paraId="33A2DA1C">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方正仿宋_GB2312" w:hAnsi="方正仿宋_GB2312" w:eastAsia="方正仿宋_GB2312" w:cs="方正仿宋_GB2312"/>
          <w:i w:val="0"/>
          <w:iCs w:val="0"/>
          <w:caps w:val="0"/>
          <w:color w:val="000000"/>
          <w:spacing w:val="0"/>
          <w:sz w:val="32"/>
          <w:szCs w:val="32"/>
        </w:rPr>
      </w:pPr>
      <w:r>
        <w:rPr>
          <w:rFonts w:hint="default" w:ascii="方正仿宋_GB2312" w:hAnsi="方正仿宋_GB2312" w:eastAsia="方正仿宋_GB2312" w:cs="方正仿宋_GB2312"/>
          <w:i w:val="0"/>
          <w:iCs w:val="0"/>
          <w:caps w:val="0"/>
          <w:color w:val="000000"/>
          <w:spacing w:val="0"/>
          <w:sz w:val="32"/>
          <w:szCs w:val="32"/>
        </w:rPr>
        <w:t>主动学习上级有关文件精神，补充修订政务公开相关制度。定期开展网站自查工作，发现问题及时整改，确保整改到位。</w:t>
      </w:r>
    </w:p>
    <w:p w14:paraId="192B0B46">
      <w:pPr>
        <w:pStyle w:val="2"/>
        <w:keepNext w:val="0"/>
        <w:keepLines w:val="0"/>
        <w:pageBreakBefore w:val="0"/>
        <w:widowControl/>
        <w:suppressLineNumbers w:val="0"/>
        <w:kinsoku/>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二、主动公开政府信息情况</w:t>
      </w:r>
    </w:p>
    <w:tbl>
      <w:tblPr>
        <w:tblStyle w:val="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380"/>
        <w:gridCol w:w="2060"/>
        <w:gridCol w:w="1945"/>
        <w:gridCol w:w="2061"/>
      </w:tblGrid>
      <w:tr w14:paraId="38860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single" w:color="000000" w:sz="4" w:space="0"/>
              <w:left w:val="single" w:color="000000" w:sz="4" w:space="0"/>
              <w:bottom w:val="single" w:color="000000" w:sz="4" w:space="0"/>
              <w:right w:val="single" w:color="000000" w:sz="4" w:space="0"/>
            </w:tcBorders>
            <w:shd w:val="clear" w:color="auto" w:fill="C6D9F1"/>
            <w:noWrap/>
            <w:tcMar>
              <w:top w:w="50" w:type="dxa"/>
              <w:left w:w="70" w:type="dxa"/>
              <w:bottom w:w="50" w:type="dxa"/>
              <w:right w:w="70" w:type="dxa"/>
            </w:tcMar>
            <w:vAlign w:val="center"/>
          </w:tcPr>
          <w:p w14:paraId="5961FA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第二十条第（一）项</w:t>
            </w:r>
          </w:p>
        </w:tc>
      </w:tr>
      <w:tr w14:paraId="5058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5BD6B5E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信息内容</w:t>
            </w:r>
          </w:p>
        </w:tc>
        <w:tc>
          <w:tcPr>
            <w:tcW w:w="1234" w:type="pct"/>
            <w:tcBorders>
              <w:top w:val="single" w:color="000000" w:sz="4" w:space="0"/>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0E5541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本年制发件数</w:t>
            </w:r>
          </w:p>
        </w:tc>
        <w:tc>
          <w:tcPr>
            <w:tcW w:w="1304"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C285B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本年废止件数</w:t>
            </w:r>
          </w:p>
        </w:tc>
        <w:tc>
          <w:tcPr>
            <w:tcW w:w="1271"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2E0DA8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现行有效件数</w:t>
            </w:r>
          </w:p>
        </w:tc>
      </w:tr>
      <w:tr w14:paraId="247DB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32E95A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规章</w:t>
            </w:r>
          </w:p>
        </w:tc>
        <w:tc>
          <w:tcPr>
            <w:tcW w:w="1234"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4DB343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1304"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405128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1271"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56ECD0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4DFD6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3C6E65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行政规范性文件</w:t>
            </w:r>
          </w:p>
        </w:tc>
        <w:tc>
          <w:tcPr>
            <w:tcW w:w="1234"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4873DB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1304"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09B30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1271" w:type="pct"/>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61C4F0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0423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nil"/>
              <w:left w:val="single" w:color="000000" w:sz="4" w:space="0"/>
              <w:bottom w:val="single" w:color="000000" w:sz="4" w:space="0"/>
              <w:right w:val="single" w:color="000000" w:sz="4" w:space="0"/>
            </w:tcBorders>
            <w:shd w:val="clear" w:color="auto" w:fill="C6D9F1"/>
            <w:noWrap/>
            <w:tcMar>
              <w:top w:w="50" w:type="dxa"/>
              <w:left w:w="70" w:type="dxa"/>
              <w:bottom w:w="50" w:type="dxa"/>
              <w:right w:w="70" w:type="dxa"/>
            </w:tcMar>
            <w:vAlign w:val="center"/>
          </w:tcPr>
          <w:p w14:paraId="4C8849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第二十条第（五）项</w:t>
            </w:r>
          </w:p>
        </w:tc>
      </w:tr>
      <w:tr w14:paraId="55BE1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0358E3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信息内容</w:t>
            </w:r>
          </w:p>
        </w:tc>
        <w:tc>
          <w:tcPr>
            <w:tcW w:w="3810" w:type="pct"/>
            <w:gridSpan w:val="3"/>
            <w:tcBorders>
              <w:top w:val="single" w:color="000000" w:sz="4" w:space="0"/>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3245AE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本年处理决定数量</w:t>
            </w:r>
          </w:p>
        </w:tc>
      </w:tr>
      <w:tr w14:paraId="14567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215F4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行政许可</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35199C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i w:val="0"/>
                <w:iCs w:val="0"/>
                <w:caps w:val="0"/>
                <w:color w:val="000000"/>
                <w:spacing w:val="0"/>
                <w:sz w:val="32"/>
                <w:szCs w:val="32"/>
                <w:lang w:val="en-US" w:eastAsia="zh-CN"/>
              </w:rPr>
              <w:t>30</w:t>
            </w:r>
          </w:p>
        </w:tc>
      </w:tr>
      <w:tr w14:paraId="0B3C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nil"/>
              <w:left w:val="single" w:color="000000" w:sz="4" w:space="0"/>
              <w:bottom w:val="single" w:color="000000" w:sz="4" w:space="0"/>
              <w:right w:val="single" w:color="000000" w:sz="4" w:space="0"/>
            </w:tcBorders>
            <w:shd w:val="clear" w:color="auto" w:fill="C6D9F1"/>
            <w:noWrap/>
            <w:tcMar>
              <w:top w:w="50" w:type="dxa"/>
              <w:left w:w="70" w:type="dxa"/>
              <w:bottom w:w="50" w:type="dxa"/>
              <w:right w:w="70" w:type="dxa"/>
            </w:tcMar>
            <w:vAlign w:val="center"/>
          </w:tcPr>
          <w:p w14:paraId="1B933F2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第二十条第（六）项</w:t>
            </w:r>
          </w:p>
        </w:tc>
      </w:tr>
      <w:tr w14:paraId="64C4A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22C062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信息内容</w:t>
            </w:r>
          </w:p>
        </w:tc>
        <w:tc>
          <w:tcPr>
            <w:tcW w:w="3810" w:type="pct"/>
            <w:gridSpan w:val="3"/>
            <w:tcBorders>
              <w:top w:val="single" w:color="000000" w:sz="4" w:space="0"/>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62B3BA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本年处理决定数量</w:t>
            </w:r>
          </w:p>
        </w:tc>
      </w:tr>
      <w:tr w14:paraId="76478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3D00B3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行政处罚</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77BA12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5</w:t>
            </w:r>
          </w:p>
        </w:tc>
      </w:tr>
      <w:tr w14:paraId="1BAA0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666EA1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行政强制</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4CB718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1A381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nil"/>
              <w:left w:val="single" w:color="000000" w:sz="4" w:space="0"/>
              <w:bottom w:val="single" w:color="000000" w:sz="4" w:space="0"/>
              <w:right w:val="single" w:color="000000" w:sz="4" w:space="0"/>
            </w:tcBorders>
            <w:shd w:val="clear" w:color="auto" w:fill="C6D9F1"/>
            <w:noWrap/>
            <w:tcMar>
              <w:top w:w="50" w:type="dxa"/>
              <w:left w:w="70" w:type="dxa"/>
              <w:bottom w:w="50" w:type="dxa"/>
              <w:right w:w="70" w:type="dxa"/>
            </w:tcMar>
            <w:vAlign w:val="center"/>
          </w:tcPr>
          <w:p w14:paraId="026EEC6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第二十条第（八）项</w:t>
            </w:r>
          </w:p>
        </w:tc>
      </w:tr>
      <w:tr w14:paraId="429246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3DA3B2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信息内容</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25852F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本年收费金额（单位：万元）</w:t>
            </w:r>
          </w:p>
        </w:tc>
      </w:tr>
      <w:tr w14:paraId="23A7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89" w:type="pct"/>
            <w:tcBorders>
              <w:top w:val="nil"/>
              <w:left w:val="single" w:color="000000" w:sz="4" w:space="0"/>
              <w:bottom w:val="single" w:color="000000" w:sz="4" w:space="0"/>
              <w:right w:val="single" w:color="000000" w:sz="4" w:space="0"/>
            </w:tcBorders>
            <w:shd w:val="clear" w:color="auto" w:fill="auto"/>
            <w:noWrap/>
            <w:tcMar>
              <w:top w:w="50" w:type="dxa"/>
              <w:left w:w="70" w:type="dxa"/>
              <w:bottom w:w="50" w:type="dxa"/>
              <w:right w:w="70" w:type="dxa"/>
            </w:tcMar>
            <w:vAlign w:val="center"/>
          </w:tcPr>
          <w:p w14:paraId="7C49D2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行政事业性收费</w:t>
            </w:r>
          </w:p>
        </w:tc>
        <w:tc>
          <w:tcPr>
            <w:tcW w:w="3810" w:type="pct"/>
            <w:gridSpan w:val="3"/>
            <w:tcBorders>
              <w:top w:val="nil"/>
              <w:left w:val="nil"/>
              <w:bottom w:val="single" w:color="000000" w:sz="4" w:space="0"/>
              <w:right w:val="single" w:color="000000" w:sz="4" w:space="0"/>
            </w:tcBorders>
            <w:shd w:val="clear" w:color="auto" w:fill="auto"/>
            <w:noWrap/>
            <w:tcMar>
              <w:top w:w="50" w:type="dxa"/>
              <w:left w:w="70" w:type="dxa"/>
              <w:bottom w:w="50" w:type="dxa"/>
              <w:right w:w="70" w:type="dxa"/>
            </w:tcMar>
            <w:vAlign w:val="center"/>
          </w:tcPr>
          <w:p w14:paraId="17A982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bl>
    <w:p w14:paraId="5C92F3A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三、收到和处理政府信息公开申请情况</w:t>
      </w:r>
    </w:p>
    <w:tbl>
      <w:tblPr>
        <w:tblStyle w:val="3"/>
        <w:tblW w:w="5000" w:type="pct"/>
        <w:tblInd w:w="0"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51"/>
        <w:gridCol w:w="1309"/>
        <w:gridCol w:w="2103"/>
        <w:gridCol w:w="541"/>
        <w:gridCol w:w="583"/>
        <w:gridCol w:w="497"/>
        <w:gridCol w:w="666"/>
        <w:gridCol w:w="666"/>
        <w:gridCol w:w="508"/>
        <w:gridCol w:w="522"/>
      </w:tblGrid>
      <w:tr w14:paraId="7C4C7BD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593DB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（本列数据的勾稽关系为：第一项加第二项之和，等于第三项加第四项之和）</w:t>
            </w:r>
          </w:p>
        </w:tc>
        <w:tc>
          <w:tcPr>
            <w:tcW w:w="2356" w:type="pct"/>
            <w:gridSpan w:val="7"/>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B5C0C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申请人情况</w:t>
            </w:r>
          </w:p>
        </w:tc>
      </w:tr>
      <w:tr w14:paraId="597AB86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2D62B9">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621332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自然人</w:t>
            </w:r>
          </w:p>
        </w:tc>
        <w:tc>
          <w:tcPr>
            <w:tcW w:w="1728" w:type="pct"/>
            <w:gridSpan w:val="5"/>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DF1EDE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法人或其他组织</w:t>
            </w:r>
          </w:p>
        </w:tc>
        <w:tc>
          <w:tcPr>
            <w:tcW w:w="307"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4F32D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总计</w:t>
            </w:r>
          </w:p>
        </w:tc>
      </w:tr>
      <w:tr w14:paraId="11D95C3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43C656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03935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E01284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商业企业</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F39BA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科研</w:t>
            </w:r>
          </w:p>
          <w:p w14:paraId="7B53136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机构</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D8271E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社会公益组织</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F4656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法律服务机构</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97E7E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其他</w:t>
            </w:r>
          </w:p>
        </w:tc>
        <w:tc>
          <w:tcPr>
            <w:tcW w:w="307"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9E17D0B">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r>
      <w:tr w14:paraId="33543BB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E7057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一、本年新收政府信息公开申请数量</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DCBA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i w:val="0"/>
                <w:iCs w:val="0"/>
                <w:caps w:val="0"/>
                <w:color w:val="000000"/>
                <w:spacing w:val="0"/>
                <w:sz w:val="32"/>
                <w:szCs w:val="32"/>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D4909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EF927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18416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7C9C3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B443E0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1324C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i w:val="0"/>
                <w:iCs w:val="0"/>
                <w:caps w:val="0"/>
                <w:color w:val="000000"/>
                <w:spacing w:val="0"/>
                <w:sz w:val="32"/>
                <w:szCs w:val="32"/>
                <w:lang w:val="en-US" w:eastAsia="zh-CN"/>
              </w:rPr>
              <w:t>1</w:t>
            </w:r>
          </w:p>
        </w:tc>
      </w:tr>
      <w:tr w14:paraId="0F3037AC">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1453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二、上年结转政府信息公开申请数量</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E23D3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3E64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28685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94F25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0B0FA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7AD6D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E18A8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42F99E0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D5B3D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三、本年度办理结果</w:t>
            </w:r>
          </w:p>
        </w:tc>
        <w:tc>
          <w:tcPr>
            <w:tcW w:w="2020" w:type="pct"/>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125D6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（一）予以公开</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DB484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2FA86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5EB05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F71E2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F35F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81333B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CE59A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25A4345">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6CA65EF">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2020" w:type="pct"/>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3D95C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（二）部分公开（区分处理的，只计这一情形，不计其他情形）</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C36A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DD97C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20216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51CB1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31B2E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42E91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B8ED3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0266D47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858B3DB">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2AC6D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（三）不予公开</w:t>
            </w: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A1A0D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1.属于国家秘密</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BC0DB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0C474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85720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E0B42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27AAF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AEA5F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876C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7D9D0CD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21957AC">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BAA7DFB">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6A00D7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2.其他法律行政法规禁止公开</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A570A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964E1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5EC6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688A9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595F7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4A9CD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0C821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4113B01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0D73F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558D056">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8C813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3.危及“三安全一稳定”</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91AA8D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6A29A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9982E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A622F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DE0729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47D0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A039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4169039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F45BE37">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C6ED305">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1D852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4.保护第三方合法权益</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12A3C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F68E59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74CAD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995FA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23A45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9CE21E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92BDD6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9D2A47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B5E8C48">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7C0AE38">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57C79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5.属于三类内部事务信息</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B3995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39B6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D83B67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7FE4E8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3E01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9488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100C7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6E9F7F0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3768AB">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7696AC6">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49D8AD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6.属于四类过程性信息</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B18EE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58128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0B698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33F294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80B1D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E95CC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570B7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DBC23C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A655792">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20039CD">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3B5D6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7.属于行政执法案卷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7E98E4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B6C342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40864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59995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FC911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E78F9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3BB0A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E777EF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0D0980C">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E74102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0E2657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8.属于行政查询事项</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2A871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57122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E8049D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2F882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1217B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275EF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0DA5DB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08A2DF3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3723645">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E509E4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（四）无法提供</w:t>
            </w: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20AAE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1.本机关不掌握相关政府信息</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574729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i w:val="0"/>
                <w:iCs w:val="0"/>
                <w:caps w:val="0"/>
                <w:color w:val="000000"/>
                <w:spacing w:val="0"/>
                <w:sz w:val="32"/>
                <w:szCs w:val="32"/>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F047D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CB2609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C4694B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F811B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1AFDF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244A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i w:val="0"/>
                <w:iCs w:val="0"/>
                <w:caps w:val="0"/>
                <w:color w:val="000000"/>
                <w:spacing w:val="0"/>
                <w:sz w:val="32"/>
                <w:szCs w:val="32"/>
                <w:lang w:val="en-US" w:eastAsia="zh-CN"/>
              </w:rPr>
              <w:t>1</w:t>
            </w:r>
          </w:p>
        </w:tc>
      </w:tr>
      <w:tr w14:paraId="3862F12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3547F9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363B7E">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87D2E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2.没有现成信息需要另行制作</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63DF34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F439D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0B8FB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46C4A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8164B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0D95A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C5CB1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3EC2E1C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2B6FCDC">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BCED079">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2526D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3.补正后申请内容仍不明确</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6072B9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8BDB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C9EAD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3632A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B7487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DDC18C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96A449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00776B7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F231FDA">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70CAA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（五）不予处理</w:t>
            </w: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A1D5A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1.信访举报投诉类申请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A3AD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48392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421E7B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E3FFB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D01E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857D0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CE769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631DE62A">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A39A57E">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5AF5EC9">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2C8F3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2.重复申请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E47A9D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77A1BF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F3BBB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9BFCD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E99AF4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1F72F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017E5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3CFFC5E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DC8378E">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23F31A0">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4D0C7A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3.要求提供公开出版物</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2AD2A0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F0B827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EAF21C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74943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39249B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F4AF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648E2C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287BFF4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486D4C7">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6EA072F">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534B3F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4.无正当理由大量反复申请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581F7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B002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A7D4C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0393AF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80EFA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2ADAA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39E13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5238F88F">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59118BF">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40A295C">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F6759C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5.要求行政机关确认或重新出具已获取信息</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810626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7DC3A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63E53E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3765A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5DD31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BBFA1E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06D0C8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2E35FC5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3B992F6">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restart"/>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73B6E4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（六）其他处理</w:t>
            </w: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32B60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1.申请人无正当理由逾期不补正、行政机关不再处理其政府信息公开申请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62A0C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C9AA89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C20ACF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3FDD11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4D4863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DD332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2338E0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7036ADFE">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13CD91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100" w:type="dxa"/>
              <w:bottom w:w="50" w:type="dxa"/>
              <w:right w:w="100" w:type="dxa"/>
            </w:tcMar>
            <w:vAlign w:val="center"/>
          </w:tcPr>
          <w:p w14:paraId="588F4908">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892D0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2.申请人逾期未按通知要求缴纳费用、行政机关不再处理其政府信息公开申请</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19150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89648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B66D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C508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0FCA4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43B5E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CCF8B4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3E03D9A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DA1B97">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77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FBE2501">
            <w:pPr>
              <w:keepNext w:val="0"/>
              <w:keepLines w:val="0"/>
              <w:pageBreakBefore w:val="0"/>
              <w:widowControl/>
              <w:suppressLineNumbers w:val="0"/>
              <w:kinsoku/>
              <w:wordWrap w:val="0"/>
              <w:overflowPunct/>
              <w:topLinePunct w:val="0"/>
              <w:autoSpaceDE/>
              <w:autoSpaceDN/>
              <w:bidi w:val="0"/>
              <w:adjustRightInd/>
              <w:snapToGrid/>
              <w:spacing w:line="560" w:lineRule="exact"/>
              <w:jc w:val="left"/>
              <w:textAlignment w:val="center"/>
              <w:rPr>
                <w:rFonts w:hint="eastAsia" w:ascii="方正仿宋_GB2312" w:hAnsi="方正仿宋_GB2312" w:eastAsia="方正仿宋_GB2312" w:cs="方正仿宋_GB2312"/>
                <w:i w:val="0"/>
                <w:iCs w:val="0"/>
                <w:caps w:val="0"/>
                <w:color w:val="000000"/>
                <w:spacing w:val="0"/>
                <w:sz w:val="32"/>
                <w:szCs w:val="32"/>
              </w:rPr>
            </w:pPr>
          </w:p>
        </w:tc>
        <w:tc>
          <w:tcPr>
            <w:tcW w:w="124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231427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3.其他</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86BA9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89DB5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708A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747B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E1FA9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7E400F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7FF42D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r w14:paraId="200BFB19">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623" w:type="pct"/>
            <w:vMerge w:val="continue"/>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F3079FD">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2020" w:type="pct"/>
            <w:gridSpan w:val="2"/>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19908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（七）总计</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BDE456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i w:val="0"/>
                <w:iCs w:val="0"/>
                <w:caps w:val="0"/>
                <w:color w:val="000000"/>
                <w:spacing w:val="0"/>
                <w:sz w:val="32"/>
                <w:szCs w:val="32"/>
                <w:lang w:val="en-US" w:eastAsia="zh-CN"/>
              </w:rPr>
              <w:t>1</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463B86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05D54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EA2D49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9442E6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A73AC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940A5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i w:val="0"/>
                <w:iCs w:val="0"/>
                <w:caps w:val="0"/>
                <w:color w:val="000000"/>
                <w:spacing w:val="0"/>
                <w:sz w:val="32"/>
                <w:szCs w:val="32"/>
                <w:lang w:val="en-US" w:eastAsia="zh-CN"/>
              </w:rPr>
              <w:t>1</w:t>
            </w:r>
          </w:p>
        </w:tc>
      </w:tr>
      <w:tr w14:paraId="09A55C5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15" w:type="dxa"/>
            <w:left w:w="15" w:type="dxa"/>
            <w:bottom w:w="15" w:type="dxa"/>
            <w:right w:w="15" w:type="dxa"/>
          </w:tblCellMar>
        </w:tblPrEx>
        <w:tc>
          <w:tcPr>
            <w:tcW w:w="2643" w:type="pct"/>
            <w:gridSpan w:val="3"/>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244C0CC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四、结转下年度继续办理</w:t>
            </w:r>
          </w:p>
        </w:tc>
        <w:tc>
          <w:tcPr>
            <w:tcW w:w="32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0A03B8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45"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36AAE3D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2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58925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07B024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94"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EDC6C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0"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76DB0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07" w:type="pct"/>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B13A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bl>
    <w:p w14:paraId="06D89E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四、政府信息公开行政复议、行政诉讼情况</w:t>
      </w:r>
    </w:p>
    <w:tbl>
      <w:tblPr>
        <w:tblStyle w:val="3"/>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562"/>
        <w:gridCol w:w="562"/>
        <w:gridCol w:w="562"/>
        <w:gridCol w:w="562"/>
        <w:gridCol w:w="563"/>
        <w:gridCol w:w="562"/>
        <w:gridCol w:w="563"/>
        <w:gridCol w:w="563"/>
        <w:gridCol w:w="563"/>
        <w:gridCol w:w="564"/>
        <w:gridCol w:w="563"/>
        <w:gridCol w:w="563"/>
        <w:gridCol w:w="563"/>
        <w:gridCol w:w="563"/>
        <w:gridCol w:w="566"/>
      </w:tblGrid>
      <w:tr w14:paraId="1A946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666" w:type="pct"/>
            <w:gridSpan w:val="5"/>
            <w:tcBorders>
              <w:top w:val="single" w:color="000000" w:sz="4" w:space="0"/>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69E6DF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行政复议</w:t>
            </w:r>
          </w:p>
        </w:tc>
        <w:tc>
          <w:tcPr>
            <w:tcW w:w="3333" w:type="pct"/>
            <w:gridSpan w:val="10"/>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6CF07B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行政诉讼</w:t>
            </w:r>
          </w:p>
        </w:tc>
      </w:tr>
      <w:tr w14:paraId="428EE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33" w:type="pct"/>
            <w:vMerge w:val="restart"/>
            <w:tcBorders>
              <w:top w:val="nil"/>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4C1E375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结果维持</w:t>
            </w:r>
          </w:p>
        </w:tc>
        <w:tc>
          <w:tcPr>
            <w:tcW w:w="333" w:type="pct"/>
            <w:vMerge w:val="restar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67DF316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结果纠正</w:t>
            </w:r>
          </w:p>
        </w:tc>
        <w:tc>
          <w:tcPr>
            <w:tcW w:w="333" w:type="pct"/>
            <w:vMerge w:val="restar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079C2FB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其他结果</w:t>
            </w:r>
          </w:p>
        </w:tc>
        <w:tc>
          <w:tcPr>
            <w:tcW w:w="333" w:type="pct"/>
            <w:vMerge w:val="restar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79C496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尚未审结</w:t>
            </w:r>
          </w:p>
        </w:tc>
        <w:tc>
          <w:tcPr>
            <w:tcW w:w="333" w:type="pct"/>
            <w:vMerge w:val="restar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1D928F9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总计</w:t>
            </w:r>
          </w:p>
        </w:tc>
        <w:tc>
          <w:tcPr>
            <w:tcW w:w="1666" w:type="pct"/>
            <w:gridSpan w:val="5"/>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4A7C9E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未经复议直接起诉</w:t>
            </w:r>
          </w:p>
        </w:tc>
        <w:tc>
          <w:tcPr>
            <w:tcW w:w="1666" w:type="pct"/>
            <w:gridSpan w:val="5"/>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00E00E9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复议后起诉</w:t>
            </w:r>
          </w:p>
        </w:tc>
      </w:tr>
      <w:tr w14:paraId="6AC94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33" w:type="pct"/>
            <w:vMerge w:val="continue"/>
            <w:tcBorders>
              <w:top w:val="nil"/>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10993A4A">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vMerge w:val="continue"/>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33DEDD1">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vMerge w:val="continue"/>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BC07EC3">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vMerge w:val="continue"/>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1D75EE82">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vMerge w:val="continue"/>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7B700BDA">
            <w:pPr>
              <w:keepNext w:val="0"/>
              <w:keepLines w:val="0"/>
              <w:pageBreakBefore w:val="0"/>
              <w:widowControl/>
              <w:kinsoku/>
              <w:overflowPunct/>
              <w:topLinePunct w:val="0"/>
              <w:autoSpaceDE/>
              <w:autoSpaceDN/>
              <w:bidi w:val="0"/>
              <w:adjustRightInd/>
              <w:snapToGrid/>
              <w:spacing w:before="0" w:after="0" w:line="560" w:lineRule="exact"/>
              <w:rPr>
                <w:rFonts w:hint="eastAsia" w:ascii="方正仿宋_GB2312" w:hAnsi="方正仿宋_GB2312" w:eastAsia="方正仿宋_GB2312" w:cs="方正仿宋_GB2312"/>
                <w:i w:val="0"/>
                <w:iCs w:val="0"/>
                <w:caps w:val="0"/>
                <w:color w:val="000000"/>
                <w:spacing w:val="0"/>
                <w:sz w:val="32"/>
                <w:szCs w:val="32"/>
              </w:rPr>
            </w:pP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159AD4B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结果维持</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2220C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结果纠正</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4BB0B1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其他结果</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532CA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尚未审结</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035CC6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总计</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B8D09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结果维持</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FA71BC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结果纠正</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911C8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其他结果</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7573DC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尚未审结</w:t>
            </w:r>
          </w:p>
        </w:tc>
        <w:tc>
          <w:tcPr>
            <w:tcW w:w="333" w:type="pct"/>
            <w:tcBorders>
              <w:top w:val="single" w:color="000000" w:sz="4" w:space="0"/>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BF0924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总计</w:t>
            </w:r>
          </w:p>
        </w:tc>
      </w:tr>
      <w:tr w14:paraId="51080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33" w:type="pct"/>
            <w:tcBorders>
              <w:top w:val="nil"/>
              <w:left w:val="single" w:color="000000" w:sz="4" w:space="0"/>
              <w:bottom w:val="single" w:color="000000" w:sz="4" w:space="0"/>
              <w:right w:val="single" w:color="000000" w:sz="4" w:space="0"/>
            </w:tcBorders>
            <w:shd w:val="clear" w:color="auto" w:fill="auto"/>
            <w:tcMar>
              <w:top w:w="50" w:type="dxa"/>
              <w:left w:w="70" w:type="dxa"/>
              <w:bottom w:w="50" w:type="dxa"/>
              <w:right w:w="70" w:type="dxa"/>
            </w:tcMar>
            <w:vAlign w:val="center"/>
          </w:tcPr>
          <w:p w14:paraId="5971935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AF588F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695D58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6CB146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7CA82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4183EA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F63C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3D3CB8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2AA52C2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61BDC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3A4422D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936CE4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C06595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1943EEC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c>
          <w:tcPr>
            <w:tcW w:w="333" w:type="pct"/>
            <w:tcBorders>
              <w:top w:val="nil"/>
              <w:left w:val="nil"/>
              <w:bottom w:val="single" w:color="000000" w:sz="4" w:space="0"/>
              <w:right w:val="single" w:color="000000" w:sz="4" w:space="0"/>
            </w:tcBorders>
            <w:shd w:val="clear" w:color="auto" w:fill="auto"/>
            <w:tcMar>
              <w:top w:w="50" w:type="dxa"/>
              <w:left w:w="70" w:type="dxa"/>
              <w:bottom w:w="50" w:type="dxa"/>
              <w:right w:w="70" w:type="dxa"/>
            </w:tcMar>
            <w:vAlign w:val="center"/>
          </w:tcPr>
          <w:p w14:paraId="5E5287B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lef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i w:val="0"/>
                <w:iCs w:val="0"/>
                <w:caps w:val="0"/>
                <w:color w:val="000000"/>
                <w:spacing w:val="0"/>
                <w:sz w:val="32"/>
                <w:szCs w:val="32"/>
              </w:rPr>
              <w:t>0</w:t>
            </w:r>
          </w:p>
        </w:tc>
      </w:tr>
    </w:tbl>
    <w:p w14:paraId="7EF743E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五、存在的主要问题及改进情况</w:t>
      </w:r>
    </w:p>
    <w:p w14:paraId="77DB68B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（一）存在问题</w:t>
      </w:r>
    </w:p>
    <w:p w14:paraId="3E4FF49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一是工作人员政府信息公开意识还需进一步提高，需要进一步学习领悟《中华人民共和国政府信息公开条例》精神；二是信息公开内容的覆盖面和细节都有待加强。</w:t>
      </w:r>
    </w:p>
    <w:p w14:paraId="17F54DE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（二）改进情况</w:t>
      </w:r>
    </w:p>
    <w:p w14:paraId="0E89554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我局下一步工作重点：一是针对工作中的不足之处不断改进，加强对信息联络人员的培训，继续学习《中华人民共和国政府信息公开条例》，着力提高信息公开意识，保证信息的公开透明，强化信息内容的提炼升华；二是加强信息联络人员与业务股室的沟通，做好政务信息公开的三审三校，努力将信息收集与公开同步进行，确保信息的及时、准确、全面。</w:t>
      </w:r>
    </w:p>
    <w:p w14:paraId="3DE341F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六、其他需要报告的事项</w:t>
      </w:r>
    </w:p>
    <w:p w14:paraId="08A032F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r>
        <w:rPr>
          <w:rFonts w:hint="eastAsia" w:ascii="方正仿宋_GB2312" w:hAnsi="方正仿宋_GB2312" w:eastAsia="方正仿宋_GB2312" w:cs="方正仿宋_GB2312"/>
          <w:i w:val="0"/>
          <w:iCs w:val="0"/>
          <w:caps w:val="0"/>
          <w:color w:val="000000"/>
          <w:spacing w:val="0"/>
          <w:sz w:val="32"/>
          <w:szCs w:val="32"/>
        </w:rPr>
        <w:t>2023年未收取任何信息处理费。</w:t>
      </w:r>
    </w:p>
    <w:p w14:paraId="7517DD3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p>
    <w:p w14:paraId="75A634D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方正仿宋_GB2312" w:hAnsi="方正仿宋_GB2312" w:eastAsia="方正仿宋_GB2312" w:cs="方正仿宋_GB2312"/>
          <w:i w:val="0"/>
          <w:iCs w:val="0"/>
          <w:caps w:val="0"/>
          <w:color w:val="000000"/>
          <w:spacing w:val="0"/>
          <w:sz w:val="32"/>
          <w:szCs w:val="32"/>
        </w:rPr>
      </w:pPr>
    </w:p>
    <w:p w14:paraId="79C38782">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方正仿宋_GB2312" w:hAnsi="方正仿宋_GB2312" w:eastAsia="方正仿宋_GB2312" w:cs="方正仿宋_GB2312"/>
          <w:i w:val="0"/>
          <w:iCs w:val="0"/>
          <w:caps w:val="0"/>
          <w:color w:val="000000"/>
          <w:spacing w:val="0"/>
          <w:sz w:val="32"/>
          <w:szCs w:val="32"/>
          <w:lang w:val="en-US" w:eastAsia="zh-CN"/>
        </w:rPr>
      </w:pPr>
      <w:r>
        <w:rPr>
          <w:rFonts w:hint="eastAsia" w:ascii="方正仿宋_GB2312" w:hAnsi="方正仿宋_GB2312" w:eastAsia="方正仿宋_GB2312" w:cs="方正仿宋_GB2312"/>
          <w:i w:val="0"/>
          <w:iCs w:val="0"/>
          <w:caps w:val="0"/>
          <w:color w:val="000000"/>
          <w:spacing w:val="0"/>
          <w:sz w:val="32"/>
          <w:szCs w:val="32"/>
        </w:rPr>
        <w:t>梅州市梅县区文化广电旅游体育局</w:t>
      </w:r>
      <w:r>
        <w:rPr>
          <w:rFonts w:hint="eastAsia" w:ascii="方正仿宋_GB2312" w:hAnsi="方正仿宋_GB2312" w:eastAsia="方正仿宋_GB2312" w:cs="方正仿宋_GB2312"/>
          <w:i w:val="0"/>
          <w:iCs w:val="0"/>
          <w:caps w:val="0"/>
          <w:color w:val="000000"/>
          <w:spacing w:val="0"/>
          <w:sz w:val="32"/>
          <w:szCs w:val="32"/>
          <w:lang w:val="en-US" w:eastAsia="zh-CN"/>
        </w:rPr>
        <w:t xml:space="preserve">  </w:t>
      </w:r>
    </w:p>
    <w:p w14:paraId="74153136">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default" w:ascii="方正仿宋_GB2312" w:hAnsi="方正仿宋_GB2312" w:eastAsia="方正仿宋_GB2312" w:cs="方正仿宋_GB2312"/>
          <w:i w:val="0"/>
          <w:iCs w:val="0"/>
          <w:caps w:val="0"/>
          <w:color w:val="000000"/>
          <w:spacing w:val="0"/>
          <w:sz w:val="32"/>
          <w:szCs w:val="32"/>
          <w:lang w:val="en-US" w:eastAsia="zh-CN"/>
        </w:rPr>
      </w:pPr>
      <w:r>
        <w:rPr>
          <w:rFonts w:hint="eastAsia" w:ascii="方正仿宋_GB2312" w:hAnsi="方正仿宋_GB2312" w:eastAsia="方正仿宋_GB2312" w:cs="方正仿宋_GB2312"/>
          <w:i w:val="0"/>
          <w:iCs w:val="0"/>
          <w:caps w:val="0"/>
          <w:color w:val="000000"/>
          <w:spacing w:val="0"/>
          <w:sz w:val="32"/>
          <w:szCs w:val="32"/>
        </w:rPr>
        <w:t>2024年1月8日</w:t>
      </w:r>
      <w:r>
        <w:rPr>
          <w:rFonts w:hint="eastAsia" w:ascii="方正仿宋_GB2312" w:hAnsi="方正仿宋_GB2312" w:eastAsia="方正仿宋_GB2312" w:cs="方正仿宋_GB2312"/>
          <w:i w:val="0"/>
          <w:iCs w:val="0"/>
          <w:caps w:val="0"/>
          <w:color w:val="000000"/>
          <w:spacing w:val="0"/>
          <w:sz w:val="32"/>
          <w:szCs w:val="32"/>
          <w:lang w:val="en-US" w:eastAsia="zh-CN"/>
        </w:rPr>
        <w:t xml:space="preserve">          </w:t>
      </w:r>
    </w:p>
    <w:p w14:paraId="73A0430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0" w:firstLineChars="0"/>
        <w:jc w:val="right"/>
        <w:textAlignment w:val="auto"/>
        <w:rPr>
          <w:rFonts w:hint="eastAsia" w:ascii="方正仿宋_GB2312" w:hAnsi="方正仿宋_GB2312" w:eastAsia="方正仿宋_GB2312" w:cs="方正仿宋_GB2312"/>
          <w:i w:val="0"/>
          <w:iCs w:val="0"/>
          <w:caps w:val="0"/>
          <w:color w:val="000000"/>
          <w:spacing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1" w:fontKey="{C9E0F63B-91ED-4142-A7E3-AAA87F57CB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745D5"/>
    <w:rsid w:val="28283D92"/>
    <w:rsid w:val="3BC161FB"/>
    <w:rsid w:val="4E35052C"/>
    <w:rsid w:val="58CA29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907</Words>
  <Characters>988</Characters>
  <Lines>0</Lines>
  <Paragraphs>0</Paragraphs>
  <TotalTime>15</TotalTime>
  <ScaleCrop>false</ScaleCrop>
  <LinksUpToDate>false</LinksUpToDate>
  <CharactersWithSpaces>988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杨茂莲</cp:lastModifiedBy>
  <dcterms:modified xsi:type="dcterms:W3CDTF">2026-05-29T15:19:52Z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eyJoZGlkIjoiODJlNWQyNTMyNWQ2ZjA3MGU4ODkxOTljNTZkZjM1MTYiLCJ1c2VySWQiOiIyNjE5MDIwMjgifQ==</vt:lpwstr>
  </property>
  <property fmtid="{D5CDD505-2E9C-101B-9397-08002B2CF9AE}" pid="4" name="ICV">
    <vt:lpwstr>E02EFF17670B4F2B94E9329A09597050_12</vt:lpwstr>
  </property>
</Properties>
</file>