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0E6E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梅县区交通运输局202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3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年政府信息公开</w:t>
      </w:r>
    </w:p>
    <w:p w14:paraId="39ED8AC2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工作年度报告</w:t>
      </w:r>
    </w:p>
    <w:p w14:paraId="4FF41D3A"/>
    <w:p w14:paraId="178CF882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根据《中华人民共和国政府信息公开条例》的规定，现公布梅县区交通运输局2023年政府信息公开工作年度报告。本报告由总体情况、主动公开政府信息情况、收到和处理政府信息公开申请情况、政府信息公开行政复议和行政诉讼情况、存在问题及改进措施、其他需要报告的事项等六部分组成，内容涵盖梅县区交通运输局2023年1月1日至2023年12月31日期间的政府信息公开工作情况。本报告的电子版可在梅县区人民政府网站（http://www.gdmx.gov.cn）下载，如对本报告有疑问，请联系梅县区交通运输局（地址：广东省梅州市梅县区新城交通路9号，联系电话：0753-2588555）。   </w:t>
      </w:r>
    </w:p>
    <w:p w14:paraId="3195A78D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2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6"/>
          <w:rFonts w:hint="eastAsia" w:ascii="黑体" w:hAnsi="黑体" w:eastAsia="黑体" w:cs="黑体"/>
          <w:sz w:val="28"/>
          <w:szCs w:val="28"/>
          <w:lang w:eastAsia="zh-CN"/>
        </w:rPr>
        <w:t> </w:t>
      </w:r>
      <w:r>
        <w:rPr>
          <w:rStyle w:val="6"/>
          <w:rFonts w:hint="eastAsia" w:ascii="黑体" w:hAnsi="黑体" w:eastAsia="黑体" w:cs="黑体"/>
          <w:sz w:val="28"/>
          <w:szCs w:val="28"/>
          <w:lang w:val="en-US" w:eastAsia="zh-CN"/>
        </w:rPr>
        <w:t>一、</w:t>
      </w:r>
      <w:r>
        <w:rPr>
          <w:rStyle w:val="6"/>
          <w:rFonts w:hint="eastAsia" w:ascii="黑体" w:hAnsi="黑体" w:eastAsia="黑体" w:cs="黑体"/>
          <w:sz w:val="28"/>
          <w:szCs w:val="28"/>
          <w:lang w:eastAsia="zh-CN"/>
        </w:rPr>
        <w:t>总体情况</w:t>
      </w:r>
    </w:p>
    <w:p w14:paraId="49A01F27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ind w:firstLine="56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2023年，我局严格落实政务公开工作要求，扎实推进公开工作标准化建设。常态化开展政务信息主动公开，提升信息发布时效与精准度。健全依申请公开闭环机制，实现全流程规范管理。强化信息精细管控、平台升级和制度完善，提升基层公开能力，依托考核督导推动政务公开工作提质增效。</w:t>
      </w:r>
    </w:p>
    <w:p w14:paraId="7C024F63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6"/>
          <w:rFonts w:hint="eastAsia" w:ascii="仿宋" w:hAnsi="仿宋" w:eastAsia="仿宋" w:cs="仿宋"/>
          <w:sz w:val="28"/>
          <w:szCs w:val="28"/>
        </w:rPr>
        <w:t>　　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（一）主动公开方面。对照梅县区人民政府完善责任分工要求，依法对市网站及县政府信息网中政务公开、政府部门、部门动态公开、部门工作报告相关栏目进行更新，在政府信息平台公向社会主动开信息共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88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条。其中，工作动态类信息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29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条，部门文件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7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条，部门预决算和三公经费预决算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5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条，政府信息公开工作年度报告1条，公告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46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条。</w:t>
      </w:r>
    </w:p>
    <w:p w14:paraId="4DD3B462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　　（二）依申请公开情况。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根据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《政府信息公开条例》《广东省政府信息公开申请办理答复规范》的规定和要求，做到依法依规运行。2023年，我局受理政府信息依申请公开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宗。</w:t>
      </w:r>
    </w:p>
    <w:p w14:paraId="38BCFD83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jc w:val="left"/>
        <w:textAlignment w:val="auto"/>
        <w:rPr>
          <w:rFonts w:hint="eastAsia" w:ascii="仿宋" w:hAnsi="仿宋" w:eastAsia="仿宋" w:cs="仿宋"/>
          <w:b w:val="0"/>
          <w:bCs/>
          <w:spacing w:val="-6"/>
          <w:sz w:val="28"/>
          <w:szCs w:val="28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　　（三）</w:t>
      </w:r>
      <w:r>
        <w:rPr>
          <w:rStyle w:val="6"/>
          <w:rFonts w:hint="eastAsia" w:ascii="仿宋" w:hAnsi="仿宋" w:eastAsia="仿宋" w:cs="仿宋"/>
          <w:b w:val="0"/>
          <w:bCs/>
          <w:spacing w:val="-6"/>
          <w:sz w:val="28"/>
          <w:szCs w:val="28"/>
        </w:rPr>
        <w:t>政府信息管理情况。我局政府信息公开目录编为组织机构（领导分工、机构职能）、部门文件、办事指南、工作动态、部门预决算和三公经费、其他等6个类别，</w:t>
      </w:r>
      <w:r>
        <w:rPr>
          <w:rStyle w:val="6"/>
          <w:rFonts w:hint="eastAsia" w:ascii="仿宋" w:hAnsi="仿宋" w:eastAsia="仿宋" w:cs="仿宋"/>
          <w:b w:val="0"/>
          <w:bCs/>
          <w:spacing w:val="-6"/>
          <w:sz w:val="28"/>
          <w:szCs w:val="28"/>
          <w:lang w:val="en-US" w:eastAsia="zh-CN"/>
        </w:rPr>
        <w:t>按照</w:t>
      </w:r>
      <w:r>
        <w:rPr>
          <w:rStyle w:val="6"/>
          <w:rFonts w:hint="eastAsia" w:ascii="仿宋" w:hAnsi="仿宋" w:eastAsia="仿宋" w:cs="仿宋"/>
          <w:b w:val="0"/>
          <w:bCs/>
          <w:spacing w:val="-6"/>
          <w:sz w:val="28"/>
          <w:szCs w:val="28"/>
        </w:rPr>
        <w:t>《中华人民共和国政府信息公开条例》有关规定，完善公开制度、健全工作机制、深化公开内容、丰富公开载体。</w:t>
      </w:r>
    </w:p>
    <w:p w14:paraId="1A8DBE1D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　　（三）平台保障情况。充分发挥区政府门户网站第一平台作用，加强政府网站内容建设和信息发布审核，做到及时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eastAsia="zh-CN"/>
        </w:rPr>
        <w:t>、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准确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更新，严格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把握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审核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关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，确保政府公开信息的时效性、准确性。 </w:t>
      </w:r>
    </w:p>
    <w:p w14:paraId="5428E57E">
      <w:pPr>
        <w:pStyle w:val="3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　　（四）监督保障情况。我局制定了信息公开实施方案和相关工作制度，严格遵循“先审查、后公开”，做好政务信息保密工作，确保信息公开及时、规范、安全。 </w:t>
      </w:r>
    </w:p>
    <w:p w14:paraId="000BA08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420" w:lineRule="atLeast"/>
        <w:jc w:val="left"/>
        <w:textAlignment w:val="auto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　</w:t>
      </w:r>
      <w:r>
        <w:rPr>
          <w:rStyle w:val="6"/>
          <w:rFonts w:hint="eastAsia" w:ascii="黑体" w:hAnsi="黑体" w:eastAsia="黑体" w:cs="黑体"/>
          <w:sz w:val="28"/>
          <w:szCs w:val="28"/>
        </w:rPr>
        <w:t>　</w:t>
      </w:r>
      <w:r>
        <w:rPr>
          <w:rStyle w:val="6"/>
          <w:rFonts w:hint="eastAsia" w:ascii="黑体" w:hAnsi="黑体" w:eastAsia="黑体" w:cs="黑体"/>
          <w:sz w:val="28"/>
          <w:szCs w:val="28"/>
          <w:lang w:eastAsia="zh-CN"/>
        </w:rPr>
        <w:t>二</w:t>
      </w:r>
      <w:r>
        <w:rPr>
          <w:rStyle w:val="6"/>
          <w:rFonts w:hint="eastAsia" w:ascii="黑体" w:hAnsi="黑体" w:eastAsia="黑体" w:cs="黑体"/>
          <w:sz w:val="28"/>
          <w:szCs w:val="28"/>
        </w:rPr>
        <w:t>、主动公开政府信息情况</w:t>
      </w:r>
    </w:p>
    <w:tbl>
      <w:tblPr>
        <w:tblStyle w:val="4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0"/>
        <w:gridCol w:w="1620"/>
        <w:gridCol w:w="1620"/>
        <w:gridCol w:w="1620"/>
      </w:tblGrid>
      <w:tr w14:paraId="7D629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8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9B591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第二十条第（一）项</w:t>
            </w:r>
          </w:p>
        </w:tc>
      </w:tr>
      <w:tr w14:paraId="372BE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356AF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信息内容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FB6B1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本年制发件数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FAE4C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本年废止件数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D7A86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现行有效件数</w:t>
            </w:r>
          </w:p>
        </w:tc>
      </w:tr>
      <w:tr w14:paraId="145F6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7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AE5D4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规章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8F360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15819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DD3C7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14:paraId="68F83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58BAC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行政规范性文件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C8A267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2F6A2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0CDC4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14:paraId="7CC41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82AC91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第二十条第（五）项</w:t>
            </w:r>
          </w:p>
        </w:tc>
      </w:tr>
      <w:tr w14:paraId="50090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2E24E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2F271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本年处理决定数量</w:t>
            </w:r>
          </w:p>
        </w:tc>
      </w:tr>
      <w:tr w14:paraId="4036F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5CA1A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行政许可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121F8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861</w:t>
            </w:r>
          </w:p>
        </w:tc>
      </w:tr>
      <w:tr w14:paraId="36E85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1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DE5D0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第二十条第（六）项</w:t>
            </w:r>
          </w:p>
        </w:tc>
      </w:tr>
      <w:tr w14:paraId="7B00D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7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E49E7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653D4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本年处理决定数量</w:t>
            </w:r>
          </w:p>
        </w:tc>
      </w:tr>
      <w:tr w14:paraId="17AC7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8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0B97A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行政处罚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C7580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default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154</w:t>
            </w:r>
          </w:p>
        </w:tc>
      </w:tr>
      <w:tr w14:paraId="75661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4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7F0C1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行政强制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3130D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0</w:t>
            </w:r>
          </w:p>
        </w:tc>
      </w:tr>
      <w:tr w14:paraId="2434A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 w:hRule="atLeast"/>
          <w:jc w:val="center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6D9F1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6D086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第二十条第（八）项</w:t>
            </w:r>
          </w:p>
        </w:tc>
      </w:tr>
      <w:tr w14:paraId="3644B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6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8E554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A833C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本年收费金额（单位：万元）</w:t>
            </w:r>
          </w:p>
        </w:tc>
      </w:tr>
      <w:tr w14:paraId="3135A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0" w:type="auto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F257E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行政事业性收费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8DF88A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77B2F1A2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jc w:val="left"/>
        <w:rPr>
          <w:rStyle w:val="6"/>
          <w:rFonts w:ascii="Times New Roman" w:hAnsi="Times New Roman" w:eastAsia="宋体" w:cs="Times New Roman"/>
          <w:sz w:val="24"/>
          <w:szCs w:val="24"/>
        </w:rPr>
      </w:pPr>
      <w:r>
        <w:rPr>
          <w:sz w:val="24"/>
          <w:szCs w:val="24"/>
        </w:rPr>
        <w:t>　</w:t>
      </w:r>
      <w:r>
        <w:rPr>
          <w:rStyle w:val="6"/>
          <w:rFonts w:ascii="Times New Roman" w:hAnsi="Times New Roman" w:eastAsia="宋体" w:cs="Times New Roman"/>
          <w:sz w:val="24"/>
          <w:szCs w:val="24"/>
        </w:rPr>
        <w:t>　</w:t>
      </w:r>
    </w:p>
    <w:p w14:paraId="60791EDD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6"/>
          <w:rFonts w:ascii="Times New Roman" w:hAnsi="Times New Roman" w:eastAsia="宋体" w:cs="Times New Roman"/>
          <w:sz w:val="24"/>
          <w:szCs w:val="24"/>
        </w:rPr>
      </w:pPr>
    </w:p>
    <w:p w14:paraId="4E47BF2F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6"/>
          <w:rFonts w:ascii="Times New Roman" w:hAnsi="Times New Roman" w:eastAsia="宋体" w:cs="Times New Roman"/>
          <w:sz w:val="24"/>
          <w:szCs w:val="24"/>
        </w:rPr>
      </w:pPr>
    </w:p>
    <w:p w14:paraId="0D21BA40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6"/>
          <w:rFonts w:ascii="Times New Roman" w:hAnsi="Times New Roman" w:eastAsia="宋体" w:cs="Times New Roman"/>
          <w:sz w:val="24"/>
          <w:szCs w:val="24"/>
        </w:rPr>
      </w:pPr>
    </w:p>
    <w:p w14:paraId="5A6EB063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ind w:firstLine="241" w:firstLineChars="100"/>
        <w:jc w:val="left"/>
        <w:rPr>
          <w:rStyle w:val="6"/>
          <w:rFonts w:ascii="Times New Roman" w:hAnsi="Times New Roman" w:eastAsia="宋体" w:cs="Times New Roman"/>
          <w:sz w:val="24"/>
          <w:szCs w:val="24"/>
        </w:rPr>
      </w:pPr>
    </w:p>
    <w:p w14:paraId="4157168E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jc w:val="left"/>
        <w:rPr>
          <w:rStyle w:val="6"/>
          <w:rFonts w:ascii="Times New Roman" w:hAnsi="Times New Roman" w:eastAsia="宋体" w:cs="Times New Roman"/>
          <w:sz w:val="24"/>
          <w:szCs w:val="24"/>
        </w:rPr>
      </w:pPr>
    </w:p>
    <w:p w14:paraId="30A36D24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ind w:firstLine="281" w:firstLineChars="10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Style w:val="6"/>
          <w:rFonts w:hint="eastAsia" w:ascii="黑体" w:hAnsi="黑体" w:eastAsia="黑体" w:cs="黑体"/>
          <w:sz w:val="28"/>
          <w:szCs w:val="28"/>
          <w:lang w:eastAsia="zh-CN"/>
        </w:rPr>
        <w:t>三</w:t>
      </w:r>
      <w:r>
        <w:rPr>
          <w:rStyle w:val="6"/>
          <w:rFonts w:hint="eastAsia" w:ascii="黑体" w:hAnsi="黑体" w:eastAsia="黑体" w:cs="黑体"/>
          <w:sz w:val="28"/>
          <w:szCs w:val="28"/>
        </w:rPr>
        <w:t>、收到和处理政府信息公开申请情况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2"/>
        <w:gridCol w:w="1175"/>
        <w:gridCol w:w="2017"/>
        <w:gridCol w:w="618"/>
        <w:gridCol w:w="657"/>
        <w:gridCol w:w="579"/>
        <w:gridCol w:w="735"/>
        <w:gridCol w:w="735"/>
        <w:gridCol w:w="579"/>
        <w:gridCol w:w="306"/>
        <w:gridCol w:w="579"/>
      </w:tblGrid>
      <w:tr w14:paraId="4F010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D5F86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0" w:type="auto"/>
            <w:gridSpan w:val="8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1EBF4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申请人情况</w:t>
            </w:r>
          </w:p>
        </w:tc>
      </w:tr>
      <w:tr w14:paraId="56678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5FE20C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0F79C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自然人</w:t>
            </w:r>
          </w:p>
        </w:tc>
        <w:tc>
          <w:tcPr>
            <w:tcW w:w="0" w:type="auto"/>
            <w:gridSpan w:val="6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1C735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法人或其他组织</w:t>
            </w:r>
          </w:p>
        </w:tc>
        <w:tc>
          <w:tcPr>
            <w:tcW w:w="0" w:type="auto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2D84E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总计</w:t>
            </w:r>
          </w:p>
        </w:tc>
      </w:tr>
      <w:tr w14:paraId="2B520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C35B90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690D2B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A2C89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商业企业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EBDE0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科研</w:t>
            </w:r>
          </w:p>
          <w:p w14:paraId="6E54E5B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机构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9D865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社会公益组织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66F65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法律服务机构</w:t>
            </w:r>
          </w:p>
        </w:tc>
        <w:tc>
          <w:tcPr>
            <w:tcW w:w="0" w:type="auto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3115E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FFCBC2">
            <w:pPr>
              <w:keepNext w:val="0"/>
              <w:keepLines w:val="0"/>
              <w:widowControl/>
              <w:suppressLineNumbers w:val="0"/>
              <w:wordWrap w:val="0"/>
              <w:spacing w:afterAutospacing="0" w:line="240" w:lineRule="auto"/>
              <w:jc w:val="center"/>
              <w:textAlignment w:val="center"/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608702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</w:tr>
      <w:tr w14:paraId="29AAE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EF171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86735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56244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7925B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EC3D9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2D831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F7EBB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7A765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</w:tr>
      <w:tr w14:paraId="4D98F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8485A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00BAC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48753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8A483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83460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5C481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F67AF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F30EE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4B9C1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BB7BD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三、本年度办理结果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EBF7B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Helvetica LT Pro" w:hAnsi="Helvetica LT Pro" w:eastAsia="Helvetica LT Pro" w:cs="Helvetica LT Pro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（一）予以公开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0827A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995C4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28E3A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72E68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E6488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FB5A2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24FD9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5D451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06BDE5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1EAD1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Helvetica LT Pro" w:hAnsi="Helvetica LT Pro" w:eastAsia="Helvetica LT Pro" w:cs="Helvetica LT Pro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49216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AF1E9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96851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48AFA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AB72F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01B42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F48AC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64051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52E8EA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C9878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Helvetica LT Pro" w:hAnsi="Helvetica LT Pro" w:eastAsia="Helvetica LT Pro" w:cs="Helvetica LT Pro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（三）不予公开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0022D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Helvetica LT Pro" w:hAnsi="Helvetica LT Pro" w:eastAsia="Helvetica LT Pro" w:cs="Helvetica LT Pro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1.属于国家秘密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DBB67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A8DC8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83828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9568F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8FC5B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3ED56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3D1BC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347F6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827B39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899BD2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2358B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2.其他法律行政法规禁止公开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80F23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C837E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BE059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8A688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66402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E34AE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AB650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18D4A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8283D8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08A257F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146D2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3.危及“三安全一稳定”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C12CF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07BA9D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422CA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0D806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E3AE0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3D70A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F64B40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74240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AE1316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77CF3B9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45CCA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4.保护第三方合法权益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FA625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D3762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CE2AC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970D0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A2D30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BD787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C2895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193C2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9754AF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6063D1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96A21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5.属于三类内部事务信息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A1AAB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39A5F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49BA4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23F8DD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D2491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473A9E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EE567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6BD8C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B9BA7B0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0E9681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BA3EB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6.属于四类过程性信息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A0232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AA8A39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3A49B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0F388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6A903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33D66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0DAD3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53553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2FFBA0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A48575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59392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7.属于行政执法案卷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72437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20585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CAF6B7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33F19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409F4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9D61D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B2C94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58AE9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CAEB64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F8326A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D6132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8.属于行政查询事项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5A0318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0FB67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1F135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EE900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F083FA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21F77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60B127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2759F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3B0210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C7C7A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（四）无法提供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D9D246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1.本机关不掌握相关政府信息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070B8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AF8D3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C8019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D9DD4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8935F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6C6A90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F7951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</w:tr>
      <w:tr w14:paraId="41784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CC1884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75474E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20013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2.没有现成信息需要另行制作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79157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CEC64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A8B27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F8447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35103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44202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2ADDC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135E9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5BFAF8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864E95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5EA2C9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3.补正后申请内容仍不明确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DC880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C35DC3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956DF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BBC68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848B5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D3031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3D07F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3C1DA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21E7D8A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8613A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（五）不予处理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5E819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1.信访举报投诉类申请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507ECD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468FF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319E38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9B8E3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7A450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0B75E4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C45BCB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374AC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EC379E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0FE90D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1B7360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2.重复申请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E44C3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6010F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08C158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D56653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B7D46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260AD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089F15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2EEDB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72E3CD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C63CC26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326E8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3.要求提供公开出版物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A4DAB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7FA35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A0317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BA00D0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63B075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CE416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50533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78827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58EAE2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8C7C23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11446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4.无正当理由大量反复申请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282D9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75E71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EDD4A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F893F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7BB35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E1D757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85F9D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33561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09D344E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EE23A6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D42B5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E329A7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774B3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E9555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4B706B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33375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417FF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B4CDB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30976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E95269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96CD8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（六）其他处理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A5E0F4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0D14F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0FE08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E9BBE1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466E5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AE2EA8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32C4EB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06700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63A10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FB2BB70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86F9281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6292A6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2.申请人逾期未按通知要求缴纳费用、行政机关不再处理其政府信息公开申请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7A115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0E3EF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902675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E5ABE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101FB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12B62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74C90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000E4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2E0B87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447FE4">
            <w:pPr>
              <w:keepNext w:val="0"/>
              <w:keepLines w:val="0"/>
              <w:widowControl/>
              <w:suppressLineNumbers w:val="0"/>
              <w:wordWrap w:val="0"/>
              <w:spacing w:afterAutospacing="0" w:line="24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084A89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3.其他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E5D693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44097F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5699F4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C2682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400F6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BEAD0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9582CF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14:paraId="1BB1F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5043D75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46F450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（七）总计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B73042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3F649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CFC3C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1F0E6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C0190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D726E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94D9DC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</w:tr>
      <w:tr w14:paraId="4D7FE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0" w:type="auto"/>
            <w:gridSpan w:val="3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FBDCC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四、结转下年度继续办理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DC724A3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C368AC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A6AB9E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F1680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32B06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1E740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1B9C2E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</w:tr>
    </w:tbl>
    <w:p w14:paraId="45A4322B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　　</w:t>
      </w:r>
      <w:r>
        <w:rPr>
          <w:rStyle w:val="6"/>
          <w:rFonts w:hint="eastAsia" w:ascii="黑体" w:hAnsi="黑体" w:eastAsia="黑体" w:cs="黑体"/>
          <w:sz w:val="28"/>
          <w:szCs w:val="28"/>
          <w:lang w:eastAsia="zh-CN"/>
        </w:rPr>
        <w:t>四</w:t>
      </w:r>
      <w:r>
        <w:rPr>
          <w:rStyle w:val="6"/>
          <w:rFonts w:hint="eastAsia" w:ascii="黑体" w:hAnsi="黑体" w:eastAsia="黑体" w:cs="黑体"/>
          <w:sz w:val="28"/>
          <w:szCs w:val="28"/>
        </w:rPr>
        <w:t>、政府信息公开行政复议、行政诉讼情况</w:t>
      </w:r>
    </w:p>
    <w:tbl>
      <w:tblPr>
        <w:tblStyle w:val="4"/>
        <w:tblW w:w="530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8"/>
        <w:gridCol w:w="638"/>
        <w:gridCol w:w="639"/>
        <w:gridCol w:w="641"/>
        <w:gridCol w:w="625"/>
        <w:gridCol w:w="334"/>
        <w:gridCol w:w="305"/>
        <w:gridCol w:w="641"/>
        <w:gridCol w:w="641"/>
        <w:gridCol w:w="641"/>
        <w:gridCol w:w="625"/>
        <w:gridCol w:w="336"/>
        <w:gridCol w:w="303"/>
        <w:gridCol w:w="641"/>
        <w:gridCol w:w="641"/>
        <w:gridCol w:w="641"/>
        <w:gridCol w:w="660"/>
      </w:tblGrid>
      <w:tr w14:paraId="47BDF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" w:hRule="atLeast"/>
        </w:trPr>
        <w:tc>
          <w:tcPr>
            <w:tcW w:w="1833" w:type="pct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35371D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行政复议</w:t>
            </w:r>
          </w:p>
        </w:tc>
        <w:tc>
          <w:tcPr>
            <w:tcW w:w="3166" w:type="pct"/>
            <w:gridSpan w:val="11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4C8FE4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行政诉讼</w:t>
            </w:r>
          </w:p>
        </w:tc>
      </w:tr>
      <w:tr w14:paraId="2DB1F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" w:hRule="atLeast"/>
        </w:trPr>
        <w:tc>
          <w:tcPr>
            <w:tcW w:w="333" w:type="pct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25FB1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结果维持</w:t>
            </w:r>
          </w:p>
        </w:tc>
        <w:tc>
          <w:tcPr>
            <w:tcW w:w="333" w:type="pct"/>
            <w:vMerge w:val="restar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0C4BC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结果纠正</w:t>
            </w:r>
          </w:p>
        </w:tc>
        <w:tc>
          <w:tcPr>
            <w:tcW w:w="333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ADD945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其他结果</w:t>
            </w:r>
          </w:p>
        </w:tc>
        <w:tc>
          <w:tcPr>
            <w:tcW w:w="334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17E68BD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尚未审结</w:t>
            </w:r>
          </w:p>
        </w:tc>
        <w:tc>
          <w:tcPr>
            <w:tcW w:w="326" w:type="pct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070B7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总计</w:t>
            </w:r>
          </w:p>
        </w:tc>
        <w:tc>
          <w:tcPr>
            <w:tcW w:w="1836" w:type="pct"/>
            <w:gridSpan w:val="7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DE903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未经复议直接起诉</w:t>
            </w:r>
          </w:p>
        </w:tc>
        <w:tc>
          <w:tcPr>
            <w:tcW w:w="1501" w:type="pct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54F584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复议后起诉</w:t>
            </w:r>
          </w:p>
        </w:tc>
      </w:tr>
      <w:tr w14:paraId="59990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8" w:hRule="atLeast"/>
        </w:trPr>
        <w:tc>
          <w:tcPr>
            <w:tcW w:w="333" w:type="pct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30E3D4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3" w:type="pct"/>
            <w:vMerge w:val="continue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276BCE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3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ED66DF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4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8F81FF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6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39780BC">
            <w:pPr>
              <w:spacing w:afterAutospacing="0" w:line="240" w:lineRule="auto"/>
              <w:jc w:val="center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632475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结果维持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3C74AA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结果纠正</w:t>
            </w:r>
          </w:p>
        </w:tc>
        <w:tc>
          <w:tcPr>
            <w:tcW w:w="3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750F8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其他结果</w:t>
            </w:r>
          </w:p>
        </w:tc>
        <w:tc>
          <w:tcPr>
            <w:tcW w:w="3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EBE2EA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尚未审结</w:t>
            </w:r>
          </w:p>
        </w:tc>
        <w:tc>
          <w:tcPr>
            <w:tcW w:w="32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964FB5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总计</w:t>
            </w:r>
          </w:p>
        </w:tc>
        <w:tc>
          <w:tcPr>
            <w:tcW w:w="333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10181F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结果维持</w:t>
            </w:r>
          </w:p>
        </w:tc>
        <w:tc>
          <w:tcPr>
            <w:tcW w:w="3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AA8FB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结果纠正</w:t>
            </w:r>
          </w:p>
        </w:tc>
        <w:tc>
          <w:tcPr>
            <w:tcW w:w="3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244B9F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其他结果</w:t>
            </w:r>
          </w:p>
        </w:tc>
        <w:tc>
          <w:tcPr>
            <w:tcW w:w="334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24B685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尚未审结</w:t>
            </w:r>
          </w:p>
        </w:tc>
        <w:tc>
          <w:tcPr>
            <w:tcW w:w="338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FCA12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总计</w:t>
            </w:r>
          </w:p>
        </w:tc>
      </w:tr>
      <w:tr w14:paraId="0965D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1" w:hRule="atLeast"/>
        </w:trPr>
        <w:tc>
          <w:tcPr>
            <w:tcW w:w="333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3BF66C8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F5DD1F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3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895BE7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96AB0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F62AAAE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803E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6BF25B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8F25247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625F9E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FB701E2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181812A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B122E81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6C3A26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4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6CD34C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38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F953259">
            <w:pPr>
              <w:pStyle w:val="3"/>
              <w:keepNext w:val="0"/>
              <w:keepLines w:val="0"/>
              <w:widowControl/>
              <w:suppressLineNumbers w:val="0"/>
              <w:wordWrap w:val="0"/>
              <w:spacing w:before="0" w:beforeAutospacing="0" w:afterAutospacing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2DFED57A">
      <w:pPr>
        <w:pStyle w:val="3"/>
        <w:keepNext w:val="0"/>
        <w:keepLines w:val="0"/>
        <w:widowControl/>
        <w:suppressLineNumbers w:val="0"/>
        <w:spacing w:before="225" w:beforeAutospacing="0" w:line="420" w:lineRule="atLeast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　　</w:t>
      </w:r>
      <w:r>
        <w:rPr>
          <w:rStyle w:val="6"/>
          <w:rFonts w:hint="eastAsia" w:ascii="黑体" w:hAnsi="黑体" w:eastAsia="黑体" w:cs="黑体"/>
          <w:sz w:val="28"/>
          <w:szCs w:val="28"/>
          <w:lang w:val="en-US" w:eastAsia="zh-CN"/>
        </w:rPr>
        <w:t>五、存在的主要问题及改进情况</w:t>
      </w:r>
    </w:p>
    <w:p w14:paraId="18674AA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firstLine="560" w:firstLineChars="200"/>
        <w:jc w:val="left"/>
        <w:textAlignment w:val="auto"/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2023年，我局在政府信息公开工作中虽然取得了一定的成绩，但与公众的需求还存在一些差距，主要是政府信息公开的内容还不够全面，公开的便民性还有待提高。为此，我局将进一步改进和完善政府信息公开工作。具体改进措施如下：</w:t>
      </w:r>
    </w:p>
    <w:p w14:paraId="0C9ABE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550" w:lineRule="exact"/>
        <w:ind w:firstLine="560" w:firstLineChars="200"/>
        <w:textAlignment w:val="auto"/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下一步，我局将改进和完善政府信息公开工作。积极推进政务公开工作，进一步扩大公开范围，细化公开内容，特别是涉及人民群众切身利益、社会关注度高的事项，要依法及时公开，提升政府信息公开便民性。将加强政府信息公开平台建设，优化信息公开流程，提高信息发布时效性，确保公众能够及时获取最新政府信息。加强培训和宣传，组织开展政府信息公开培训，提高工作人员的业务水平和服务意识，同时加大宣传力度，提高公众对政府信息公开工作的认知度和参与度。</w:t>
      </w:r>
    </w:p>
    <w:p w14:paraId="440BBC0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jc w:val="left"/>
        <w:textAlignment w:val="auto"/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　　六、</w:t>
      </w:r>
      <w:r>
        <w:rPr>
          <w:rStyle w:val="6"/>
          <w:rFonts w:hint="eastAsia" w:ascii="黑体" w:hAnsi="黑体" w:eastAsia="黑体" w:cs="黑体"/>
          <w:b/>
          <w:bCs/>
          <w:sz w:val="28"/>
          <w:szCs w:val="28"/>
        </w:rPr>
        <w:t>其他需要报告的事项</w:t>
      </w:r>
    </w:p>
    <w:p w14:paraId="6F2BBC0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firstLine="560" w:firstLineChars="200"/>
        <w:jc w:val="left"/>
        <w:textAlignment w:val="auto"/>
        <w:rPr>
          <w:rStyle w:val="6"/>
          <w:rFonts w:hint="eastAsia" w:ascii="仿宋" w:hAnsi="仿宋" w:eastAsia="仿宋" w:cs="仿宋"/>
          <w:sz w:val="28"/>
          <w:szCs w:val="28"/>
        </w:rPr>
      </w:pP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无其他需报告的事项</w:t>
      </w:r>
      <w:bookmarkStart w:id="0" w:name="_GoBack"/>
      <w:bookmarkEnd w:id="0"/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</w:rPr>
        <w:t>。</w:t>
      </w:r>
      <w:r>
        <w:rPr>
          <w:rStyle w:val="6"/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 xml:space="preserve">  </w:t>
      </w:r>
      <w:r>
        <w:rPr>
          <w:rStyle w:val="6"/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 </w:t>
      </w:r>
      <w:r>
        <w:rPr>
          <w:rStyle w:val="6"/>
          <w:rFonts w:hint="eastAsia" w:ascii="仿宋" w:hAnsi="仿宋" w:eastAsia="仿宋" w:cs="仿宋"/>
          <w:sz w:val="28"/>
          <w:szCs w:val="28"/>
        </w:rPr>
        <w:t>　　</w:t>
      </w:r>
    </w:p>
    <w:p w14:paraId="0BB2A005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firstLine="481"/>
        <w:jc w:val="right"/>
        <w:textAlignment w:val="auto"/>
        <w:rPr>
          <w:rStyle w:val="6"/>
          <w:rFonts w:hint="eastAsia" w:ascii="仿宋" w:hAnsi="仿宋" w:eastAsia="仿宋" w:cs="仿宋"/>
          <w:sz w:val="28"/>
          <w:szCs w:val="28"/>
        </w:rPr>
      </w:pPr>
      <w:r>
        <w:rPr>
          <w:rStyle w:val="6"/>
          <w:rFonts w:hint="eastAsia" w:ascii="仿宋" w:hAnsi="仿宋" w:eastAsia="仿宋" w:cs="仿宋"/>
          <w:sz w:val="28"/>
          <w:szCs w:val="28"/>
        </w:rPr>
        <w:t>202</w:t>
      </w:r>
      <w:r>
        <w:rPr>
          <w:rStyle w:val="6"/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Style w:val="6"/>
          <w:rFonts w:hint="eastAsia" w:ascii="仿宋" w:hAnsi="仿宋" w:eastAsia="仿宋" w:cs="仿宋"/>
          <w:sz w:val="28"/>
          <w:szCs w:val="28"/>
        </w:rPr>
        <w:t>年1月</w:t>
      </w:r>
      <w:r>
        <w:rPr>
          <w:rStyle w:val="6"/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Style w:val="6"/>
          <w:rFonts w:hint="eastAsia" w:ascii="仿宋" w:hAnsi="仿宋" w:eastAsia="仿宋" w:cs="仿宋"/>
          <w:sz w:val="28"/>
          <w:szCs w:val="28"/>
        </w:rPr>
        <w:t>日</w:t>
      </w:r>
    </w:p>
    <w:p w14:paraId="2A9C24E8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firstLine="560" w:firstLineChars="200"/>
        <w:jc w:val="both"/>
        <w:textAlignment w:val="auto"/>
        <w:rPr>
          <w:rFonts w:hint="eastAsia" w:ascii="仿宋" w:hAnsi="仿宋" w:eastAsia="仿宋" w:cs="仿宋"/>
          <w:color w:val="000000"/>
          <w:sz w:val="28"/>
          <w:szCs w:val="28"/>
          <w:u w:val="none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电子版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梅县区交通运输局202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000000"/>
          <w:sz w:val="28"/>
          <w:szCs w:val="28"/>
          <w:u w:val="none"/>
        </w:rPr>
        <w:t>年政府信息公开工作年度报告.docx</w:t>
      </w:r>
    </w:p>
    <w:sectPr>
      <w:pgSz w:w="11906" w:h="16838"/>
      <w:pgMar w:top="1417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A7EBE79-7BD0-4C61-9C26-468EFDD5E9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8F00BC2-8FB0-4E33-A2BC-C11A9E3D741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E2EAF28-6941-4B98-A83A-B8EDB21DEA4B}"/>
  </w:font>
  <w:font w:name="Helvetica">
    <w:altName w:val="Helvetica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 LT Pro">
    <w:panose1 w:val="020B0504020202020204"/>
    <w:charset w:val="00"/>
    <w:family w:val="auto"/>
    <w:pitch w:val="default"/>
    <w:sig w:usb0="A00002AF" w:usb1="5000204A" w:usb2="00000000" w:usb3="00000000" w:csb0="20000097" w:csb1="00000000"/>
    <w:embedRegular r:id="rId4" w:fontKey="{24407079-6840-4F16-9D84-3A6629A1698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2ZDE4NWFmYWM3NzIyZTdlMzE1YjE4MTYwOWIwMzIifQ=="/>
    <w:docVar w:name="KSO_WPS_MARK_KEY" w:val="1349d56d-4fde-45ab-bfd3-dbcd245ee33b"/>
  </w:docVars>
  <w:rsids>
    <w:rsidRoot w:val="00000000"/>
    <w:rsid w:val="040E6DC1"/>
    <w:rsid w:val="07B93C79"/>
    <w:rsid w:val="07C03DF5"/>
    <w:rsid w:val="0B6A3733"/>
    <w:rsid w:val="10FF460C"/>
    <w:rsid w:val="142A5CFB"/>
    <w:rsid w:val="14661880"/>
    <w:rsid w:val="15870933"/>
    <w:rsid w:val="18053987"/>
    <w:rsid w:val="193F788A"/>
    <w:rsid w:val="1DB25993"/>
    <w:rsid w:val="21EE53C1"/>
    <w:rsid w:val="252C0A49"/>
    <w:rsid w:val="25DC78A9"/>
    <w:rsid w:val="280B44BC"/>
    <w:rsid w:val="28381C5F"/>
    <w:rsid w:val="29837EA3"/>
    <w:rsid w:val="2BD0497A"/>
    <w:rsid w:val="31F91A9C"/>
    <w:rsid w:val="34D53AEB"/>
    <w:rsid w:val="388163D9"/>
    <w:rsid w:val="3A4164A5"/>
    <w:rsid w:val="3B581673"/>
    <w:rsid w:val="3CED2CE5"/>
    <w:rsid w:val="3F47212A"/>
    <w:rsid w:val="42CB6BCE"/>
    <w:rsid w:val="43E94CD4"/>
    <w:rsid w:val="48B25D5C"/>
    <w:rsid w:val="4CDE0D42"/>
    <w:rsid w:val="4E8636A2"/>
    <w:rsid w:val="536835E1"/>
    <w:rsid w:val="5B7C0D12"/>
    <w:rsid w:val="5EB12C47"/>
    <w:rsid w:val="60E247BB"/>
    <w:rsid w:val="61E37639"/>
    <w:rsid w:val="650D2C1F"/>
    <w:rsid w:val="661D2118"/>
    <w:rsid w:val="6925150E"/>
    <w:rsid w:val="6E056D59"/>
    <w:rsid w:val="6E242F18"/>
    <w:rsid w:val="71BF23F4"/>
    <w:rsid w:val="72623AC0"/>
    <w:rsid w:val="72E46AF7"/>
    <w:rsid w:val="7824392A"/>
    <w:rsid w:val="784A77CC"/>
    <w:rsid w:val="788E3E04"/>
    <w:rsid w:val="7990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autoRedefine/>
    <w:qFormat/>
    <w:uiPriority w:val="0"/>
    <w:rPr>
      <w:b/>
    </w:rPr>
  </w:style>
  <w:style w:type="character" w:styleId="7">
    <w:name w:val="Hyperlink"/>
    <w:basedOn w:val="5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914</Words>
  <Characters>935</Characters>
  <Lines>0</Lines>
  <Paragraphs>0</Paragraphs>
  <TotalTime>26</TotalTime>
  <ScaleCrop>false</ScaleCrop>
  <LinksUpToDate>false</LinksUpToDate>
  <CharactersWithSpaces>957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2022-11-10T08:28:00Z</dcterms:created>
  <dc:creator>Administrator</dc:creator>
  <cp:lastModifiedBy>Administrator</cp:lastModifiedBy>
  <dcterms:modified xsi:type="dcterms:W3CDTF">2026-05-28T02:54:37Z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E4F8AD0F82384BD195CC1EA59590F074</vt:lpwstr>
  </property>
  <property fmtid="{D5CDD505-2E9C-101B-9397-08002B2CF9AE}" pid="4" name="KSOTemplateDocerSaveRecord">
    <vt:lpwstr>eyJoZGlkIjoiOTliY2ZmODc1OThiMjBjNzY0MDQwYzJiYzJiMzc4MDkiLCJ1c2VySWQiOiI1MzE3MzI5ODEifQ==</vt:lpwstr>
  </property>
</Properties>
</file>