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49274" w14:textId="77777777" w:rsidR="00E87F30" w:rsidRDefault="00E87F30">
      <w:pPr>
        <w:pStyle w:val="a4"/>
      </w:pPr>
    </w:p>
    <w:p w14:paraId="16D924C1" w14:textId="4347909E" w:rsidR="00E87F30" w:rsidRDefault="0007756B" w:rsidP="000D5B51">
      <w:pPr>
        <w:pStyle w:val="a3"/>
        <w:rPr>
          <w:rFonts w:hint="default"/>
        </w:rPr>
      </w:pPr>
      <w:r>
        <w:t>《</w:t>
      </w:r>
      <w:r w:rsidR="00B437C7" w:rsidRPr="00B437C7">
        <w:t>关于梅县区第四次全国文物普查第二批不可移动文物的公示</w:t>
      </w:r>
      <w:r>
        <w:t>》政策解读</w:t>
      </w:r>
    </w:p>
    <w:p w14:paraId="2449D198" w14:textId="77777777" w:rsidR="00E87F30" w:rsidRDefault="00E87F30">
      <w:pPr>
        <w:pStyle w:val="a3"/>
        <w:rPr>
          <w:rFonts w:hint="default"/>
        </w:rPr>
      </w:pPr>
    </w:p>
    <w:p w14:paraId="0EF44903" w14:textId="4FF50E19" w:rsidR="00E87F30" w:rsidRDefault="0007756B" w:rsidP="006F2C2D">
      <w:pPr>
        <w:pStyle w:val="ad"/>
        <w:numPr>
          <w:ilvl w:val="0"/>
          <w:numId w:val="1"/>
        </w:numPr>
        <w:ind w:firstLineChars="0"/>
        <w:rPr>
          <w:rFonts w:hint="default"/>
        </w:rPr>
      </w:pPr>
      <w:r>
        <w:t>公示背景及目的</w:t>
      </w:r>
    </w:p>
    <w:p w14:paraId="0763E294" w14:textId="7DC66BA5" w:rsidR="00B437C7" w:rsidRDefault="00B437C7" w:rsidP="00B437C7">
      <w:pPr>
        <w:pStyle w:val="a4"/>
        <w:ind w:firstLineChars="0"/>
      </w:pPr>
      <w:r w:rsidRPr="00B437C7">
        <w:rPr>
          <w:rFonts w:hint="eastAsia"/>
        </w:rPr>
        <w:t>根据&lt;&lt;中华人民共和国文物保护法&gt;&gt;(2024年修订)、国家文物局关于&lt;&lt;尚未核定公布为文物保护单位的不可移动文物保护管理暂行规定&gt;&gt;(文物保发〔2021〕37号)规定，为贯彻落实&lt;&lt;第四次全国文物普查总体方案&gt;&gt;&lt;&lt;广东省第四次全国文物普查实施方案&gt;&gt;精神，按照第四次全国文物普查相关规定及上级普查办要求，经征集文物线索、实地调查、数据采集、专家审核等程序，我区拟将侯山墓（三普点）、承庆庄（新发现文物线索）公布为不可移动文物</w:t>
      </w:r>
      <w:r w:rsidR="00FB5C75">
        <w:rPr>
          <w:rFonts w:hint="eastAsia"/>
        </w:rPr>
        <w:t>。</w:t>
      </w:r>
      <w:bookmarkStart w:id="0" w:name="_GoBack"/>
      <w:bookmarkEnd w:id="0"/>
    </w:p>
    <w:p w14:paraId="62420D33" w14:textId="53C9FFB7" w:rsidR="00E87F30" w:rsidRPr="00C34CE1" w:rsidRDefault="0007756B" w:rsidP="00B437C7">
      <w:pPr>
        <w:pStyle w:val="a4"/>
        <w:numPr>
          <w:ilvl w:val="0"/>
          <w:numId w:val="1"/>
        </w:numPr>
        <w:ind w:firstLineChars="0"/>
      </w:pPr>
      <w:r w:rsidRPr="006F2C2D">
        <w:rPr>
          <w:rFonts w:ascii="黑体" w:eastAsia="黑体" w:hAnsi="黑体" w:cs="黑体" w:hint="eastAsia"/>
          <w:szCs w:val="40"/>
        </w:rPr>
        <w:t>公示依据</w:t>
      </w:r>
    </w:p>
    <w:p w14:paraId="7FE7528B" w14:textId="77777777" w:rsidR="00646D37" w:rsidRPr="00521C31" w:rsidRDefault="00C34CE1" w:rsidP="009340D4">
      <w:pPr>
        <w:pStyle w:val="a4"/>
        <w:ind w:firstLine="643"/>
        <w:rPr>
          <w:rFonts w:hAnsi="黑体" w:cs="黑体"/>
          <w:b/>
          <w:szCs w:val="40"/>
        </w:rPr>
      </w:pPr>
      <w:r w:rsidRPr="00521C31">
        <w:rPr>
          <w:rFonts w:hAnsi="黑体" w:cs="黑体" w:hint="eastAsia"/>
          <w:b/>
          <w:szCs w:val="40"/>
        </w:rPr>
        <w:t>根据《中华人民共和国文物保护法》</w:t>
      </w:r>
    </w:p>
    <w:p w14:paraId="3265E105" w14:textId="4CC70DB0" w:rsidR="00210885" w:rsidRDefault="005109E6" w:rsidP="006206D2">
      <w:pPr>
        <w:pStyle w:val="a4"/>
        <w:ind w:firstLine="643"/>
        <w:rPr>
          <w:rFonts w:hAnsi="黑体" w:cs="黑体"/>
          <w:szCs w:val="40"/>
        </w:rPr>
      </w:pPr>
      <w:r w:rsidRPr="005109E6">
        <w:rPr>
          <w:rFonts w:hAnsi="黑体" w:cs="黑体" w:hint="eastAsia"/>
          <w:b/>
          <w:szCs w:val="40"/>
        </w:rPr>
        <w:t>第二十</w:t>
      </w:r>
      <w:r w:rsidR="00210885">
        <w:rPr>
          <w:rFonts w:hAnsi="黑体" w:cs="黑体" w:hint="eastAsia"/>
          <w:b/>
          <w:szCs w:val="40"/>
        </w:rPr>
        <w:t>三</w:t>
      </w:r>
      <w:r w:rsidRPr="005109E6">
        <w:rPr>
          <w:rFonts w:hAnsi="黑体" w:cs="黑体" w:hint="eastAsia"/>
          <w:b/>
          <w:szCs w:val="40"/>
        </w:rPr>
        <w:t xml:space="preserve">条 </w:t>
      </w:r>
      <w:r w:rsidR="00210885" w:rsidRPr="00210885">
        <w:rPr>
          <w:rFonts w:hAnsi="黑体" w:cs="黑体" w:hint="eastAsia"/>
          <w:szCs w:val="40"/>
        </w:rPr>
        <w:t>未定级不可移动文物，由县级人民政府文物行政部门登记，报本级人民政府和上一级人民政府文物行政部门备案，并向社会公布。</w:t>
      </w:r>
    </w:p>
    <w:p w14:paraId="5C6C7DB5" w14:textId="154D5601" w:rsidR="00646D37" w:rsidRPr="00521C31" w:rsidRDefault="009340D4" w:rsidP="009340D4">
      <w:pPr>
        <w:pStyle w:val="a4"/>
        <w:ind w:firstLine="643"/>
        <w:rPr>
          <w:b/>
        </w:rPr>
      </w:pPr>
      <w:r w:rsidRPr="00521C31">
        <w:rPr>
          <w:rFonts w:hAnsi="黑体" w:cs="黑体" w:hint="eastAsia"/>
          <w:b/>
          <w:szCs w:val="40"/>
        </w:rPr>
        <w:t>根据</w:t>
      </w:r>
      <w:r w:rsidR="00A36EF9" w:rsidRPr="00521C31">
        <w:rPr>
          <w:rFonts w:hAnsi="黑体" w:cs="黑体" w:hint="eastAsia"/>
          <w:b/>
          <w:szCs w:val="40"/>
        </w:rPr>
        <w:t>&lt;&lt;尚未核定公布为文物保护单位的不可移动文物保护管理暂行规定&gt;&gt;</w:t>
      </w:r>
    </w:p>
    <w:p w14:paraId="201B246C" w14:textId="28C84941" w:rsidR="00A36EF9" w:rsidRPr="00A36EF9" w:rsidRDefault="00A36EF9" w:rsidP="00A36EF9">
      <w:pPr>
        <w:pStyle w:val="a4"/>
        <w:ind w:firstLine="643"/>
        <w:rPr>
          <w:rFonts w:hAnsi="黑体" w:cs="黑体"/>
          <w:szCs w:val="40"/>
        </w:rPr>
      </w:pPr>
      <w:r w:rsidRPr="00A36EF9">
        <w:rPr>
          <w:rFonts w:hAnsi="黑体" w:cs="黑体" w:hint="eastAsia"/>
          <w:b/>
          <w:szCs w:val="40"/>
        </w:rPr>
        <w:t>第四条</w:t>
      </w:r>
      <w:r w:rsidRPr="00A36EF9">
        <w:rPr>
          <w:rFonts w:hAnsi="黑体" w:cs="黑体" w:hint="eastAsia"/>
          <w:szCs w:val="40"/>
        </w:rPr>
        <w:t>县级文物主管部门应当定期开展文物调查，按照相关规定及时认定和登记公布新发现的文物。</w:t>
      </w:r>
    </w:p>
    <w:p w14:paraId="6C6FAEF7" w14:textId="52BA6AFC" w:rsidR="009340D4" w:rsidRDefault="00A36EF9" w:rsidP="00A36EF9">
      <w:pPr>
        <w:pStyle w:val="a4"/>
        <w:rPr>
          <w:rFonts w:hAnsi="黑体" w:cs="黑体"/>
          <w:szCs w:val="40"/>
        </w:rPr>
      </w:pPr>
      <w:r w:rsidRPr="00A36EF9">
        <w:rPr>
          <w:rFonts w:hAnsi="黑体" w:cs="黑体" w:hint="eastAsia"/>
          <w:szCs w:val="40"/>
        </w:rPr>
        <w:lastRenderedPageBreak/>
        <w:t>登记信息应当包括文物名称、构成、类型、年代、地址、范围、所有人和使用人，保存状况、使用情况以及文物简介等。</w:t>
      </w:r>
    </w:p>
    <w:p w14:paraId="54A724EE" w14:textId="0A6598D6" w:rsidR="00A36EF9" w:rsidRDefault="00A36EF9" w:rsidP="00A36EF9">
      <w:pPr>
        <w:pStyle w:val="a4"/>
        <w:ind w:firstLine="643"/>
        <w:rPr>
          <w:rFonts w:hAnsi="黑体" w:cs="黑体"/>
          <w:szCs w:val="40"/>
        </w:rPr>
      </w:pPr>
      <w:r w:rsidRPr="00A36EF9">
        <w:rPr>
          <w:rFonts w:hAnsi="黑体" w:cs="黑体" w:hint="eastAsia"/>
          <w:b/>
          <w:szCs w:val="40"/>
        </w:rPr>
        <w:t>第五条</w:t>
      </w:r>
      <w:r w:rsidRPr="00A36EF9">
        <w:rPr>
          <w:rFonts w:hAnsi="黑体" w:cs="黑体" w:hint="eastAsia"/>
          <w:szCs w:val="40"/>
        </w:rPr>
        <w:t>县级文物主管部门应当每年核查更新尚未核定公布为文物保护单位的不可移动文物名录和登记信息,将相关情况向社会公布,并报省、市级文物主管部门备案。</w:t>
      </w:r>
    </w:p>
    <w:p w14:paraId="76A5065B" w14:textId="6B4C6223" w:rsidR="00A36EF9" w:rsidRPr="009340D4" w:rsidRDefault="00A36EF9" w:rsidP="00A36EF9">
      <w:pPr>
        <w:pStyle w:val="a4"/>
        <w:ind w:firstLine="643"/>
        <w:rPr>
          <w:rFonts w:hAnsi="黑体" w:cs="黑体"/>
          <w:b/>
          <w:szCs w:val="40"/>
        </w:rPr>
      </w:pPr>
      <w:r w:rsidRPr="00A36EF9">
        <w:rPr>
          <w:rFonts w:hAnsi="黑体" w:cs="黑体" w:hint="eastAsia"/>
          <w:b/>
          <w:szCs w:val="40"/>
        </w:rPr>
        <w:t>第七条</w:t>
      </w:r>
      <w:r w:rsidRPr="00A36EF9">
        <w:rPr>
          <w:rFonts w:hAnsi="黑体" w:cs="黑体" w:hint="eastAsia"/>
          <w:szCs w:val="40"/>
        </w:rPr>
        <w:t>尚未核定公布为文物保护单位的不可移动文物自登记公布之日起1年内，由县级文物主管部门建立记录档案,做出标志或者说明,制定具体保护措施,并公告施行。</w:t>
      </w:r>
    </w:p>
    <w:p w14:paraId="59494A91" w14:textId="2274BBB4" w:rsidR="00E87F30" w:rsidRDefault="00E87F30" w:rsidP="00177AC0">
      <w:pPr>
        <w:pStyle w:val="a4"/>
      </w:pPr>
    </w:p>
    <w:sectPr w:rsidR="00E87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1DD45" w14:textId="77777777" w:rsidR="00E96168" w:rsidRDefault="00E96168" w:rsidP="00E96168">
      <w:r>
        <w:separator/>
      </w:r>
    </w:p>
  </w:endnote>
  <w:endnote w:type="continuationSeparator" w:id="0">
    <w:p w14:paraId="67C52CF3" w14:textId="77777777" w:rsidR="00E96168" w:rsidRDefault="00E96168" w:rsidP="00E9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1" w:usb1="080E0000" w:usb2="00000000" w:usb3="00000000" w:csb0="00040000" w:csb1="00000000"/>
  </w:font>
  <w:font w:name="方正仿宋_GBK">
    <w:altName w:val="Arial Unicode MS"/>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134CB" w14:textId="77777777" w:rsidR="00E96168" w:rsidRDefault="00E96168" w:rsidP="00E96168">
      <w:r>
        <w:separator/>
      </w:r>
    </w:p>
  </w:footnote>
  <w:footnote w:type="continuationSeparator" w:id="0">
    <w:p w14:paraId="05161CC0" w14:textId="77777777" w:rsidR="00E96168" w:rsidRDefault="00E96168" w:rsidP="00E961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9E431E"/>
    <w:multiLevelType w:val="singleLevel"/>
    <w:tmpl w:val="3AEE1F76"/>
    <w:lvl w:ilvl="0">
      <w:start w:val="1"/>
      <w:numFmt w:val="japaneseCounting"/>
      <w:suff w:val="nothing"/>
      <w:lvlText w:val="%1、"/>
      <w:lvlJc w:val="left"/>
      <w:rPr>
        <w:rFonts w:ascii="黑体" w:eastAsia="黑体" w:hAnsi="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0E3B86"/>
    <w:rsid w:val="0007756B"/>
    <w:rsid w:val="00087A22"/>
    <w:rsid w:val="000D5B51"/>
    <w:rsid w:val="00177AC0"/>
    <w:rsid w:val="00210885"/>
    <w:rsid w:val="0040515A"/>
    <w:rsid w:val="005109E6"/>
    <w:rsid w:val="00521C31"/>
    <w:rsid w:val="006206D2"/>
    <w:rsid w:val="00646D37"/>
    <w:rsid w:val="006F2C2D"/>
    <w:rsid w:val="00836365"/>
    <w:rsid w:val="009340D4"/>
    <w:rsid w:val="009A5752"/>
    <w:rsid w:val="00A36EF9"/>
    <w:rsid w:val="00B437C7"/>
    <w:rsid w:val="00C34CE1"/>
    <w:rsid w:val="00DE2C05"/>
    <w:rsid w:val="00E87F30"/>
    <w:rsid w:val="00E96168"/>
    <w:rsid w:val="00FB5C75"/>
    <w:rsid w:val="05E36A5E"/>
    <w:rsid w:val="06077C78"/>
    <w:rsid w:val="066E46A2"/>
    <w:rsid w:val="0A3D2FFC"/>
    <w:rsid w:val="0C274582"/>
    <w:rsid w:val="0C6A2847"/>
    <w:rsid w:val="0F3822FC"/>
    <w:rsid w:val="114977A0"/>
    <w:rsid w:val="17D14183"/>
    <w:rsid w:val="17E22AF6"/>
    <w:rsid w:val="23E128D0"/>
    <w:rsid w:val="29A809B5"/>
    <w:rsid w:val="29BA515E"/>
    <w:rsid w:val="2C441B08"/>
    <w:rsid w:val="2CCF6E9D"/>
    <w:rsid w:val="2F1208A3"/>
    <w:rsid w:val="2F9430CF"/>
    <w:rsid w:val="2FBD7F0A"/>
    <w:rsid w:val="328423A5"/>
    <w:rsid w:val="32BD4FB4"/>
    <w:rsid w:val="39327146"/>
    <w:rsid w:val="41274847"/>
    <w:rsid w:val="422E4822"/>
    <w:rsid w:val="4322651E"/>
    <w:rsid w:val="557C1D61"/>
    <w:rsid w:val="591B4D74"/>
    <w:rsid w:val="59967ADE"/>
    <w:rsid w:val="59F02FE1"/>
    <w:rsid w:val="5AEB0ABF"/>
    <w:rsid w:val="626970D8"/>
    <w:rsid w:val="656A0F4D"/>
    <w:rsid w:val="661C0606"/>
    <w:rsid w:val="66752641"/>
    <w:rsid w:val="67E142BB"/>
    <w:rsid w:val="722039E2"/>
    <w:rsid w:val="733B57F7"/>
    <w:rsid w:val="770E3B86"/>
    <w:rsid w:val="78A5698E"/>
    <w:rsid w:val="7B000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1F0E3F7"/>
  <w15:docId w15:val="{B68332DC-55E2-4634-B724-28C95125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eastAsia="仿宋_GB2312"/>
      <w:kern w:val="2"/>
      <w:sz w:val="32"/>
      <w:szCs w:val="24"/>
    </w:rPr>
  </w:style>
  <w:style w:type="paragraph" w:styleId="1">
    <w:name w:val="heading 1"/>
    <w:basedOn w:val="a"/>
    <w:next w:val="a"/>
    <w:qFormat/>
    <w:pPr>
      <w:keepNext/>
      <w:keepLines/>
      <w:spacing w:before="340" w:after="330" w:line="576" w:lineRule="auto"/>
      <w:outlineLvl w:val="0"/>
    </w:pPr>
    <w:rPr>
      <w:rFonts w:eastAsia="黑体"/>
      <w:kern w:val="44"/>
    </w:rPr>
  </w:style>
  <w:style w:type="paragraph" w:styleId="2">
    <w:name w:val="heading 2"/>
    <w:basedOn w:val="a"/>
    <w:next w:val="a"/>
    <w:semiHidden/>
    <w:unhideWhenUsed/>
    <w:qFormat/>
    <w:pPr>
      <w:keepNext/>
      <w:keepLines/>
      <w:spacing w:before="260" w:after="260" w:line="413" w:lineRule="auto"/>
      <w:outlineLvl w:val="1"/>
    </w:pPr>
    <w:rPr>
      <w:rFonts w:ascii="Arial" w:eastAsia="楷体" w:hAnsi="Arial"/>
    </w:rPr>
  </w:style>
  <w:style w:type="paragraph" w:styleId="3">
    <w:name w:val="heading 3"/>
    <w:basedOn w:val="a"/>
    <w:next w:val="a"/>
    <w:semiHidden/>
    <w:unhideWhenUsed/>
    <w:qFormat/>
    <w:pPr>
      <w:keepNext/>
      <w:keepLines/>
      <w:spacing w:before="260" w:after="260" w:line="413"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标题"/>
    <w:basedOn w:val="a"/>
    <w:autoRedefine/>
    <w:qFormat/>
    <w:pPr>
      <w:spacing w:line="480" w:lineRule="exact"/>
      <w:jc w:val="center"/>
    </w:pPr>
    <w:rPr>
      <w:rFonts w:ascii="方正小标宋简体" w:eastAsia="方正小标宋简体" w:hAnsi="方正小标宋简体" w:hint="eastAsia"/>
      <w:kern w:val="0"/>
      <w:sz w:val="44"/>
      <w:szCs w:val="44"/>
    </w:rPr>
  </w:style>
  <w:style w:type="paragraph" w:customStyle="1" w:styleId="a4">
    <w:name w:val="公文正文"/>
    <w:basedOn w:val="a"/>
    <w:autoRedefine/>
    <w:qFormat/>
    <w:pPr>
      <w:spacing w:line="600" w:lineRule="exact"/>
      <w:ind w:firstLineChars="200" w:firstLine="640"/>
    </w:pPr>
    <w:rPr>
      <w:rFonts w:ascii="仿宋_GB2312" w:hAnsi="仿宋_GB2312" w:cs="Times New Roman"/>
      <w:szCs w:val="32"/>
    </w:rPr>
  </w:style>
  <w:style w:type="paragraph" w:customStyle="1" w:styleId="a5">
    <w:name w:val="公文落款"/>
    <w:basedOn w:val="a"/>
    <w:autoRedefine/>
    <w:qFormat/>
    <w:pPr>
      <w:spacing w:line="600" w:lineRule="exact"/>
      <w:ind w:firstLineChars="200" w:firstLine="640"/>
      <w:jc w:val="right"/>
    </w:pPr>
    <w:rPr>
      <w:rFonts w:ascii="仿宋_GB2312" w:hAnsi="仿宋_GB2312" w:hint="eastAsia"/>
      <w:szCs w:val="32"/>
    </w:rPr>
  </w:style>
  <w:style w:type="paragraph" w:customStyle="1" w:styleId="a6">
    <w:name w:val="时间"/>
    <w:basedOn w:val="a"/>
    <w:autoRedefine/>
    <w:qFormat/>
    <w:pPr>
      <w:spacing w:line="480" w:lineRule="exact"/>
      <w:ind w:firstLineChars="1500" w:firstLine="4800"/>
    </w:pPr>
    <w:rPr>
      <w:rFonts w:ascii="仿宋_GB2312" w:hAnsi="仿宋_GB2312" w:hint="eastAsia"/>
      <w:szCs w:val="32"/>
    </w:rPr>
  </w:style>
  <w:style w:type="paragraph" w:customStyle="1" w:styleId="a7">
    <w:name w:val="仿宋三号"/>
    <w:basedOn w:val="a"/>
    <w:autoRedefine/>
    <w:qFormat/>
    <w:rPr>
      <w:rFonts w:ascii="仿宋_GB2312" w:hAnsi="仿宋_GB2312" w:cs="仿宋_GB2312" w:hint="eastAsia"/>
      <w:szCs w:val="32"/>
    </w:rPr>
  </w:style>
  <w:style w:type="paragraph" w:customStyle="1" w:styleId="228">
    <w:name w:val="正文2（28磅）"/>
    <w:basedOn w:val="a"/>
    <w:autoRedefine/>
    <w:qFormat/>
    <w:pPr>
      <w:spacing w:line="560" w:lineRule="exact"/>
      <w:ind w:firstLineChars="200" w:firstLine="640"/>
    </w:pPr>
    <w:rPr>
      <w:rFonts w:ascii="仿宋_GB2312" w:hAnsi="仿宋_GB2312" w:cs="仿宋_GB2312" w:hint="eastAsia"/>
      <w:szCs w:val="32"/>
    </w:rPr>
  </w:style>
  <w:style w:type="paragraph" w:customStyle="1" w:styleId="a8">
    <w:name w:val="便签头"/>
    <w:basedOn w:val="a"/>
    <w:autoRedefine/>
    <w:qFormat/>
    <w:pPr>
      <w:jc w:val="center"/>
    </w:pPr>
    <w:rPr>
      <w:rFonts w:ascii="方正小标宋简体" w:eastAsia="方正小标宋简体" w:hAnsi="方正小标宋简体" w:cs="方正小标宋简体" w:hint="eastAsia"/>
      <w:color w:val="FF0000"/>
      <w:sz w:val="52"/>
      <w:szCs w:val="52"/>
    </w:rPr>
  </w:style>
  <w:style w:type="paragraph" w:customStyle="1" w:styleId="a9">
    <w:name w:val="封面"/>
    <w:basedOn w:val="a"/>
    <w:autoRedefine/>
    <w:qFormat/>
    <w:pPr>
      <w:jc w:val="center"/>
    </w:pPr>
    <w:rPr>
      <w:rFonts w:ascii="宋体" w:eastAsia="宋体" w:hAnsi="宋体" w:cs="宋体" w:hint="eastAsia"/>
      <w:b/>
      <w:bCs/>
      <w:sz w:val="72"/>
      <w:szCs w:val="72"/>
    </w:rPr>
  </w:style>
  <w:style w:type="paragraph" w:customStyle="1" w:styleId="aa">
    <w:name w:val="发文字号"/>
    <w:basedOn w:val="a"/>
    <w:link w:val="Char"/>
    <w:autoRedefine/>
    <w:qFormat/>
    <w:pPr>
      <w:jc w:val="right"/>
    </w:pPr>
    <w:rPr>
      <w:rFonts w:ascii="仿宋_GB2312" w:hAnsi="仿宋_GB2312" w:cs="仿宋_GB2312" w:hint="eastAsia"/>
      <w:szCs w:val="36"/>
    </w:rPr>
  </w:style>
  <w:style w:type="paragraph" w:customStyle="1" w:styleId="ab">
    <w:name w:val="签发人姓名"/>
    <w:basedOn w:val="a"/>
    <w:qFormat/>
    <w:pPr>
      <w:jc w:val="right"/>
    </w:pPr>
    <w:rPr>
      <w:rFonts w:ascii="楷体_GB2312" w:eastAsia="楷体_GB2312" w:hAnsi="楷体_GB2312" w:cs="楷体_GB2312" w:hint="eastAsia"/>
      <w:sz w:val="36"/>
      <w:szCs w:val="36"/>
    </w:rPr>
  </w:style>
  <w:style w:type="paragraph" w:customStyle="1" w:styleId="ac">
    <w:name w:val="附件  黑三"/>
    <w:basedOn w:val="a"/>
    <w:qFormat/>
    <w:pPr>
      <w:jc w:val="left"/>
    </w:pPr>
    <w:rPr>
      <w:rFonts w:ascii="黑体" w:eastAsia="黑体" w:hAnsi="黑体" w:cs="黑体" w:hint="eastAsia"/>
      <w:szCs w:val="32"/>
    </w:rPr>
  </w:style>
  <w:style w:type="paragraph" w:customStyle="1" w:styleId="ad">
    <w:name w:val="一"/>
    <w:basedOn w:val="a"/>
    <w:qFormat/>
    <w:pPr>
      <w:ind w:firstLineChars="200" w:firstLine="420"/>
    </w:pPr>
    <w:rPr>
      <w:rFonts w:ascii="黑体" w:eastAsia="黑体" w:hAnsi="黑体" w:cs="黑体" w:hint="eastAsia"/>
      <w:szCs w:val="40"/>
    </w:rPr>
  </w:style>
  <w:style w:type="paragraph" w:customStyle="1" w:styleId="ae">
    <w:name w:val="（一）"/>
    <w:basedOn w:val="a"/>
    <w:qFormat/>
    <w:pPr>
      <w:ind w:firstLineChars="200" w:firstLine="420"/>
    </w:pPr>
    <w:rPr>
      <w:rFonts w:ascii="楷体_GB2312" w:eastAsia="楷体_GB2312" w:hAnsi="楷体_GB2312" w:cs="楷体_GB2312" w:hint="eastAsia"/>
      <w:szCs w:val="40"/>
    </w:rPr>
  </w:style>
  <w:style w:type="paragraph" w:customStyle="1" w:styleId="20">
    <w:name w:val="公文标题2"/>
    <w:basedOn w:val="a"/>
    <w:qFormat/>
    <w:pPr>
      <w:jc w:val="center"/>
    </w:pPr>
    <w:rPr>
      <w:rFonts w:ascii="方正小标宋_GBK" w:eastAsia="方正小标宋_GBK" w:hAnsi="方正小标宋_GBK" w:cs="方正小标宋_GBK" w:hint="eastAsia"/>
      <w:sz w:val="36"/>
      <w:szCs w:val="36"/>
    </w:rPr>
  </w:style>
  <w:style w:type="paragraph" w:customStyle="1" w:styleId="21">
    <w:name w:val="公文正文2"/>
    <w:basedOn w:val="a"/>
    <w:qFormat/>
    <w:pPr>
      <w:ind w:firstLineChars="200" w:firstLine="560"/>
    </w:pPr>
    <w:rPr>
      <w:rFonts w:ascii="方正仿宋_GBK" w:eastAsia="方正仿宋_GBK" w:hAnsi="方正仿宋_GBK" w:cs="方正仿宋_GBK" w:hint="eastAsia"/>
      <w:szCs w:val="32"/>
    </w:rPr>
  </w:style>
  <w:style w:type="paragraph" w:customStyle="1" w:styleId="af">
    <w:name w:val="主送单位"/>
    <w:basedOn w:val="a"/>
    <w:autoRedefine/>
    <w:qFormat/>
    <w:pPr>
      <w:spacing w:line="480" w:lineRule="exact"/>
    </w:pPr>
    <w:rPr>
      <w:rFonts w:ascii="仿宋_GB2312" w:hAnsi="仿宋_GB2312" w:hint="eastAsia"/>
      <w:szCs w:val="32"/>
    </w:rPr>
  </w:style>
  <w:style w:type="paragraph" w:customStyle="1" w:styleId="30">
    <w:name w:val="30磅 公文正文"/>
    <w:basedOn w:val="a"/>
    <w:qFormat/>
    <w:pPr>
      <w:widowControl/>
      <w:spacing w:line="600" w:lineRule="exact"/>
      <w:ind w:firstLineChars="200" w:firstLine="640"/>
    </w:pPr>
    <w:rPr>
      <w:rFonts w:ascii="Times New Roman" w:hAnsi="Times New Roman" w:cs="Times New Roman" w:hint="eastAsia"/>
      <w:szCs w:val="32"/>
    </w:rPr>
  </w:style>
  <w:style w:type="paragraph" w:customStyle="1" w:styleId="10">
    <w:name w:val="标题1（公文）"/>
    <w:basedOn w:val="a"/>
    <w:qFormat/>
    <w:pPr>
      <w:ind w:firstLineChars="200" w:firstLine="420"/>
    </w:pPr>
    <w:rPr>
      <w:rFonts w:ascii="黑体" w:eastAsia="黑体" w:hAnsi="黑体" w:cs="黑体" w:hint="eastAsia"/>
      <w:szCs w:val="40"/>
    </w:rPr>
  </w:style>
  <w:style w:type="character" w:customStyle="1" w:styleId="Char">
    <w:name w:val="发文字号 Char"/>
    <w:link w:val="aa"/>
    <w:rPr>
      <w:rFonts w:ascii="仿宋_GB2312" w:eastAsia="仿宋_GB2312" w:hAnsi="仿宋_GB2312" w:cs="仿宋_GB2312" w:hint="eastAsia"/>
      <w:sz w:val="32"/>
      <w:szCs w:val="36"/>
    </w:rPr>
  </w:style>
  <w:style w:type="paragraph" w:styleId="af0">
    <w:name w:val="header"/>
    <w:basedOn w:val="a"/>
    <w:link w:val="af1"/>
    <w:rsid w:val="00E96168"/>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af0"/>
    <w:rsid w:val="00E96168"/>
    <w:rPr>
      <w:rFonts w:eastAsia="仿宋_GB2312"/>
      <w:kern w:val="2"/>
      <w:sz w:val="18"/>
      <w:szCs w:val="18"/>
    </w:rPr>
  </w:style>
  <w:style w:type="paragraph" w:styleId="af2">
    <w:name w:val="footer"/>
    <w:basedOn w:val="a"/>
    <w:link w:val="af3"/>
    <w:rsid w:val="00E96168"/>
    <w:pPr>
      <w:tabs>
        <w:tab w:val="center" w:pos="4153"/>
        <w:tab w:val="right" w:pos="8306"/>
      </w:tabs>
      <w:snapToGrid w:val="0"/>
      <w:jc w:val="left"/>
    </w:pPr>
    <w:rPr>
      <w:sz w:val="18"/>
      <w:szCs w:val="18"/>
    </w:rPr>
  </w:style>
  <w:style w:type="character" w:customStyle="1" w:styleId="af3">
    <w:name w:val="页脚 字符"/>
    <w:basedOn w:val="a0"/>
    <w:link w:val="af2"/>
    <w:rsid w:val="00E96168"/>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2</Pages>
  <Words>94</Words>
  <Characters>536</Characters>
  <Application>Microsoft Office Word</Application>
  <DocSecurity>0</DocSecurity>
  <Lines>4</Lines>
  <Paragraphs>1</Paragraphs>
  <ScaleCrop>false</ScaleCrop>
  <Company>Microsoft</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棠悦</dc:creator>
  <cp:lastModifiedBy>PC</cp:lastModifiedBy>
  <cp:revision>16</cp:revision>
  <dcterms:created xsi:type="dcterms:W3CDTF">2025-12-01T08:18:00Z</dcterms:created>
  <dcterms:modified xsi:type="dcterms:W3CDTF">2026-02-06T06:59:00Z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C47A33160DA548BB9E753CF71306DC21_11</vt:lpwstr>
  </property>
  <property fmtid="{D5CDD505-2E9C-101B-9397-08002B2CF9AE}" pid="4" name="KSOTemplateDocerSaveRecord">
    <vt:lpwstr>eyJoZGlkIjoiYmYyOTgzZDVlNmRmMGExMDE2YTNmODdlYjc1ODA1ZjkiLCJ1c2VySWQiOiIxNTcyMDAyODk4In0=</vt:lpwstr>
  </property>
</Properties>
</file>