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D3B44">
      <w:pPr>
        <w:pStyle w:val="2"/>
        <w:widowControl/>
        <w:spacing w:before="0" w:beforeAutospacing="0" w:after="0" w:afterAutospacing="0" w:line="70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shd w:val="clear" w:color="auto" w:fill="FFFFFF"/>
        </w:rPr>
        <w:t>梅县区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shd w:val="clear" w:color="auto" w:fill="FFFFFF"/>
          <w:lang w:val="en-US" w:eastAsia="zh-CN"/>
        </w:rPr>
        <w:t>退役军人事务局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shd w:val="clear" w:color="auto" w:fill="FFFFFF"/>
        </w:rPr>
        <w:t>20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shd w:val="clear" w:color="auto" w:fill="FFFFFF"/>
          <w:lang w:val="en-US" w:eastAsia="zh-CN"/>
        </w:rPr>
        <w:t>25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shd w:val="clear" w:color="auto" w:fill="FFFFFF"/>
        </w:rPr>
        <w:t>年政府信息</w:t>
      </w:r>
    </w:p>
    <w:p w14:paraId="460043F6">
      <w:pPr>
        <w:pStyle w:val="2"/>
        <w:widowControl/>
        <w:spacing w:before="0" w:beforeAutospacing="0" w:after="0" w:afterAutospacing="0" w:line="70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shd w:val="clear" w:color="auto" w:fill="FFFFFF"/>
        </w:rPr>
        <w:t>公开工作年度报告</w:t>
      </w:r>
    </w:p>
    <w:p w14:paraId="56373FC0">
      <w:pPr>
        <w:rPr>
          <w:b/>
          <w:sz w:val="32"/>
          <w:szCs w:val="32"/>
        </w:rPr>
      </w:pPr>
    </w:p>
    <w:p w14:paraId="6B09B4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b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一、总体情况</w:t>
      </w:r>
    </w:p>
    <w:p w14:paraId="15D0E1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sz w:val="32"/>
          <w:szCs w:val="32"/>
        </w:rPr>
        <w:t>　</w:t>
      </w:r>
      <w:r>
        <w:rPr>
          <w:rFonts w:hint="eastAsia" w:ascii="仿宋" w:hAnsi="仿宋" w:eastAsia="仿宋" w:cs="仿宋"/>
          <w:sz w:val="32"/>
          <w:szCs w:val="32"/>
        </w:rPr>
        <w:t>　梅县区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退役军人事务局</w:t>
      </w:r>
      <w:r>
        <w:rPr>
          <w:rFonts w:hint="eastAsia" w:ascii="仿宋" w:hAnsi="仿宋" w:eastAsia="仿宋" w:cs="仿宋"/>
          <w:sz w:val="32"/>
          <w:szCs w:val="32"/>
        </w:rPr>
        <w:t>信息公开方式是通过梅县区人民政府门户网站、梅县区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退役军人事务</w:t>
      </w:r>
      <w:r>
        <w:rPr>
          <w:rFonts w:hint="eastAsia" w:ascii="仿宋" w:hAnsi="仿宋" w:eastAsia="仿宋" w:cs="仿宋"/>
          <w:sz w:val="32"/>
          <w:szCs w:val="32"/>
        </w:rPr>
        <w:t>局政务公开信息目录向全社会公开。政务公开的时间与公开的内容相适应，采取长期、定期公开、随时公开相结合的方式进行，做到政策性内容长期公开，经常性工作定期公开，阶段性工作逐段公开，临时性工作随时公开。通过梅县区政府网站主动公开信息，包括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组织机构（领导分工、机构职能）；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 xml:space="preserve">部门文件；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办事指南；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工作动态；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部门预决算和三公经费预决算；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政府信息公开指南；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法定主动公开内容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政府信息公开工作年度报告；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联系方式。截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</w:rPr>
        <w:t>目前，我局按照规定的主动公开信息范围，按要求发布或更新信息，未出现影响或者可能影响社会稳定、扰乱社会管理秩序的虚假或者不完整的信息。</w:t>
      </w:r>
    </w:p>
    <w:p w14:paraId="13481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kern w:val="0"/>
          <w:sz w:val="32"/>
          <w:szCs w:val="32"/>
        </w:rPr>
      </w:pPr>
      <w:r>
        <w:rPr>
          <w:sz w:val="32"/>
          <w:szCs w:val="32"/>
        </w:rPr>
        <w:t>　　</w:t>
      </w:r>
    </w:p>
    <w:p w14:paraId="15262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二、主动公开政府信息情况</w:t>
      </w:r>
    </w:p>
    <w:tbl>
      <w:tblPr>
        <w:tblStyle w:val="3"/>
        <w:tblW w:w="90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83"/>
        <w:gridCol w:w="1721"/>
        <w:gridCol w:w="1618"/>
        <w:gridCol w:w="2442"/>
      </w:tblGrid>
      <w:tr w14:paraId="6E3A1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52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02688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EF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19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</w:t>
            </w:r>
            <w:r>
              <w:rPr>
                <w:rFonts w:ascii="宋体" w:hAnsi="宋体" w:eastAsia="宋体" w:cs="宋体"/>
                <w:kern w:val="0"/>
                <w:szCs w:val="21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发件数</w:t>
            </w:r>
          </w:p>
        </w:tc>
        <w:tc>
          <w:tcPr>
            <w:tcW w:w="1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B9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7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现行有效件数</w:t>
            </w:r>
          </w:p>
        </w:tc>
      </w:tr>
      <w:tr w14:paraId="7AE8D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7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1A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C2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C2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67929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5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C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7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B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6379D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6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3F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0B2D6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9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13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2E7A5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F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5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6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D99F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6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BB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17AC6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8A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7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1A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5B659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5B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57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4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6F8E2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B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57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1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4CFC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0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78E64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9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78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9E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0" w:firstLineChars="300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1FB69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26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578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5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</w:t>
            </w:r>
          </w:p>
          <w:p w14:paraId="6CD1E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</w:tr>
    </w:tbl>
    <w:p w14:paraId="5739E0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textAlignment w:val="auto"/>
        <w:rPr>
          <w:rFonts w:ascii="宋体" w:hAnsi="宋体" w:eastAsia="宋体" w:cs="宋体"/>
          <w:b/>
          <w:bCs/>
          <w:kern w:val="0"/>
          <w:sz w:val="15"/>
          <w:szCs w:val="15"/>
        </w:rPr>
      </w:pPr>
    </w:p>
    <w:p w14:paraId="48338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1169"/>
        <w:gridCol w:w="2483"/>
        <w:gridCol w:w="600"/>
        <w:gridCol w:w="796"/>
        <w:gridCol w:w="724"/>
        <w:gridCol w:w="694"/>
        <w:gridCol w:w="762"/>
        <w:gridCol w:w="670"/>
        <w:gridCol w:w="656"/>
      </w:tblGrid>
      <w:tr w14:paraId="5BDABD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A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7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2E64C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vMerge w:val="continue"/>
            <w:vAlign w:val="center"/>
          </w:tcPr>
          <w:p w14:paraId="3B284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8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6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8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75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55D00E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4169" w:type="dxa"/>
            <w:gridSpan w:val="3"/>
            <w:vMerge w:val="continue"/>
            <w:vAlign w:val="center"/>
          </w:tcPr>
          <w:p w14:paraId="662B7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75E23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E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C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66483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CA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4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0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56" w:type="dxa"/>
            <w:vMerge w:val="continue"/>
            <w:vAlign w:val="center"/>
          </w:tcPr>
          <w:p w14:paraId="5E58E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A2A0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03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6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0E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2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81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8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7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B2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</w:tr>
      <w:tr w14:paraId="144226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2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A2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6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8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E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C5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8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4A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</w:tr>
      <w:tr w14:paraId="1EF53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5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2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F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5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70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F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8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F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D9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</w:tr>
      <w:tr w14:paraId="57922C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384D8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2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C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2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B6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6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2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7E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C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</w:tr>
      <w:tr w14:paraId="4FA241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4C5A6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D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8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3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95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5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ED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8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9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3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</w:tr>
      <w:tr w14:paraId="61E1E1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5C1E1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70080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C0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A2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4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F0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96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7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0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96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</w:tr>
      <w:tr w14:paraId="449191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168EA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43FBD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E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4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E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3D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F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E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DC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1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</w:tr>
      <w:tr w14:paraId="0C3B1D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5CD55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6CBA3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13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CF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6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A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9C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4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1F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36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</w:tr>
      <w:tr w14:paraId="60D01C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7351E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7D910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6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</w:t>
            </w:r>
            <w:r>
              <w:rPr>
                <w:rFonts w:hint="eastAsia" w:ascii="楷体" w:hAnsi="楷体" w:eastAsia="楷体" w:cs="宋体"/>
                <w:spacing w:val="-20"/>
                <w:kern w:val="0"/>
                <w:sz w:val="20"/>
                <w:szCs w:val="20"/>
              </w:rPr>
              <w:t>事务信息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A1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8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B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3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7A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B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6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</w:tr>
      <w:tr w14:paraId="3EECBA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27D0F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46670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2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F2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5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4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7D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0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9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</w:tr>
      <w:tr w14:paraId="705F5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02FC1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5A9E4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F1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C5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7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E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D3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6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49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58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</w:tr>
      <w:tr w14:paraId="442535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71656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4EB06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6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5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1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7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3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26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62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B2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</w:tr>
      <w:tr w14:paraId="5C93FD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003E3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6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A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E3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C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26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F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B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B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8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</w:tr>
      <w:tr w14:paraId="4A2FD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7E3EE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35361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D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A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72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7F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D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66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CD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2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</w:tr>
      <w:tr w14:paraId="14A44D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5D18B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54F2E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F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D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28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2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5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95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1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4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</w:tr>
      <w:tr w14:paraId="28F27B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01B77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F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 w14:paraId="5D389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 w14:paraId="3B36E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  <w:p w14:paraId="522F5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 w14:paraId="6DB0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 w14:paraId="4EE05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FD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8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F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02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9B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98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0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F5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</w:tr>
      <w:tr w14:paraId="0F95F2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517" w:type="dxa"/>
            <w:vMerge w:val="continue"/>
            <w:vAlign w:val="center"/>
          </w:tcPr>
          <w:p w14:paraId="5D810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1ECAE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C8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FC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0F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C1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B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2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C1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E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</w:tr>
      <w:tr w14:paraId="209AE5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17" w:type="dxa"/>
            <w:vMerge w:val="continue"/>
            <w:vAlign w:val="center"/>
          </w:tcPr>
          <w:p w14:paraId="5BEC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2CB42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44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29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B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CA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28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4C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2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C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</w:tr>
      <w:tr w14:paraId="52689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7AD27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657A6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E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C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9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F9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E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C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48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</w:tr>
      <w:tr w14:paraId="2F6A81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28326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6E9BE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2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A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7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C1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0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66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9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1A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0</w:t>
            </w:r>
          </w:p>
        </w:tc>
      </w:tr>
      <w:tr w14:paraId="6A4130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5D662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34878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5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F1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17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4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4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8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7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3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</w:tr>
      <w:tr w14:paraId="2A1295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1365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33B7E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A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2.申请人逾期未按通知要求缴纳费用、行政机关不再处理其政府</w:t>
            </w:r>
            <w:r>
              <w:rPr>
                <w:rFonts w:hint="eastAsia" w:ascii="楷体" w:hAnsi="楷体" w:eastAsia="楷体" w:cs="宋体"/>
                <w:spacing w:val="-20"/>
                <w:kern w:val="0"/>
                <w:sz w:val="20"/>
                <w:szCs w:val="20"/>
              </w:rPr>
              <w:t>信息公开申请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1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0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D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7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3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E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5A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</w:tr>
      <w:tr w14:paraId="63316D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54B4D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15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1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9F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3D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03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E8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9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7C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5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</w:tr>
      <w:tr w14:paraId="362F42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6DFCB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4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82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6B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E4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3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A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F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1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</w:tr>
      <w:tr w14:paraId="237547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18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7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2E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B4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29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CA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67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9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</w:tr>
    </w:tbl>
    <w:p w14:paraId="575CA1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AF28C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四、政府信息公开行政复议、行政诉讼情况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2C03C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6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2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1A58C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D5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1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B8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6C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8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E1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EF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5761F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D1D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E2E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043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BCC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8D5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63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CA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F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10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2F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4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AE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6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45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5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6BA96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F0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9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9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2E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1E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2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76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CB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7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7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1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E1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2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B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EE91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  <w:r>
        <w:rPr>
          <w:kern w:val="0"/>
        </w:rPr>
        <w:t>　</w:t>
      </w:r>
      <w:r>
        <w:rPr>
          <w:kern w:val="0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</w:p>
    <w:p w14:paraId="62A7A5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五、存在的主要问题及改进情况</w:t>
      </w:r>
    </w:p>
    <w:p w14:paraId="7728AD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（一）存在的主要问题</w:t>
      </w:r>
    </w:p>
    <w:p w14:paraId="43448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2025年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以来</w:t>
      </w:r>
      <w:r>
        <w:rPr>
          <w:rFonts w:hint="eastAsia" w:ascii="仿宋" w:hAnsi="仿宋" w:eastAsia="仿宋" w:cs="仿宋"/>
          <w:sz w:val="32"/>
          <w:szCs w:val="32"/>
        </w:rPr>
        <w:t>，梅县区退役军人事务局稳步推进政府信息公开工作，取得了阶段性成效，但对照政务公开工作的更高要求，仍存在一些短板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一是信息发布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的规范性</w:t>
      </w:r>
      <w:r>
        <w:rPr>
          <w:rFonts w:hint="eastAsia" w:ascii="仿宋" w:hAnsi="仿宋" w:eastAsia="仿宋" w:cs="仿宋"/>
          <w:sz w:val="32"/>
          <w:szCs w:val="32"/>
        </w:rPr>
        <w:t>有待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加强；</w:t>
      </w:r>
      <w:r>
        <w:rPr>
          <w:rFonts w:hint="eastAsia" w:ascii="仿宋" w:hAnsi="仿宋" w:eastAsia="仿宋" w:cs="仿宋"/>
          <w:sz w:val="32"/>
          <w:szCs w:val="32"/>
        </w:rPr>
        <w:t>二是公开内容的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针对性</w:t>
      </w:r>
      <w:r>
        <w:rPr>
          <w:rFonts w:hint="eastAsia" w:ascii="仿宋" w:hAnsi="仿宋" w:eastAsia="仿宋" w:cs="仿宋"/>
          <w:sz w:val="32"/>
          <w:szCs w:val="32"/>
        </w:rPr>
        <w:t>不足，公开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渠道多样性仍需拓展。</w:t>
      </w:r>
    </w:p>
    <w:p w14:paraId="6D7FC1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D1CA1C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改进情况</w:t>
      </w:r>
    </w:p>
    <w:p w14:paraId="2A376C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下一步，我局将聚焦退役军人服务需求，从两方面推动政府信息公开工作提质增效：一是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认真贯彻相关文件要求，学习其他政府信息公开优秀部门经验</w:t>
      </w: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对发布信息内容以及格式认真审查，政府信息公开“回头看”，对于不规范不合格的地方做到及时修正，努力发布内容充实、格式规范的政府信息；二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是常态化梳理退役军人重点关注的政策、权益保障等信息，增加政策解读图解、办事流程视频等可视化内容，同时丰富公开渠道，在政府门户网站基础上，常态化推送退役军人重点关注的政策、服务、权益保障等信息。</w:t>
      </w:r>
    </w:p>
    <w:p w14:paraId="13E49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6CA3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六、其他需要报告的事项</w:t>
      </w:r>
    </w:p>
    <w:p w14:paraId="0C2FC0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 w14:paraId="59D261D3">
      <w:pPr>
        <w:rPr>
          <w:rFonts w:ascii="宋体" w:hAnsi="宋体" w:eastAsia="宋体" w:cs="宋体"/>
          <w:kern w:val="0"/>
          <w:sz w:val="32"/>
          <w:szCs w:val="32"/>
        </w:rPr>
      </w:pPr>
    </w:p>
    <w:p w14:paraId="6D2393EE"/>
    <w:sectPr>
      <w:pgSz w:w="11906" w:h="16838"/>
      <w:pgMar w:top="1440" w:right="180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7AE3D6"/>
    <w:multiLevelType w:val="singleLevel"/>
    <w:tmpl w:val="CB7AE3D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OTM0NDIwMjgxMjE2MDA3NTJiOTExYjZhMDFkMjEifQ=="/>
  </w:docVars>
  <w:rsids>
    <w:rsidRoot w:val="321B1C50"/>
    <w:rsid w:val="321B1C50"/>
    <w:rsid w:val="34206C69"/>
    <w:rsid w:val="3797C060"/>
    <w:rsid w:val="3DCF3BF6"/>
    <w:rsid w:val="4E61341A"/>
    <w:rsid w:val="546E3E9B"/>
    <w:rsid w:val="5E4D1053"/>
    <w:rsid w:val="6A25226D"/>
    <w:rsid w:val="7702898D"/>
    <w:rsid w:val="7A69462D"/>
    <w:rsid w:val="7FF5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Office_12.8.2.18672_F1E327BC-269C-435d-A152-05C5408002CA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2022-01-14T00:41:00Z</dcterms:created>
  <dc:creator>敏@悟</dc:creator>
  <cp:lastModifiedBy>user</cp:lastModifiedBy>
  <cp:lastPrinted>2025-12-29T22:52:00Z</cp:lastPrinted>
  <dcterms:modified xsi:type="dcterms:W3CDTF">2025-12-30T09:31:43Z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2052-12.8.2.18672</vt:lpwstr>
  </property>
  <property fmtid="{D5CDD505-2E9C-101B-9397-08002B2CF9AE}" pid="3" name="ICV">
    <vt:lpwstr>E9B186CDCB394AE3815667791D3D6978</vt:lpwstr>
  </property>
</Properties>
</file>