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0D9BC">
      <w:pPr>
        <w:pStyle w:val="9"/>
        <w:tabs>
          <w:tab w:val="left" w:pos="0"/>
        </w:tabs>
        <w:ind w:firstLine="881"/>
        <w:jc w:val="center"/>
        <w:rPr>
          <w:rFonts w:ascii="方正小标宋简体" w:hAnsi="仿宋" w:eastAsia="方正小标宋简体" w:cs="仿宋"/>
          <w:b/>
          <w:sz w:val="44"/>
          <w:szCs w:val="44"/>
        </w:rPr>
      </w:pPr>
    </w:p>
    <w:p w14:paraId="7ECF4E44">
      <w:pPr>
        <w:pStyle w:val="9"/>
        <w:ind w:firstLine="881"/>
        <w:jc w:val="center"/>
        <w:rPr>
          <w:rFonts w:ascii="方正小标宋简体" w:hAnsi="仿宋" w:eastAsia="方正小标宋简体" w:cs="仿宋"/>
          <w:b/>
          <w:sz w:val="44"/>
          <w:szCs w:val="44"/>
        </w:rPr>
      </w:pPr>
    </w:p>
    <w:p w14:paraId="0B83B81F">
      <w:pPr>
        <w:pStyle w:val="9"/>
        <w:spacing w:line="240" w:lineRule="auto"/>
        <w:ind w:firstLine="0" w:firstLineChars="0"/>
        <w:jc w:val="center"/>
        <w:rPr>
          <w:rFonts w:ascii="方正小标宋简体" w:hAnsi="仿宋" w:eastAsia="方正小标宋简体" w:cs="仿宋"/>
          <w:b/>
          <w:sz w:val="44"/>
          <w:szCs w:val="44"/>
        </w:rPr>
      </w:pPr>
    </w:p>
    <w:p w14:paraId="153EA029">
      <w:pPr>
        <w:spacing w:line="240" w:lineRule="auto"/>
        <w:ind w:firstLine="0" w:firstLineChars="0"/>
        <w:jc w:val="center"/>
        <w:outlineLvl w:val="9"/>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梅县区</w:t>
      </w:r>
      <w:r>
        <w:rPr>
          <w:rFonts w:hint="eastAsia" w:ascii="方正小标宋简体" w:hAnsi="方正小标宋简体" w:eastAsia="方正小标宋简体" w:cs="方正小标宋简体"/>
          <w:bCs/>
          <w:sz w:val="72"/>
          <w:szCs w:val="72"/>
          <w:lang w:val="en-US" w:eastAsia="zh-CN"/>
        </w:rPr>
        <w:t>畜牧业</w:t>
      </w:r>
      <w:r>
        <w:rPr>
          <w:rFonts w:hint="eastAsia" w:ascii="方正小标宋简体" w:hAnsi="方正小标宋简体" w:eastAsia="方正小标宋简体" w:cs="方正小标宋简体"/>
          <w:bCs/>
          <w:sz w:val="72"/>
          <w:szCs w:val="72"/>
        </w:rPr>
        <w:t>发展规划</w:t>
      </w:r>
    </w:p>
    <w:p w14:paraId="529939B8">
      <w:pPr>
        <w:pStyle w:val="4"/>
        <w:ind w:firstLine="2409" w:firstLineChars="500"/>
        <w:rPr>
          <w:rFonts w:hint="eastAsia" w:eastAsia="方正小标宋简体"/>
          <w:lang w:eastAsia="zh-CN"/>
        </w:rPr>
      </w:pPr>
      <w:r>
        <w:rPr>
          <w:rFonts w:hint="eastAsia" w:ascii="方正小标宋简体" w:hAnsi="方正小标宋简体" w:eastAsia="方正小标宋简体" w:cs="方正小标宋简体"/>
          <w:bCs/>
          <w:sz w:val="48"/>
          <w:szCs w:val="48"/>
          <w:lang w:eastAsia="zh-CN"/>
        </w:rPr>
        <w:t>（</w:t>
      </w:r>
      <w:r>
        <w:rPr>
          <w:rFonts w:hint="eastAsia" w:ascii="方正小标宋简体" w:hAnsi="方正小标宋简体" w:eastAsia="方正小标宋简体" w:cs="方正小标宋简体"/>
          <w:bCs/>
          <w:sz w:val="48"/>
          <w:szCs w:val="48"/>
          <w:lang w:val="en-US" w:eastAsia="zh-CN"/>
        </w:rPr>
        <w:t>征求意见稿</w:t>
      </w:r>
      <w:r>
        <w:rPr>
          <w:rFonts w:hint="eastAsia" w:ascii="方正小标宋简体" w:hAnsi="方正小标宋简体" w:eastAsia="方正小标宋简体" w:cs="方正小标宋简体"/>
          <w:bCs/>
          <w:sz w:val="48"/>
          <w:szCs w:val="48"/>
          <w:lang w:eastAsia="zh-CN"/>
        </w:rPr>
        <w:t>）</w:t>
      </w:r>
    </w:p>
    <w:p w14:paraId="7CBE02E5">
      <w:pPr>
        <w:pStyle w:val="9"/>
        <w:spacing w:line="240" w:lineRule="auto"/>
        <w:ind w:firstLine="0" w:firstLineChars="0"/>
        <w:jc w:val="center"/>
        <w:rPr>
          <w:rFonts w:ascii="方正小标宋简体" w:hAnsi="方正小标宋简体" w:eastAsia="方正小标宋简体" w:cs="方正小标宋简体"/>
          <w:b/>
          <w:sz w:val="72"/>
          <w:szCs w:val="72"/>
        </w:rPr>
      </w:pPr>
    </w:p>
    <w:p w14:paraId="2FD32DB5">
      <w:pPr>
        <w:pStyle w:val="9"/>
        <w:spacing w:line="240" w:lineRule="auto"/>
        <w:ind w:firstLine="0" w:firstLineChars="0"/>
        <w:jc w:val="center"/>
        <w:rPr>
          <w:b/>
        </w:rPr>
      </w:pPr>
      <w:r>
        <w:rPr>
          <w:rFonts w:hint="eastAsia" w:ascii="方正小标宋简体" w:hAnsi="方正小标宋简体" w:eastAsia="方正小标宋简体" w:cs="方正小标宋简体"/>
          <w:b/>
          <w:sz w:val="72"/>
          <w:szCs w:val="72"/>
        </w:rPr>
        <w:t>（2023—2028年）</w:t>
      </w:r>
    </w:p>
    <w:p w14:paraId="26A69373">
      <w:pPr>
        <w:pStyle w:val="21"/>
        <w:ind w:left="0" w:leftChars="0" w:firstLine="0" w:firstLineChars="0"/>
        <w:jc w:val="center"/>
        <w:rPr>
          <w:rFonts w:ascii="仿宋" w:hAnsi="仿宋" w:eastAsia="仿宋" w:cs="仿宋"/>
          <w:b/>
          <w:sz w:val="84"/>
          <w:szCs w:val="84"/>
        </w:rPr>
      </w:pPr>
      <w:bookmarkStart w:id="0" w:name="_Toc45925926"/>
    </w:p>
    <w:p w14:paraId="5DB0E84C">
      <w:pPr>
        <w:pStyle w:val="21"/>
        <w:ind w:left="0" w:leftChars="0" w:firstLine="0" w:firstLineChars="0"/>
        <w:rPr>
          <w:rFonts w:ascii="仿宋" w:hAnsi="仿宋" w:eastAsia="仿宋" w:cs="仿宋"/>
          <w:b/>
          <w:sz w:val="84"/>
          <w:szCs w:val="84"/>
        </w:rPr>
      </w:pPr>
    </w:p>
    <w:p w14:paraId="5E8300A4">
      <w:pPr>
        <w:pStyle w:val="21"/>
        <w:ind w:left="0" w:leftChars="0" w:firstLine="0" w:firstLineChars="0"/>
        <w:rPr>
          <w:rFonts w:ascii="仿宋" w:hAnsi="仿宋" w:eastAsia="仿宋" w:cs="仿宋"/>
          <w:b/>
          <w:sz w:val="84"/>
          <w:szCs w:val="84"/>
        </w:rPr>
      </w:pPr>
    </w:p>
    <w:p w14:paraId="505162BB">
      <w:pPr>
        <w:pStyle w:val="21"/>
        <w:ind w:left="0" w:leftChars="0" w:firstLine="0" w:firstLineChars="0"/>
        <w:rPr>
          <w:rFonts w:ascii="仿宋" w:hAnsi="仿宋" w:eastAsia="仿宋" w:cs="仿宋"/>
          <w:b/>
          <w:sz w:val="84"/>
          <w:szCs w:val="84"/>
        </w:rPr>
      </w:pPr>
    </w:p>
    <w:bookmarkEnd w:id="0"/>
    <w:p w14:paraId="0C9BEC84">
      <w:pPr>
        <w:pStyle w:val="21"/>
        <w:spacing w:after="0"/>
        <w:ind w:left="0" w:leftChars="0" w:firstLine="3240" w:firstLineChars="900"/>
        <w:jc w:val="both"/>
        <w:rPr>
          <w:rFonts w:ascii="黑体" w:hAnsi="黑体" w:eastAsia="黑体" w:cs="仿宋"/>
          <w:sz w:val="36"/>
          <w:szCs w:val="36"/>
        </w:rPr>
      </w:pPr>
      <w:r>
        <w:rPr>
          <w:rFonts w:hint="eastAsia" w:ascii="黑体" w:hAnsi="黑体" w:eastAsia="黑体" w:cs="仿宋"/>
          <w:sz w:val="36"/>
          <w:szCs w:val="36"/>
        </w:rPr>
        <w:t>二〇二三年</w:t>
      </w:r>
      <w:r>
        <w:rPr>
          <w:rFonts w:hint="eastAsia" w:ascii="黑体" w:hAnsi="黑体" w:eastAsia="黑体" w:cs="仿宋"/>
          <w:sz w:val="36"/>
          <w:szCs w:val="36"/>
          <w:lang w:val="en-US" w:eastAsia="zh-CN"/>
        </w:rPr>
        <w:t>八</w:t>
      </w:r>
      <w:r>
        <w:rPr>
          <w:rFonts w:hint="eastAsia" w:ascii="黑体" w:hAnsi="黑体" w:eastAsia="黑体" w:cs="仿宋"/>
          <w:sz w:val="36"/>
          <w:szCs w:val="36"/>
        </w:rPr>
        <w:t>月</w:t>
      </w:r>
    </w:p>
    <w:p w14:paraId="17D8C7B0">
      <w:pPr>
        <w:spacing w:line="240" w:lineRule="auto"/>
        <w:ind w:firstLine="0" w:firstLineChars="0"/>
        <w:jc w:val="center"/>
        <w:rPr>
          <w:rFonts w:hint="eastAsia" w:asciiTheme="minorEastAsia" w:hAnsiTheme="minorEastAsia" w:eastAsiaTheme="minorEastAsia" w:cstheme="minorEastAsia"/>
          <w:b/>
          <w:bCs/>
          <w:sz w:val="24"/>
        </w:rPr>
        <w:sectPr>
          <w:footerReference r:id="rId5" w:type="default"/>
          <w:pgSz w:w="11906" w:h="16838"/>
          <w:pgMar w:top="1440" w:right="1800" w:bottom="1440" w:left="1800" w:header="851" w:footer="992" w:gutter="0"/>
          <w:pgNumType w:start="1"/>
          <w:cols w:space="425" w:num="1"/>
          <w:docGrid w:type="lines" w:linePitch="312" w:charSpace="0"/>
        </w:sectPr>
      </w:pPr>
    </w:p>
    <w:sdt>
      <w:sdtPr>
        <w:rPr>
          <w:rFonts w:hint="eastAsia" w:ascii="仿宋_GB2312" w:hAnsi="仿宋_GB2312" w:eastAsia="仿宋_GB2312" w:cs="仿宋_GB2312"/>
          <w:b/>
          <w:bCs/>
          <w:kern w:val="2"/>
          <w:sz w:val="36"/>
          <w:szCs w:val="36"/>
          <w:lang w:val="en-US" w:eastAsia="zh-CN" w:bidi="ar-SA"/>
        </w:rPr>
        <w:id w:val="147454578"/>
        <w15:color w:val="DBDBDB"/>
        <w:docPartObj>
          <w:docPartGallery w:val="Table of Contents"/>
          <w:docPartUnique/>
        </w:docPartObj>
      </w:sdtPr>
      <w:sdtEndPr>
        <w:rPr>
          <w:rFonts w:hint="eastAsia" w:ascii="仿宋_GB2312" w:hAnsi="仿宋_GB2312" w:eastAsia="仿宋_GB2312" w:cs="Times New Roman"/>
          <w:b/>
          <w:bCs/>
          <w:kern w:val="2"/>
          <w:sz w:val="32"/>
          <w:szCs w:val="24"/>
          <w:lang w:val="en-US" w:eastAsia="zh-CN" w:bidi="ar-SA"/>
        </w:rPr>
      </w:sdtEndPr>
      <w:sdtContent>
        <w:p w14:paraId="178500BB">
          <w:pPr>
            <w:spacing w:before="0" w:beforeLines="0" w:after="0" w:afterLines="0" w:line="240" w:lineRule="auto"/>
            <w:ind w:left="0" w:leftChars="0" w:right="0" w:rightChars="0" w:firstLine="0" w:firstLineChars="0"/>
            <w:jc w:val="center"/>
            <w:rPr>
              <w:rFonts w:hint="eastAsia" w:ascii="黑体" w:hAnsi="黑体" w:eastAsia="黑体" w:cs="黑体"/>
              <w:b/>
              <w:bCs/>
              <w:sz w:val="36"/>
              <w:szCs w:val="36"/>
            </w:rPr>
          </w:pPr>
          <w:bookmarkStart w:id="1" w:name="_Toc9224"/>
          <w:r>
            <w:rPr>
              <w:rFonts w:hint="eastAsia" w:ascii="黑体" w:hAnsi="黑体" w:eastAsia="黑体" w:cs="黑体"/>
              <w:b/>
              <w:bCs/>
              <w:sz w:val="36"/>
              <w:szCs w:val="36"/>
            </w:rPr>
            <w:t>目录</w:t>
          </w:r>
        </w:p>
        <w:p w14:paraId="1D53F9E2">
          <w:pPr>
            <w:pStyle w:val="15"/>
            <w:tabs>
              <w:tab w:val="right" w:leader="dot" w:pos="8306"/>
              <w:tab w:val="clear" w:pos="8296"/>
            </w:tabs>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TOC \o "1-2" \h \u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_Toc31012 </w:instrText>
          </w:r>
          <w:r>
            <w:rPr>
              <w:rFonts w:hint="eastAsia" w:ascii="仿宋_GB2312" w:hAnsi="仿宋_GB2312" w:eastAsia="仿宋_GB2312" w:cs="仿宋_GB2312"/>
              <w:szCs w:val="30"/>
            </w:rPr>
            <w:fldChar w:fldCharType="separate"/>
          </w:r>
          <w:r>
            <w:t>一、总</w:t>
          </w:r>
          <w:r>
            <w:rPr>
              <w:rFonts w:hint="eastAsia"/>
              <w:lang w:val="en-US" w:eastAsia="zh-CN"/>
            </w:rPr>
            <w:t xml:space="preserve">  </w:t>
          </w:r>
          <w:r>
            <w:t>则</w:t>
          </w:r>
          <w:r>
            <w:tab/>
          </w:r>
          <w:r>
            <w:fldChar w:fldCharType="begin"/>
          </w:r>
          <w:r>
            <w:instrText xml:space="preserve"> PAGEREF _Toc31012 \h </w:instrText>
          </w:r>
          <w:r>
            <w:fldChar w:fldCharType="separate"/>
          </w:r>
          <w:r>
            <w:t>1</w:t>
          </w:r>
          <w:r>
            <w:fldChar w:fldCharType="end"/>
          </w:r>
          <w:r>
            <w:rPr>
              <w:rFonts w:hint="eastAsia" w:ascii="仿宋_GB2312" w:hAnsi="仿宋_GB2312" w:eastAsia="仿宋_GB2312" w:cs="仿宋_GB2312"/>
              <w:szCs w:val="30"/>
            </w:rPr>
            <w:fldChar w:fldCharType="end"/>
          </w:r>
        </w:p>
        <w:p w14:paraId="7CD4FA72">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_Toc10501 </w:instrText>
          </w:r>
          <w:r>
            <w:rPr>
              <w:rFonts w:hint="eastAsia" w:ascii="仿宋_GB2312" w:hAnsi="仿宋_GB2312" w:eastAsia="仿宋_GB2312" w:cs="仿宋_GB2312"/>
              <w:szCs w:val="30"/>
            </w:rPr>
            <w:fldChar w:fldCharType="separate"/>
          </w:r>
          <w:r>
            <w:rPr>
              <w:rFonts w:hint="eastAsia" w:ascii="黑体" w:hAnsi="黑体" w:eastAsia="黑体" w:cs="Times New Roman"/>
              <w:bCs/>
              <w:kern w:val="2"/>
              <w:szCs w:val="32"/>
              <w:lang w:val="en-US" w:eastAsia="zh-CN" w:bidi="ar-SA"/>
            </w:rPr>
            <w:t>（一）</w:t>
          </w:r>
          <w:r>
            <w:rPr>
              <w:rFonts w:hint="eastAsia"/>
            </w:rPr>
            <w:t>规划背景与意义</w:t>
          </w:r>
          <w:r>
            <w:tab/>
          </w:r>
          <w:r>
            <w:fldChar w:fldCharType="begin"/>
          </w:r>
          <w:r>
            <w:instrText xml:space="preserve"> PAGEREF _Toc10501 \h </w:instrText>
          </w:r>
          <w:r>
            <w:fldChar w:fldCharType="separate"/>
          </w:r>
          <w:r>
            <w:t>1</w:t>
          </w:r>
          <w:r>
            <w:fldChar w:fldCharType="end"/>
          </w:r>
          <w:r>
            <w:rPr>
              <w:rFonts w:hint="eastAsia" w:ascii="仿宋_GB2312" w:hAnsi="仿宋_GB2312" w:eastAsia="仿宋_GB2312" w:cs="仿宋_GB2312"/>
              <w:szCs w:val="30"/>
            </w:rPr>
            <w:fldChar w:fldCharType="end"/>
          </w:r>
        </w:p>
        <w:p w14:paraId="13163879">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_Toc27862 </w:instrText>
          </w:r>
          <w:r>
            <w:rPr>
              <w:rFonts w:hint="eastAsia" w:ascii="仿宋_GB2312" w:hAnsi="仿宋_GB2312" w:eastAsia="仿宋_GB2312" w:cs="仿宋_GB2312"/>
              <w:szCs w:val="30"/>
            </w:rPr>
            <w:fldChar w:fldCharType="separate"/>
          </w:r>
          <w:r>
            <w:rPr>
              <w:rFonts w:hint="eastAsia"/>
            </w:rPr>
            <w:t>（二）规划范围</w:t>
          </w:r>
          <w:r>
            <w:tab/>
          </w:r>
          <w:r>
            <w:fldChar w:fldCharType="begin"/>
          </w:r>
          <w:r>
            <w:instrText xml:space="preserve"> PAGEREF _Toc27862 \h </w:instrText>
          </w:r>
          <w:r>
            <w:fldChar w:fldCharType="separate"/>
          </w:r>
          <w:r>
            <w:t>2</w:t>
          </w:r>
          <w:r>
            <w:fldChar w:fldCharType="end"/>
          </w:r>
          <w:r>
            <w:rPr>
              <w:rFonts w:hint="eastAsia" w:ascii="仿宋_GB2312" w:hAnsi="仿宋_GB2312" w:eastAsia="仿宋_GB2312" w:cs="仿宋_GB2312"/>
              <w:szCs w:val="30"/>
            </w:rPr>
            <w:fldChar w:fldCharType="end"/>
          </w:r>
        </w:p>
        <w:p w14:paraId="7DC0AACA">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_Toc14452 </w:instrText>
          </w:r>
          <w:r>
            <w:rPr>
              <w:rFonts w:hint="eastAsia" w:ascii="仿宋_GB2312" w:hAnsi="仿宋_GB2312" w:eastAsia="仿宋_GB2312" w:cs="仿宋_GB2312"/>
              <w:szCs w:val="30"/>
            </w:rPr>
            <w:fldChar w:fldCharType="separate"/>
          </w:r>
          <w:r>
            <w:rPr>
              <w:rFonts w:hint="eastAsia"/>
            </w:rPr>
            <w:t>（三）规划期限</w:t>
          </w:r>
          <w:r>
            <w:tab/>
          </w:r>
          <w:r>
            <w:fldChar w:fldCharType="begin"/>
          </w:r>
          <w:r>
            <w:instrText xml:space="preserve"> PAGEREF _Toc14452 \h </w:instrText>
          </w:r>
          <w:r>
            <w:fldChar w:fldCharType="separate"/>
          </w:r>
          <w:r>
            <w:t>2</w:t>
          </w:r>
          <w:r>
            <w:fldChar w:fldCharType="end"/>
          </w:r>
          <w:r>
            <w:rPr>
              <w:rFonts w:hint="eastAsia" w:ascii="仿宋_GB2312" w:hAnsi="仿宋_GB2312" w:eastAsia="仿宋_GB2312" w:cs="仿宋_GB2312"/>
              <w:szCs w:val="30"/>
            </w:rPr>
            <w:fldChar w:fldCharType="end"/>
          </w:r>
        </w:p>
        <w:p w14:paraId="39E4CB4E">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_Toc7195 </w:instrText>
          </w:r>
          <w:r>
            <w:rPr>
              <w:rFonts w:hint="eastAsia" w:ascii="仿宋_GB2312" w:hAnsi="仿宋_GB2312" w:eastAsia="仿宋_GB2312" w:cs="仿宋_GB2312"/>
              <w:szCs w:val="30"/>
            </w:rPr>
            <w:fldChar w:fldCharType="separate"/>
          </w:r>
          <w:r>
            <w:rPr>
              <w:rFonts w:hint="eastAsia"/>
            </w:rPr>
            <w:t>（四）规划对象</w:t>
          </w:r>
          <w:r>
            <w:tab/>
          </w:r>
          <w:r>
            <w:fldChar w:fldCharType="begin"/>
          </w:r>
          <w:r>
            <w:instrText xml:space="preserve"> PAGEREF _Toc7195 \h </w:instrText>
          </w:r>
          <w:r>
            <w:fldChar w:fldCharType="separate"/>
          </w:r>
          <w:r>
            <w:t>2</w:t>
          </w:r>
          <w:r>
            <w:fldChar w:fldCharType="end"/>
          </w:r>
          <w:r>
            <w:rPr>
              <w:rFonts w:hint="eastAsia" w:ascii="仿宋_GB2312" w:hAnsi="仿宋_GB2312" w:eastAsia="仿宋_GB2312" w:cs="仿宋_GB2312"/>
              <w:szCs w:val="30"/>
            </w:rPr>
            <w:fldChar w:fldCharType="end"/>
          </w:r>
        </w:p>
        <w:p w14:paraId="0C4C9F23">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_Toc14990 </w:instrText>
          </w:r>
          <w:r>
            <w:rPr>
              <w:rFonts w:hint="eastAsia" w:ascii="仿宋_GB2312" w:hAnsi="仿宋_GB2312" w:eastAsia="仿宋_GB2312" w:cs="仿宋_GB2312"/>
              <w:szCs w:val="30"/>
            </w:rPr>
            <w:fldChar w:fldCharType="separate"/>
          </w:r>
          <w:r>
            <w:rPr>
              <w:rFonts w:hint="eastAsia"/>
            </w:rPr>
            <w:t>（五）规划依据</w:t>
          </w:r>
          <w:r>
            <w:tab/>
          </w:r>
          <w:r>
            <w:fldChar w:fldCharType="begin"/>
          </w:r>
          <w:r>
            <w:instrText xml:space="preserve"> PAGEREF _Toc14990 \h </w:instrText>
          </w:r>
          <w:r>
            <w:fldChar w:fldCharType="separate"/>
          </w:r>
          <w:r>
            <w:t>2</w:t>
          </w:r>
          <w:r>
            <w:fldChar w:fldCharType="end"/>
          </w:r>
          <w:r>
            <w:rPr>
              <w:rFonts w:hint="eastAsia" w:ascii="仿宋_GB2312" w:hAnsi="仿宋_GB2312" w:eastAsia="仿宋_GB2312" w:cs="仿宋_GB2312"/>
              <w:szCs w:val="30"/>
            </w:rPr>
            <w:fldChar w:fldCharType="end"/>
          </w:r>
        </w:p>
        <w:p w14:paraId="54ED7A73">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_Toc27692 </w:instrText>
          </w:r>
          <w:r>
            <w:rPr>
              <w:rFonts w:hint="eastAsia" w:ascii="仿宋_GB2312" w:hAnsi="仿宋_GB2312" w:eastAsia="仿宋_GB2312" w:cs="仿宋_GB2312"/>
              <w:szCs w:val="30"/>
            </w:rPr>
            <w:fldChar w:fldCharType="separate"/>
          </w:r>
          <w:r>
            <w:t>二、基础条件分析</w:t>
          </w:r>
          <w:r>
            <w:tab/>
          </w:r>
          <w:r>
            <w:fldChar w:fldCharType="begin"/>
          </w:r>
          <w:r>
            <w:instrText xml:space="preserve"> PAGEREF _Toc27692 \h </w:instrText>
          </w:r>
          <w:r>
            <w:fldChar w:fldCharType="separate"/>
          </w:r>
          <w:r>
            <w:t>5</w:t>
          </w:r>
          <w:r>
            <w:fldChar w:fldCharType="end"/>
          </w:r>
          <w:r>
            <w:rPr>
              <w:rFonts w:hint="eastAsia" w:ascii="仿宋_GB2312" w:hAnsi="仿宋_GB2312" w:eastAsia="仿宋_GB2312" w:cs="仿宋_GB2312"/>
              <w:szCs w:val="30"/>
            </w:rPr>
            <w:fldChar w:fldCharType="end"/>
          </w:r>
        </w:p>
        <w:p w14:paraId="246A828C">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_Toc13534 </w:instrText>
          </w:r>
          <w:r>
            <w:rPr>
              <w:rFonts w:hint="eastAsia" w:ascii="仿宋_GB2312" w:hAnsi="仿宋_GB2312" w:eastAsia="仿宋_GB2312" w:cs="仿宋_GB2312"/>
              <w:szCs w:val="30"/>
            </w:rPr>
            <w:fldChar w:fldCharType="separate"/>
          </w:r>
          <w:r>
            <w:rPr>
              <w:rFonts w:hint="eastAsia"/>
            </w:rPr>
            <w:t>（一）区位基本情况</w:t>
          </w:r>
          <w:r>
            <w:tab/>
          </w:r>
          <w:r>
            <w:fldChar w:fldCharType="begin"/>
          </w:r>
          <w:r>
            <w:instrText xml:space="preserve"> PAGEREF _Toc13534 \h </w:instrText>
          </w:r>
          <w:r>
            <w:fldChar w:fldCharType="separate"/>
          </w:r>
          <w:r>
            <w:t>5</w:t>
          </w:r>
          <w:r>
            <w:fldChar w:fldCharType="end"/>
          </w:r>
          <w:r>
            <w:rPr>
              <w:rFonts w:hint="eastAsia" w:ascii="仿宋_GB2312" w:hAnsi="仿宋_GB2312" w:eastAsia="仿宋_GB2312" w:cs="仿宋_GB2312"/>
              <w:szCs w:val="30"/>
            </w:rPr>
            <w:fldChar w:fldCharType="end"/>
          </w:r>
        </w:p>
        <w:p w14:paraId="22B7C7A6">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_Toc29905 </w:instrText>
          </w:r>
          <w:r>
            <w:rPr>
              <w:rFonts w:hint="eastAsia" w:ascii="仿宋_GB2312" w:hAnsi="仿宋_GB2312" w:eastAsia="仿宋_GB2312" w:cs="仿宋_GB2312"/>
              <w:szCs w:val="30"/>
            </w:rPr>
            <w:fldChar w:fldCharType="separate"/>
          </w:r>
          <w:r>
            <w:rPr>
              <w:rFonts w:hint="eastAsia"/>
            </w:rPr>
            <w:t>（二）社会经济状况及发展水平</w:t>
          </w:r>
          <w:r>
            <w:tab/>
          </w:r>
          <w:r>
            <w:fldChar w:fldCharType="begin"/>
          </w:r>
          <w:r>
            <w:instrText xml:space="preserve"> PAGEREF _Toc29905 \h </w:instrText>
          </w:r>
          <w:r>
            <w:fldChar w:fldCharType="separate"/>
          </w:r>
          <w:r>
            <w:t>19</w:t>
          </w:r>
          <w:r>
            <w:fldChar w:fldCharType="end"/>
          </w:r>
          <w:r>
            <w:rPr>
              <w:rFonts w:hint="eastAsia" w:ascii="仿宋_GB2312" w:hAnsi="仿宋_GB2312" w:eastAsia="仿宋_GB2312" w:cs="仿宋_GB2312"/>
              <w:szCs w:val="30"/>
            </w:rPr>
            <w:fldChar w:fldCharType="end"/>
          </w:r>
        </w:p>
        <w:p w14:paraId="17358190">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_Toc3789 </w:instrText>
          </w:r>
          <w:r>
            <w:rPr>
              <w:rFonts w:hint="eastAsia" w:ascii="仿宋_GB2312" w:hAnsi="仿宋_GB2312" w:eastAsia="仿宋_GB2312" w:cs="仿宋_GB2312"/>
              <w:szCs w:val="30"/>
            </w:rPr>
            <w:fldChar w:fldCharType="separate"/>
          </w:r>
          <w:r>
            <w:t>（三）梅县区畜牧业发展现状</w:t>
          </w:r>
          <w:r>
            <w:tab/>
          </w:r>
          <w:r>
            <w:fldChar w:fldCharType="begin"/>
          </w:r>
          <w:r>
            <w:instrText xml:space="preserve"> PAGEREF _Toc3789 \h </w:instrText>
          </w:r>
          <w:r>
            <w:fldChar w:fldCharType="separate"/>
          </w:r>
          <w:r>
            <w:t>21</w:t>
          </w:r>
          <w:r>
            <w:fldChar w:fldCharType="end"/>
          </w:r>
          <w:r>
            <w:rPr>
              <w:rFonts w:hint="eastAsia" w:ascii="仿宋_GB2312" w:hAnsi="仿宋_GB2312" w:eastAsia="仿宋_GB2312" w:cs="仿宋_GB2312"/>
              <w:szCs w:val="30"/>
            </w:rPr>
            <w:fldChar w:fldCharType="end"/>
          </w:r>
        </w:p>
        <w:p w14:paraId="2EBD1323">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_Toc31630 </w:instrText>
          </w:r>
          <w:r>
            <w:rPr>
              <w:rFonts w:hint="eastAsia" w:ascii="仿宋_GB2312" w:hAnsi="仿宋_GB2312" w:eastAsia="仿宋_GB2312" w:cs="仿宋_GB2312"/>
              <w:szCs w:val="30"/>
            </w:rPr>
            <w:fldChar w:fldCharType="separate"/>
          </w:r>
          <w:r>
            <w:rPr>
              <w:rFonts w:hint="eastAsia"/>
            </w:rPr>
            <w:t>三、发展思路和目标</w:t>
          </w:r>
          <w:r>
            <w:tab/>
          </w:r>
          <w:r>
            <w:fldChar w:fldCharType="begin"/>
          </w:r>
          <w:r>
            <w:instrText xml:space="preserve"> PAGEREF _Toc31630 \h </w:instrText>
          </w:r>
          <w:r>
            <w:fldChar w:fldCharType="separate"/>
          </w:r>
          <w:r>
            <w:t>25</w:t>
          </w:r>
          <w:r>
            <w:fldChar w:fldCharType="end"/>
          </w:r>
          <w:r>
            <w:rPr>
              <w:rFonts w:hint="eastAsia" w:ascii="仿宋_GB2312" w:hAnsi="仿宋_GB2312" w:eastAsia="仿宋_GB2312" w:cs="仿宋_GB2312"/>
              <w:szCs w:val="30"/>
            </w:rPr>
            <w:fldChar w:fldCharType="end"/>
          </w:r>
        </w:p>
        <w:p w14:paraId="185DB7B0">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_Toc27810 </w:instrText>
          </w:r>
          <w:r>
            <w:rPr>
              <w:rFonts w:hint="eastAsia" w:ascii="仿宋_GB2312" w:hAnsi="仿宋_GB2312" w:eastAsia="仿宋_GB2312" w:cs="仿宋_GB2312"/>
              <w:szCs w:val="30"/>
            </w:rPr>
            <w:fldChar w:fldCharType="separate"/>
          </w:r>
          <w:r>
            <w:rPr>
              <w:rFonts w:hint="eastAsia"/>
            </w:rPr>
            <w:t>（一）发展思路</w:t>
          </w:r>
          <w:r>
            <w:tab/>
          </w:r>
          <w:r>
            <w:fldChar w:fldCharType="begin"/>
          </w:r>
          <w:r>
            <w:instrText xml:space="preserve"> PAGEREF _Toc27810 \h </w:instrText>
          </w:r>
          <w:r>
            <w:fldChar w:fldCharType="separate"/>
          </w:r>
          <w:r>
            <w:t>25</w:t>
          </w:r>
          <w:r>
            <w:fldChar w:fldCharType="end"/>
          </w:r>
          <w:r>
            <w:rPr>
              <w:rFonts w:hint="eastAsia" w:ascii="仿宋_GB2312" w:hAnsi="仿宋_GB2312" w:eastAsia="仿宋_GB2312" w:cs="仿宋_GB2312"/>
              <w:szCs w:val="30"/>
            </w:rPr>
            <w:fldChar w:fldCharType="end"/>
          </w:r>
        </w:p>
        <w:p w14:paraId="504DC328">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_Toc32016 </w:instrText>
          </w:r>
          <w:r>
            <w:rPr>
              <w:rFonts w:hint="eastAsia" w:ascii="仿宋_GB2312" w:hAnsi="仿宋_GB2312" w:eastAsia="仿宋_GB2312" w:cs="仿宋_GB2312"/>
              <w:szCs w:val="30"/>
            </w:rPr>
            <w:fldChar w:fldCharType="separate"/>
          </w:r>
          <w:r>
            <w:rPr>
              <w:rFonts w:hint="eastAsia"/>
            </w:rPr>
            <w:t>（二）规划原则</w:t>
          </w:r>
          <w:r>
            <w:tab/>
          </w:r>
          <w:r>
            <w:fldChar w:fldCharType="begin"/>
          </w:r>
          <w:r>
            <w:instrText xml:space="preserve"> PAGEREF _Toc32016 \h </w:instrText>
          </w:r>
          <w:r>
            <w:fldChar w:fldCharType="separate"/>
          </w:r>
          <w:r>
            <w:t>25</w:t>
          </w:r>
          <w:r>
            <w:fldChar w:fldCharType="end"/>
          </w:r>
          <w:r>
            <w:rPr>
              <w:rFonts w:hint="eastAsia" w:ascii="仿宋_GB2312" w:hAnsi="仿宋_GB2312" w:eastAsia="仿宋_GB2312" w:cs="仿宋_GB2312"/>
              <w:szCs w:val="30"/>
            </w:rPr>
            <w:fldChar w:fldCharType="end"/>
          </w:r>
        </w:p>
        <w:p w14:paraId="08D37D05">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_Toc17330 </w:instrText>
          </w:r>
          <w:r>
            <w:rPr>
              <w:rFonts w:hint="eastAsia" w:ascii="仿宋_GB2312" w:hAnsi="仿宋_GB2312" w:eastAsia="仿宋_GB2312" w:cs="仿宋_GB2312"/>
              <w:szCs w:val="30"/>
            </w:rPr>
            <w:fldChar w:fldCharType="separate"/>
          </w:r>
          <w:r>
            <w:rPr>
              <w:rFonts w:hint="eastAsia"/>
            </w:rPr>
            <w:t>（三）发展目标</w:t>
          </w:r>
          <w:r>
            <w:tab/>
          </w:r>
          <w:r>
            <w:fldChar w:fldCharType="begin"/>
          </w:r>
          <w:r>
            <w:instrText xml:space="preserve"> PAGEREF _Toc17330 \h </w:instrText>
          </w:r>
          <w:r>
            <w:fldChar w:fldCharType="separate"/>
          </w:r>
          <w:r>
            <w:t>27</w:t>
          </w:r>
          <w:r>
            <w:fldChar w:fldCharType="end"/>
          </w:r>
          <w:r>
            <w:rPr>
              <w:rFonts w:hint="eastAsia" w:ascii="仿宋_GB2312" w:hAnsi="仿宋_GB2312" w:eastAsia="仿宋_GB2312" w:cs="仿宋_GB2312"/>
              <w:szCs w:val="30"/>
            </w:rPr>
            <w:fldChar w:fldCharType="end"/>
          </w:r>
        </w:p>
        <w:p w14:paraId="5C513647">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_Toc24376 </w:instrText>
          </w:r>
          <w:r>
            <w:rPr>
              <w:rFonts w:hint="eastAsia" w:ascii="仿宋_GB2312" w:hAnsi="仿宋_GB2312" w:eastAsia="仿宋_GB2312" w:cs="仿宋_GB2312"/>
              <w:szCs w:val="30"/>
            </w:rPr>
            <w:fldChar w:fldCharType="separate"/>
          </w:r>
          <w:r>
            <w:rPr>
              <w:rFonts w:hint="default"/>
            </w:rPr>
            <w:t>四、重点建设任务</w:t>
          </w:r>
          <w:r>
            <w:tab/>
          </w:r>
          <w:r>
            <w:fldChar w:fldCharType="begin"/>
          </w:r>
          <w:r>
            <w:instrText xml:space="preserve"> PAGEREF _Toc24376 \h </w:instrText>
          </w:r>
          <w:r>
            <w:fldChar w:fldCharType="separate"/>
          </w:r>
          <w:r>
            <w:t>30</w:t>
          </w:r>
          <w:r>
            <w:fldChar w:fldCharType="end"/>
          </w:r>
          <w:r>
            <w:rPr>
              <w:rFonts w:hint="eastAsia" w:ascii="仿宋_GB2312" w:hAnsi="仿宋_GB2312" w:eastAsia="仿宋_GB2312" w:cs="仿宋_GB2312"/>
              <w:szCs w:val="30"/>
            </w:rPr>
            <w:fldChar w:fldCharType="end"/>
          </w:r>
        </w:p>
        <w:p w14:paraId="299CEDB6">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_Toc30930 </w:instrText>
          </w:r>
          <w:r>
            <w:rPr>
              <w:rFonts w:hint="eastAsia" w:ascii="仿宋_GB2312" w:hAnsi="仿宋_GB2312" w:eastAsia="仿宋_GB2312" w:cs="仿宋_GB2312"/>
              <w:szCs w:val="30"/>
            </w:rPr>
            <w:fldChar w:fldCharType="separate"/>
          </w:r>
          <w:r>
            <w:rPr>
              <w:rFonts w:hint="eastAsia"/>
            </w:rPr>
            <w:t>（一）优化畜禽养殖空间布局</w:t>
          </w:r>
          <w:r>
            <w:tab/>
          </w:r>
          <w:r>
            <w:fldChar w:fldCharType="begin"/>
          </w:r>
          <w:r>
            <w:instrText xml:space="preserve"> PAGEREF _Toc30930 \h </w:instrText>
          </w:r>
          <w:r>
            <w:fldChar w:fldCharType="separate"/>
          </w:r>
          <w:r>
            <w:t>30</w:t>
          </w:r>
          <w:r>
            <w:fldChar w:fldCharType="end"/>
          </w:r>
          <w:r>
            <w:rPr>
              <w:rFonts w:hint="eastAsia" w:ascii="仿宋_GB2312" w:hAnsi="仿宋_GB2312" w:eastAsia="仿宋_GB2312" w:cs="仿宋_GB2312"/>
              <w:szCs w:val="30"/>
            </w:rPr>
            <w:fldChar w:fldCharType="end"/>
          </w:r>
        </w:p>
        <w:p w14:paraId="4EEABA1B">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_Toc30769 </w:instrText>
          </w:r>
          <w:r>
            <w:rPr>
              <w:rFonts w:hint="eastAsia" w:ascii="仿宋_GB2312" w:hAnsi="仿宋_GB2312" w:eastAsia="仿宋_GB2312" w:cs="仿宋_GB2312"/>
              <w:szCs w:val="30"/>
            </w:rPr>
            <w:fldChar w:fldCharType="separate"/>
          </w:r>
          <w:r>
            <w:rPr>
              <w:rFonts w:hint="eastAsia"/>
            </w:rPr>
            <w:t>（二）提升现代畜禽种业竞争力</w:t>
          </w:r>
          <w:r>
            <w:tab/>
          </w:r>
          <w:r>
            <w:fldChar w:fldCharType="begin"/>
          </w:r>
          <w:r>
            <w:instrText xml:space="preserve"> PAGEREF _Toc30769 \h </w:instrText>
          </w:r>
          <w:r>
            <w:fldChar w:fldCharType="separate"/>
          </w:r>
          <w:r>
            <w:t>31</w:t>
          </w:r>
          <w:r>
            <w:fldChar w:fldCharType="end"/>
          </w:r>
          <w:r>
            <w:rPr>
              <w:rFonts w:hint="eastAsia" w:ascii="仿宋_GB2312" w:hAnsi="仿宋_GB2312" w:eastAsia="仿宋_GB2312" w:cs="仿宋_GB2312"/>
              <w:szCs w:val="30"/>
            </w:rPr>
            <w:fldChar w:fldCharType="end"/>
          </w:r>
        </w:p>
        <w:p w14:paraId="3D6EE60B">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_Toc9091 </w:instrText>
          </w:r>
          <w:r>
            <w:rPr>
              <w:rFonts w:hint="eastAsia" w:ascii="仿宋_GB2312" w:hAnsi="仿宋_GB2312" w:eastAsia="仿宋_GB2312" w:cs="仿宋_GB2312"/>
              <w:szCs w:val="30"/>
            </w:rPr>
            <w:fldChar w:fldCharType="separate"/>
          </w:r>
          <w:r>
            <w:rPr>
              <w:rFonts w:hint="eastAsia"/>
            </w:rPr>
            <w:t>（三）保障生猪市场供给能力</w:t>
          </w:r>
          <w:r>
            <w:tab/>
          </w:r>
          <w:r>
            <w:fldChar w:fldCharType="begin"/>
          </w:r>
          <w:r>
            <w:instrText xml:space="preserve"> PAGEREF _Toc9091 \h </w:instrText>
          </w:r>
          <w:r>
            <w:fldChar w:fldCharType="separate"/>
          </w:r>
          <w:r>
            <w:t>33</w:t>
          </w:r>
          <w:r>
            <w:fldChar w:fldCharType="end"/>
          </w:r>
          <w:r>
            <w:rPr>
              <w:rFonts w:hint="eastAsia" w:ascii="仿宋_GB2312" w:hAnsi="仿宋_GB2312" w:eastAsia="仿宋_GB2312" w:cs="仿宋_GB2312"/>
              <w:szCs w:val="30"/>
            </w:rPr>
            <w:fldChar w:fldCharType="end"/>
          </w:r>
        </w:p>
        <w:p w14:paraId="7D76C464">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_Toc15213 </w:instrText>
          </w:r>
          <w:r>
            <w:rPr>
              <w:rFonts w:hint="eastAsia" w:ascii="仿宋_GB2312" w:hAnsi="仿宋_GB2312" w:eastAsia="仿宋_GB2312" w:cs="仿宋_GB2312"/>
              <w:szCs w:val="30"/>
            </w:rPr>
            <w:fldChar w:fldCharType="separate"/>
          </w:r>
          <w:r>
            <w:rPr>
              <w:rFonts w:hint="eastAsia"/>
            </w:rPr>
            <w:t>（四）推动肉牛产业提质增效</w:t>
          </w:r>
          <w:r>
            <w:tab/>
          </w:r>
          <w:r>
            <w:fldChar w:fldCharType="begin"/>
          </w:r>
          <w:r>
            <w:instrText xml:space="preserve"> PAGEREF _Toc15213 \h </w:instrText>
          </w:r>
          <w:r>
            <w:fldChar w:fldCharType="separate"/>
          </w:r>
          <w:r>
            <w:t>34</w:t>
          </w:r>
          <w:r>
            <w:fldChar w:fldCharType="end"/>
          </w:r>
          <w:r>
            <w:rPr>
              <w:rFonts w:hint="eastAsia" w:ascii="仿宋_GB2312" w:hAnsi="仿宋_GB2312" w:eastAsia="仿宋_GB2312" w:cs="仿宋_GB2312"/>
              <w:szCs w:val="30"/>
            </w:rPr>
            <w:fldChar w:fldCharType="end"/>
          </w:r>
        </w:p>
        <w:p w14:paraId="62B76D65">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_Toc9087 </w:instrText>
          </w:r>
          <w:r>
            <w:rPr>
              <w:rFonts w:hint="eastAsia" w:ascii="仿宋_GB2312" w:hAnsi="仿宋_GB2312" w:eastAsia="仿宋_GB2312" w:cs="仿宋_GB2312"/>
              <w:szCs w:val="30"/>
            </w:rPr>
            <w:fldChar w:fldCharType="separate"/>
          </w:r>
          <w:r>
            <w:rPr>
              <w:rFonts w:hint="eastAsia"/>
            </w:rPr>
            <w:t>（五）构建畜禽产品加工体系</w:t>
          </w:r>
          <w:r>
            <w:tab/>
          </w:r>
          <w:r>
            <w:fldChar w:fldCharType="begin"/>
          </w:r>
          <w:r>
            <w:instrText xml:space="preserve"> PAGEREF _Toc9087 \h </w:instrText>
          </w:r>
          <w:r>
            <w:fldChar w:fldCharType="separate"/>
          </w:r>
          <w:r>
            <w:t>34</w:t>
          </w:r>
          <w:r>
            <w:fldChar w:fldCharType="end"/>
          </w:r>
          <w:r>
            <w:rPr>
              <w:rFonts w:hint="eastAsia" w:ascii="仿宋_GB2312" w:hAnsi="仿宋_GB2312" w:eastAsia="仿宋_GB2312" w:cs="仿宋_GB2312"/>
              <w:szCs w:val="30"/>
            </w:rPr>
            <w:fldChar w:fldCharType="end"/>
          </w:r>
        </w:p>
        <w:p w14:paraId="6A7A6B27">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_Toc9102 </w:instrText>
          </w:r>
          <w:r>
            <w:rPr>
              <w:rFonts w:hint="eastAsia" w:ascii="仿宋_GB2312" w:hAnsi="仿宋_GB2312" w:eastAsia="仿宋_GB2312" w:cs="仿宋_GB2312"/>
              <w:szCs w:val="30"/>
            </w:rPr>
            <w:fldChar w:fldCharType="separate"/>
          </w:r>
          <w:r>
            <w:rPr>
              <w:rFonts w:hint="eastAsia"/>
            </w:rPr>
            <w:t>（六）建立动物疫病防控体系</w:t>
          </w:r>
          <w:r>
            <w:tab/>
          </w:r>
          <w:r>
            <w:fldChar w:fldCharType="begin"/>
          </w:r>
          <w:r>
            <w:instrText xml:space="preserve"> PAGEREF _Toc9102 \h </w:instrText>
          </w:r>
          <w:r>
            <w:fldChar w:fldCharType="separate"/>
          </w:r>
          <w:r>
            <w:t>36</w:t>
          </w:r>
          <w:r>
            <w:fldChar w:fldCharType="end"/>
          </w:r>
          <w:r>
            <w:rPr>
              <w:rFonts w:hint="eastAsia" w:ascii="仿宋_GB2312" w:hAnsi="仿宋_GB2312" w:eastAsia="仿宋_GB2312" w:cs="仿宋_GB2312"/>
              <w:szCs w:val="30"/>
            </w:rPr>
            <w:fldChar w:fldCharType="end"/>
          </w:r>
        </w:p>
        <w:p w14:paraId="4F319311">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_Toc25471 </w:instrText>
          </w:r>
          <w:r>
            <w:rPr>
              <w:rFonts w:hint="eastAsia" w:ascii="仿宋_GB2312" w:hAnsi="仿宋_GB2312" w:eastAsia="仿宋_GB2312" w:cs="仿宋_GB2312"/>
              <w:szCs w:val="30"/>
            </w:rPr>
            <w:fldChar w:fldCharType="separate"/>
          </w:r>
          <w:r>
            <w:rPr>
              <w:rFonts w:hint="eastAsia"/>
            </w:rPr>
            <w:t>（七）搭建绿色畜牧循环体系</w:t>
          </w:r>
          <w:r>
            <w:tab/>
          </w:r>
          <w:r>
            <w:fldChar w:fldCharType="begin"/>
          </w:r>
          <w:r>
            <w:instrText xml:space="preserve"> PAGEREF _Toc25471 \h </w:instrText>
          </w:r>
          <w:r>
            <w:fldChar w:fldCharType="separate"/>
          </w:r>
          <w:r>
            <w:t>37</w:t>
          </w:r>
          <w:r>
            <w:fldChar w:fldCharType="end"/>
          </w:r>
          <w:r>
            <w:rPr>
              <w:rFonts w:hint="eastAsia" w:ascii="仿宋_GB2312" w:hAnsi="仿宋_GB2312" w:eastAsia="仿宋_GB2312" w:cs="仿宋_GB2312"/>
              <w:szCs w:val="30"/>
            </w:rPr>
            <w:fldChar w:fldCharType="end"/>
          </w:r>
        </w:p>
        <w:p w14:paraId="3FF7FB30">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_Toc26750 </w:instrText>
          </w:r>
          <w:r>
            <w:rPr>
              <w:rFonts w:hint="eastAsia" w:ascii="仿宋_GB2312" w:hAnsi="仿宋_GB2312" w:eastAsia="仿宋_GB2312" w:cs="仿宋_GB2312"/>
              <w:szCs w:val="30"/>
            </w:rPr>
            <w:fldChar w:fldCharType="separate"/>
          </w:r>
          <w:r>
            <w:rPr>
              <w:rFonts w:hint="eastAsia"/>
            </w:rPr>
            <w:t>（八）加强畜牧服务体系建设</w:t>
          </w:r>
          <w:r>
            <w:tab/>
          </w:r>
          <w:r>
            <w:fldChar w:fldCharType="begin"/>
          </w:r>
          <w:r>
            <w:instrText xml:space="preserve"> PAGEREF _Toc26750 \h </w:instrText>
          </w:r>
          <w:r>
            <w:fldChar w:fldCharType="separate"/>
          </w:r>
          <w:r>
            <w:t>38</w:t>
          </w:r>
          <w:r>
            <w:fldChar w:fldCharType="end"/>
          </w:r>
          <w:r>
            <w:rPr>
              <w:rFonts w:hint="eastAsia" w:ascii="仿宋_GB2312" w:hAnsi="仿宋_GB2312" w:eastAsia="仿宋_GB2312" w:cs="仿宋_GB2312"/>
              <w:szCs w:val="30"/>
            </w:rPr>
            <w:fldChar w:fldCharType="end"/>
          </w:r>
        </w:p>
        <w:p w14:paraId="27D8E92B">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_Toc15230 </w:instrText>
          </w:r>
          <w:r>
            <w:rPr>
              <w:rFonts w:hint="eastAsia" w:ascii="仿宋_GB2312" w:hAnsi="仿宋_GB2312" w:eastAsia="仿宋_GB2312" w:cs="仿宋_GB2312"/>
              <w:szCs w:val="30"/>
            </w:rPr>
            <w:fldChar w:fldCharType="separate"/>
          </w:r>
          <w:r>
            <w:rPr>
              <w:rFonts w:hint="eastAsia"/>
            </w:rPr>
            <w:t>（九）强化特色畜禽品牌建设</w:t>
          </w:r>
          <w:r>
            <w:tab/>
          </w:r>
          <w:r>
            <w:fldChar w:fldCharType="begin"/>
          </w:r>
          <w:r>
            <w:instrText xml:space="preserve"> PAGEREF _Toc15230 \h </w:instrText>
          </w:r>
          <w:r>
            <w:fldChar w:fldCharType="separate"/>
          </w:r>
          <w:r>
            <w:t>38</w:t>
          </w:r>
          <w:r>
            <w:fldChar w:fldCharType="end"/>
          </w:r>
          <w:r>
            <w:rPr>
              <w:rFonts w:hint="eastAsia" w:ascii="仿宋_GB2312" w:hAnsi="仿宋_GB2312" w:eastAsia="仿宋_GB2312" w:cs="仿宋_GB2312"/>
              <w:szCs w:val="30"/>
            </w:rPr>
            <w:fldChar w:fldCharType="end"/>
          </w:r>
        </w:p>
        <w:p w14:paraId="34ED4E0B">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_Toc19258 </w:instrText>
          </w:r>
          <w:r>
            <w:rPr>
              <w:rFonts w:hint="eastAsia" w:ascii="仿宋_GB2312" w:hAnsi="仿宋_GB2312" w:eastAsia="仿宋_GB2312" w:cs="仿宋_GB2312"/>
              <w:szCs w:val="30"/>
            </w:rPr>
            <w:fldChar w:fldCharType="separate"/>
          </w:r>
          <w:r>
            <w:rPr>
              <w:rFonts w:hint="default"/>
            </w:rPr>
            <w:t>五、区域布局</w:t>
          </w:r>
          <w:r>
            <w:tab/>
          </w:r>
          <w:r>
            <w:fldChar w:fldCharType="begin"/>
          </w:r>
          <w:r>
            <w:instrText xml:space="preserve"> PAGEREF _Toc19258 \h </w:instrText>
          </w:r>
          <w:r>
            <w:fldChar w:fldCharType="separate"/>
          </w:r>
          <w:r>
            <w:t>40</w:t>
          </w:r>
          <w:r>
            <w:fldChar w:fldCharType="end"/>
          </w:r>
          <w:r>
            <w:rPr>
              <w:rFonts w:hint="eastAsia" w:ascii="仿宋_GB2312" w:hAnsi="仿宋_GB2312" w:eastAsia="仿宋_GB2312" w:cs="仿宋_GB2312"/>
              <w:szCs w:val="30"/>
            </w:rPr>
            <w:fldChar w:fldCharType="end"/>
          </w:r>
        </w:p>
        <w:p w14:paraId="242E85A8">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_Toc13762 </w:instrText>
          </w:r>
          <w:r>
            <w:rPr>
              <w:rFonts w:hint="eastAsia" w:ascii="仿宋_GB2312" w:hAnsi="仿宋_GB2312" w:eastAsia="仿宋_GB2312" w:cs="仿宋_GB2312"/>
              <w:szCs w:val="30"/>
            </w:rPr>
            <w:fldChar w:fldCharType="separate"/>
          </w:r>
          <w:r>
            <w:rPr>
              <w:rFonts w:hint="eastAsia"/>
            </w:rPr>
            <w:t>（一）禁养区域发展规划</w:t>
          </w:r>
          <w:r>
            <w:tab/>
          </w:r>
          <w:r>
            <w:fldChar w:fldCharType="begin"/>
          </w:r>
          <w:r>
            <w:instrText xml:space="preserve"> PAGEREF _Toc13762 \h </w:instrText>
          </w:r>
          <w:r>
            <w:fldChar w:fldCharType="separate"/>
          </w:r>
          <w:r>
            <w:t>40</w:t>
          </w:r>
          <w:r>
            <w:fldChar w:fldCharType="end"/>
          </w:r>
          <w:r>
            <w:rPr>
              <w:rFonts w:hint="eastAsia" w:ascii="仿宋_GB2312" w:hAnsi="仿宋_GB2312" w:eastAsia="仿宋_GB2312" w:cs="仿宋_GB2312"/>
              <w:szCs w:val="30"/>
            </w:rPr>
            <w:fldChar w:fldCharType="end"/>
          </w:r>
        </w:p>
        <w:p w14:paraId="55033B8E">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_Toc19752 </w:instrText>
          </w:r>
          <w:r>
            <w:rPr>
              <w:rFonts w:hint="eastAsia" w:ascii="仿宋_GB2312" w:hAnsi="仿宋_GB2312" w:eastAsia="仿宋_GB2312" w:cs="仿宋_GB2312"/>
              <w:szCs w:val="30"/>
            </w:rPr>
            <w:fldChar w:fldCharType="separate"/>
          </w:r>
          <w:r>
            <w:rPr>
              <w:rFonts w:hint="eastAsia"/>
            </w:rPr>
            <w:t>（二）限养区域发展规划</w:t>
          </w:r>
          <w:r>
            <w:tab/>
          </w:r>
          <w:r>
            <w:fldChar w:fldCharType="begin"/>
          </w:r>
          <w:r>
            <w:instrText xml:space="preserve"> PAGEREF _Toc19752 \h </w:instrText>
          </w:r>
          <w:r>
            <w:fldChar w:fldCharType="separate"/>
          </w:r>
          <w:r>
            <w:t>43</w:t>
          </w:r>
          <w:r>
            <w:fldChar w:fldCharType="end"/>
          </w:r>
          <w:r>
            <w:rPr>
              <w:rFonts w:hint="eastAsia" w:ascii="仿宋_GB2312" w:hAnsi="仿宋_GB2312" w:eastAsia="仿宋_GB2312" w:cs="仿宋_GB2312"/>
              <w:szCs w:val="30"/>
            </w:rPr>
            <w:fldChar w:fldCharType="end"/>
          </w:r>
        </w:p>
        <w:p w14:paraId="47E930AC">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_Toc21867 </w:instrText>
          </w:r>
          <w:r>
            <w:rPr>
              <w:rFonts w:hint="eastAsia" w:ascii="仿宋_GB2312" w:hAnsi="仿宋_GB2312" w:eastAsia="仿宋_GB2312" w:cs="仿宋_GB2312"/>
              <w:szCs w:val="30"/>
            </w:rPr>
            <w:fldChar w:fldCharType="separate"/>
          </w:r>
          <w:r>
            <w:rPr>
              <w:rFonts w:hint="eastAsia"/>
            </w:rPr>
            <w:t>（三）城市发展区域规划</w:t>
          </w:r>
          <w:r>
            <w:tab/>
          </w:r>
          <w:r>
            <w:fldChar w:fldCharType="begin"/>
          </w:r>
          <w:r>
            <w:instrText xml:space="preserve"> PAGEREF _Toc21867 \h </w:instrText>
          </w:r>
          <w:r>
            <w:fldChar w:fldCharType="separate"/>
          </w:r>
          <w:r>
            <w:t>45</w:t>
          </w:r>
          <w:r>
            <w:fldChar w:fldCharType="end"/>
          </w:r>
          <w:r>
            <w:rPr>
              <w:rFonts w:hint="eastAsia" w:ascii="仿宋_GB2312" w:hAnsi="仿宋_GB2312" w:eastAsia="仿宋_GB2312" w:cs="仿宋_GB2312"/>
              <w:szCs w:val="30"/>
            </w:rPr>
            <w:fldChar w:fldCharType="end"/>
          </w:r>
        </w:p>
        <w:p w14:paraId="17D3465F">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_Toc5871 </w:instrText>
          </w:r>
          <w:r>
            <w:rPr>
              <w:rFonts w:hint="eastAsia" w:ascii="仿宋_GB2312" w:hAnsi="仿宋_GB2312" w:eastAsia="仿宋_GB2312" w:cs="仿宋_GB2312"/>
              <w:szCs w:val="30"/>
            </w:rPr>
            <w:fldChar w:fldCharType="separate"/>
          </w:r>
          <w:r>
            <w:rPr>
              <w:rFonts w:hint="eastAsia"/>
            </w:rPr>
            <w:t>（四）适养区域发展规划</w:t>
          </w:r>
          <w:r>
            <w:tab/>
          </w:r>
          <w:r>
            <w:fldChar w:fldCharType="begin"/>
          </w:r>
          <w:r>
            <w:instrText xml:space="preserve"> PAGEREF _Toc5871 \h </w:instrText>
          </w:r>
          <w:r>
            <w:fldChar w:fldCharType="separate"/>
          </w:r>
          <w:r>
            <w:t>47</w:t>
          </w:r>
          <w:r>
            <w:fldChar w:fldCharType="end"/>
          </w:r>
          <w:r>
            <w:rPr>
              <w:rFonts w:hint="eastAsia" w:ascii="仿宋_GB2312" w:hAnsi="仿宋_GB2312" w:eastAsia="仿宋_GB2312" w:cs="仿宋_GB2312"/>
              <w:szCs w:val="30"/>
            </w:rPr>
            <w:fldChar w:fldCharType="end"/>
          </w:r>
        </w:p>
        <w:p w14:paraId="5273B7A8">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_Toc12904 </w:instrText>
          </w:r>
          <w:r>
            <w:rPr>
              <w:rFonts w:hint="eastAsia" w:ascii="仿宋_GB2312" w:hAnsi="仿宋_GB2312" w:eastAsia="仿宋_GB2312" w:cs="仿宋_GB2312"/>
              <w:szCs w:val="30"/>
            </w:rPr>
            <w:fldChar w:fldCharType="separate"/>
          </w:r>
          <w:r>
            <w:rPr>
              <w:rFonts w:hint="eastAsia"/>
              <w:lang w:val="en-US" w:eastAsia="zh-CN"/>
            </w:rPr>
            <w:t>六、畜禽产业发展规划</w:t>
          </w:r>
          <w:r>
            <w:tab/>
          </w:r>
          <w:r>
            <w:fldChar w:fldCharType="begin"/>
          </w:r>
          <w:r>
            <w:instrText xml:space="preserve"> PAGEREF _Toc12904 \h </w:instrText>
          </w:r>
          <w:r>
            <w:fldChar w:fldCharType="separate"/>
          </w:r>
          <w:r>
            <w:t>50</w:t>
          </w:r>
          <w:r>
            <w:fldChar w:fldCharType="end"/>
          </w:r>
          <w:r>
            <w:rPr>
              <w:rFonts w:hint="eastAsia" w:ascii="仿宋_GB2312" w:hAnsi="仿宋_GB2312" w:eastAsia="仿宋_GB2312" w:cs="仿宋_GB2312"/>
              <w:szCs w:val="30"/>
            </w:rPr>
            <w:fldChar w:fldCharType="end"/>
          </w:r>
        </w:p>
        <w:p w14:paraId="305F09F2">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_Toc13090 </w:instrText>
          </w:r>
          <w:r>
            <w:rPr>
              <w:rFonts w:hint="eastAsia" w:ascii="仿宋_GB2312" w:hAnsi="仿宋_GB2312" w:eastAsia="仿宋_GB2312" w:cs="仿宋_GB2312"/>
              <w:szCs w:val="30"/>
            </w:rPr>
            <w:fldChar w:fldCharType="separate"/>
          </w:r>
          <w:r>
            <w:rPr>
              <w:rFonts w:hint="eastAsia"/>
              <w:lang w:val="en-US" w:eastAsia="zh-CN"/>
            </w:rPr>
            <w:t>（一）</w:t>
          </w:r>
          <w:r>
            <w:rPr>
              <w:rFonts w:hint="eastAsia"/>
            </w:rPr>
            <w:t>生猪</w:t>
          </w:r>
          <w:r>
            <w:rPr>
              <w:rFonts w:hint="eastAsia"/>
              <w:lang w:val="en-US" w:eastAsia="zh-CN"/>
            </w:rPr>
            <w:t>产业发展规划</w:t>
          </w:r>
          <w:r>
            <w:tab/>
          </w:r>
          <w:r>
            <w:fldChar w:fldCharType="begin"/>
          </w:r>
          <w:r>
            <w:instrText xml:space="preserve"> PAGEREF _Toc13090 \h </w:instrText>
          </w:r>
          <w:r>
            <w:fldChar w:fldCharType="separate"/>
          </w:r>
          <w:r>
            <w:t>50</w:t>
          </w:r>
          <w:r>
            <w:fldChar w:fldCharType="end"/>
          </w:r>
          <w:r>
            <w:rPr>
              <w:rFonts w:hint="eastAsia" w:ascii="仿宋_GB2312" w:hAnsi="仿宋_GB2312" w:eastAsia="仿宋_GB2312" w:cs="仿宋_GB2312"/>
              <w:szCs w:val="30"/>
            </w:rPr>
            <w:fldChar w:fldCharType="end"/>
          </w:r>
        </w:p>
        <w:p w14:paraId="7B7E3675">
          <w:pPr>
            <w:pStyle w:val="17"/>
            <w:tabs>
              <w:tab w:val="right" w:leader="dot" w:pos="8306"/>
            </w:tabs>
            <w:rPr>
              <w:rFonts w:hint="eastAsia" w:ascii="仿宋_GB2312" w:hAnsi="仿宋_GB2312" w:eastAsia="仿宋_GB2312" w:cs="仿宋_GB2312"/>
            </w:rPr>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_Toc7663 </w:instrText>
          </w:r>
          <w:r>
            <w:rPr>
              <w:rFonts w:hint="eastAsia" w:ascii="仿宋_GB2312" w:hAnsi="仿宋_GB2312" w:eastAsia="仿宋_GB2312" w:cs="仿宋_GB2312"/>
              <w:szCs w:val="30"/>
            </w:rPr>
            <w:fldChar w:fldCharType="separate"/>
          </w:r>
          <w:r>
            <w:rPr>
              <w:rFonts w:hint="eastAsia" w:ascii="仿宋_GB2312" w:hAnsi="仿宋_GB2312" w:eastAsia="仿宋_GB2312" w:cs="仿宋_GB2312"/>
              <w:bCs/>
              <w:lang w:val="en-US" w:eastAsia="zh-CN"/>
            </w:rPr>
            <w:t>（二）</w:t>
          </w:r>
          <w:r>
            <w:rPr>
              <w:rFonts w:hint="eastAsia" w:ascii="仿宋_GB2312" w:hAnsi="仿宋_GB2312" w:eastAsia="仿宋_GB2312" w:cs="仿宋_GB2312"/>
              <w:bCs/>
            </w:rPr>
            <w:t>家禽</w:t>
          </w:r>
          <w:r>
            <w:rPr>
              <w:rFonts w:hint="eastAsia" w:ascii="仿宋_GB2312" w:hAnsi="仿宋_GB2312" w:eastAsia="仿宋_GB2312" w:cs="仿宋_GB2312"/>
              <w:bCs/>
              <w:lang w:val="en-US" w:eastAsia="zh-CN"/>
            </w:rPr>
            <w:t>产业规划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_Toc7663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szCs w:val="30"/>
            </w:rPr>
            <w:fldChar w:fldCharType="end"/>
          </w:r>
        </w:p>
        <w:p w14:paraId="04CF6EF2">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_Toc9031 </w:instrText>
          </w:r>
          <w:r>
            <w:rPr>
              <w:rFonts w:hint="eastAsia" w:ascii="仿宋_GB2312" w:hAnsi="仿宋_GB2312" w:eastAsia="仿宋_GB2312" w:cs="仿宋_GB2312"/>
              <w:szCs w:val="30"/>
            </w:rPr>
            <w:fldChar w:fldCharType="separate"/>
          </w:r>
          <w:r>
            <w:rPr>
              <w:rFonts w:hint="eastAsia" w:ascii="仿宋_GB2312" w:hAnsi="仿宋_GB2312" w:eastAsia="仿宋_GB2312" w:cs="仿宋_GB2312"/>
              <w:bCs/>
              <w:lang w:val="en-US" w:eastAsia="zh-CN"/>
            </w:rPr>
            <w:t>（三）</w:t>
          </w:r>
          <w:r>
            <w:rPr>
              <w:rFonts w:hint="eastAsia" w:ascii="仿宋_GB2312" w:hAnsi="仿宋_GB2312" w:eastAsia="仿宋_GB2312" w:cs="仿宋_GB2312"/>
              <w:bCs/>
            </w:rPr>
            <w:t>肉牛</w:t>
          </w:r>
          <w:r>
            <w:rPr>
              <w:rFonts w:hint="eastAsia" w:ascii="仿宋_GB2312" w:hAnsi="仿宋_GB2312" w:eastAsia="仿宋_GB2312" w:cs="仿宋_GB2312"/>
              <w:bCs/>
              <w:lang w:val="en-US" w:eastAsia="zh-CN"/>
            </w:rPr>
            <w:t>产业发展规划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53</w:t>
          </w:r>
          <w:r>
            <w:rPr>
              <w:rFonts w:hint="eastAsia" w:ascii="仿宋_GB2312" w:hAnsi="仿宋_GB2312" w:eastAsia="仿宋_GB2312" w:cs="仿宋_GB2312"/>
            </w:rPr>
            <w:fldChar w:fldCharType="end"/>
          </w:r>
          <w:r>
            <w:rPr>
              <w:rFonts w:hint="eastAsia" w:ascii="仿宋_GB2312" w:hAnsi="仿宋_GB2312" w:eastAsia="仿宋_GB2312" w:cs="仿宋_GB2312"/>
              <w:szCs w:val="30"/>
            </w:rPr>
            <w:fldChar w:fldCharType="end"/>
          </w:r>
        </w:p>
        <w:p w14:paraId="61EDB3E5">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_Toc23541 </w:instrText>
          </w:r>
          <w:r>
            <w:rPr>
              <w:rFonts w:hint="eastAsia" w:ascii="仿宋_GB2312" w:hAnsi="仿宋_GB2312" w:eastAsia="仿宋_GB2312" w:cs="仿宋_GB2312"/>
              <w:szCs w:val="30"/>
            </w:rPr>
            <w:fldChar w:fldCharType="separate"/>
          </w:r>
          <w:r>
            <w:rPr>
              <w:rFonts w:hint="eastAsia"/>
              <w:lang w:val="en-US" w:eastAsia="zh-CN"/>
            </w:rPr>
            <w:t>（四）</w:t>
          </w:r>
          <w:r>
            <w:rPr>
              <w:rFonts w:hint="eastAsia"/>
            </w:rPr>
            <w:t>特色畜禽</w:t>
          </w:r>
          <w:r>
            <w:tab/>
          </w:r>
          <w:r>
            <w:fldChar w:fldCharType="begin"/>
          </w:r>
          <w:r>
            <w:instrText xml:space="preserve"> PAGEREF _Toc23541 \h </w:instrText>
          </w:r>
          <w:r>
            <w:fldChar w:fldCharType="separate"/>
          </w:r>
          <w:r>
            <w:t>55</w:t>
          </w:r>
          <w:r>
            <w:fldChar w:fldCharType="end"/>
          </w:r>
          <w:r>
            <w:rPr>
              <w:rFonts w:hint="eastAsia" w:ascii="仿宋_GB2312" w:hAnsi="仿宋_GB2312" w:eastAsia="仿宋_GB2312" w:cs="仿宋_GB2312"/>
              <w:szCs w:val="30"/>
            </w:rPr>
            <w:fldChar w:fldCharType="end"/>
          </w:r>
        </w:p>
        <w:p w14:paraId="7B11D416">
          <w:pPr>
            <w:pStyle w:val="15"/>
            <w:tabs>
              <w:tab w:val="right" w:leader="dot" w:pos="8306"/>
              <w:tab w:val="clear" w:pos="829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_Toc18935 </w:instrText>
          </w:r>
          <w:r>
            <w:rPr>
              <w:rFonts w:hint="eastAsia" w:ascii="仿宋_GB2312" w:hAnsi="仿宋_GB2312" w:eastAsia="仿宋_GB2312" w:cs="仿宋_GB2312"/>
              <w:szCs w:val="30"/>
            </w:rPr>
            <w:fldChar w:fldCharType="separate"/>
          </w:r>
          <w:r>
            <w:rPr>
              <w:rFonts w:hint="eastAsia"/>
              <w:lang w:val="en-US" w:eastAsia="zh-CN"/>
            </w:rPr>
            <w:t>七</w:t>
          </w:r>
          <w:r>
            <w:rPr>
              <w:rFonts w:hint="eastAsia"/>
            </w:rPr>
            <w:t>、保障措施</w:t>
          </w:r>
          <w:r>
            <w:tab/>
          </w:r>
          <w:r>
            <w:fldChar w:fldCharType="begin"/>
          </w:r>
          <w:r>
            <w:instrText xml:space="preserve"> PAGEREF _Toc18935 \h </w:instrText>
          </w:r>
          <w:r>
            <w:fldChar w:fldCharType="separate"/>
          </w:r>
          <w:r>
            <w:t>58</w:t>
          </w:r>
          <w:r>
            <w:fldChar w:fldCharType="end"/>
          </w:r>
          <w:r>
            <w:rPr>
              <w:rFonts w:hint="eastAsia" w:ascii="仿宋_GB2312" w:hAnsi="仿宋_GB2312" w:eastAsia="仿宋_GB2312" w:cs="仿宋_GB2312"/>
              <w:szCs w:val="30"/>
            </w:rPr>
            <w:fldChar w:fldCharType="end"/>
          </w:r>
        </w:p>
        <w:p w14:paraId="1E327021">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_Toc8511 </w:instrText>
          </w:r>
          <w:r>
            <w:rPr>
              <w:rFonts w:hint="eastAsia" w:ascii="仿宋_GB2312" w:hAnsi="仿宋_GB2312" w:eastAsia="仿宋_GB2312" w:cs="仿宋_GB2312"/>
              <w:szCs w:val="30"/>
            </w:rPr>
            <w:fldChar w:fldCharType="separate"/>
          </w:r>
          <w:r>
            <w:rPr>
              <w:rFonts w:hint="eastAsia"/>
            </w:rPr>
            <w:t>（一）强化组织保障</w:t>
          </w:r>
          <w:r>
            <w:tab/>
          </w:r>
          <w:r>
            <w:fldChar w:fldCharType="begin"/>
          </w:r>
          <w:r>
            <w:instrText xml:space="preserve"> PAGEREF _Toc8511 \h </w:instrText>
          </w:r>
          <w:r>
            <w:fldChar w:fldCharType="separate"/>
          </w:r>
          <w:r>
            <w:t>58</w:t>
          </w:r>
          <w:r>
            <w:fldChar w:fldCharType="end"/>
          </w:r>
          <w:r>
            <w:rPr>
              <w:rFonts w:hint="eastAsia" w:ascii="仿宋_GB2312" w:hAnsi="仿宋_GB2312" w:eastAsia="仿宋_GB2312" w:cs="仿宋_GB2312"/>
              <w:szCs w:val="30"/>
            </w:rPr>
            <w:fldChar w:fldCharType="end"/>
          </w:r>
        </w:p>
        <w:p w14:paraId="6224718C">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_Toc15151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三</w:t>
          </w:r>
          <w:r>
            <w:rPr>
              <w:rFonts w:hint="eastAsia"/>
            </w:rPr>
            <w:t>）落实政策保障</w:t>
          </w:r>
          <w:r>
            <w:tab/>
          </w:r>
          <w:r>
            <w:fldChar w:fldCharType="begin"/>
          </w:r>
          <w:r>
            <w:instrText xml:space="preserve"> PAGEREF _Toc15151 \h </w:instrText>
          </w:r>
          <w:r>
            <w:fldChar w:fldCharType="separate"/>
          </w:r>
          <w:r>
            <w:t>59</w:t>
          </w:r>
          <w:r>
            <w:fldChar w:fldCharType="end"/>
          </w:r>
          <w:r>
            <w:rPr>
              <w:rFonts w:hint="eastAsia" w:ascii="仿宋_GB2312" w:hAnsi="仿宋_GB2312" w:eastAsia="仿宋_GB2312" w:cs="仿宋_GB2312"/>
              <w:szCs w:val="30"/>
            </w:rPr>
            <w:fldChar w:fldCharType="end"/>
          </w:r>
        </w:p>
        <w:p w14:paraId="608F8E67">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_Toc17141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四</w:t>
          </w:r>
          <w:r>
            <w:rPr>
              <w:rFonts w:hint="eastAsia"/>
            </w:rPr>
            <w:t>）加大财政投入</w:t>
          </w:r>
          <w:r>
            <w:tab/>
          </w:r>
          <w:r>
            <w:fldChar w:fldCharType="begin"/>
          </w:r>
          <w:r>
            <w:instrText xml:space="preserve"> PAGEREF _Toc17141 \h </w:instrText>
          </w:r>
          <w:r>
            <w:fldChar w:fldCharType="separate"/>
          </w:r>
          <w:r>
            <w:t>59</w:t>
          </w:r>
          <w:r>
            <w:fldChar w:fldCharType="end"/>
          </w:r>
          <w:r>
            <w:rPr>
              <w:rFonts w:hint="eastAsia" w:ascii="仿宋_GB2312" w:hAnsi="仿宋_GB2312" w:eastAsia="仿宋_GB2312" w:cs="仿宋_GB2312"/>
              <w:szCs w:val="30"/>
            </w:rPr>
            <w:fldChar w:fldCharType="end"/>
          </w:r>
        </w:p>
        <w:p w14:paraId="6155B0DD">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_Toc19474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五</w:t>
          </w:r>
          <w:r>
            <w:rPr>
              <w:rFonts w:hint="eastAsia"/>
            </w:rPr>
            <w:t>）加强科技保障</w:t>
          </w:r>
          <w:r>
            <w:tab/>
          </w:r>
          <w:r>
            <w:fldChar w:fldCharType="begin"/>
          </w:r>
          <w:r>
            <w:instrText xml:space="preserve"> PAGEREF _Toc19474 \h </w:instrText>
          </w:r>
          <w:r>
            <w:fldChar w:fldCharType="separate"/>
          </w:r>
          <w:r>
            <w:t>60</w:t>
          </w:r>
          <w:r>
            <w:fldChar w:fldCharType="end"/>
          </w:r>
          <w:r>
            <w:rPr>
              <w:rFonts w:hint="eastAsia" w:ascii="仿宋_GB2312" w:hAnsi="仿宋_GB2312" w:eastAsia="仿宋_GB2312" w:cs="仿宋_GB2312"/>
              <w:szCs w:val="30"/>
            </w:rPr>
            <w:fldChar w:fldCharType="end"/>
          </w:r>
        </w:p>
        <w:p w14:paraId="26CA2CEB">
          <w:pPr>
            <w:pStyle w:val="17"/>
            <w:tabs>
              <w:tab w:val="right" w:leader="dot" w:pos="8306"/>
            </w:tabs>
          </w:pPr>
          <w:r>
            <w:rPr>
              <w:rFonts w:hint="eastAsia" w:ascii="仿宋_GB2312" w:hAnsi="仿宋_GB2312" w:eastAsia="仿宋_GB2312" w:cs="仿宋_GB2312"/>
              <w:szCs w:val="30"/>
            </w:rPr>
            <w:fldChar w:fldCharType="begin"/>
          </w:r>
          <w:r>
            <w:rPr>
              <w:rFonts w:hint="eastAsia" w:ascii="仿宋_GB2312" w:hAnsi="仿宋_GB2312" w:eastAsia="仿宋_GB2312" w:cs="仿宋_GB2312"/>
              <w:szCs w:val="30"/>
            </w:rPr>
            <w:instrText xml:space="preserve"> HYPERLINK \l _Toc11237 </w:instrText>
          </w:r>
          <w:r>
            <w:rPr>
              <w:rFonts w:hint="eastAsia" w:ascii="仿宋_GB2312" w:hAnsi="仿宋_GB2312" w:eastAsia="仿宋_GB2312" w:cs="仿宋_GB2312"/>
              <w:szCs w:val="30"/>
            </w:rPr>
            <w:fldChar w:fldCharType="separate"/>
          </w:r>
          <w:r>
            <w:rPr>
              <w:rFonts w:hint="eastAsia"/>
            </w:rPr>
            <w:t>（</w:t>
          </w:r>
          <w:r>
            <w:rPr>
              <w:rFonts w:hint="eastAsia"/>
              <w:lang w:val="en-US" w:eastAsia="zh-CN"/>
            </w:rPr>
            <w:t>六</w:t>
          </w:r>
          <w:r>
            <w:rPr>
              <w:rFonts w:hint="eastAsia"/>
            </w:rPr>
            <w:t>）完善法制保障</w:t>
          </w:r>
          <w:r>
            <w:tab/>
          </w:r>
          <w:r>
            <w:fldChar w:fldCharType="begin"/>
          </w:r>
          <w:r>
            <w:instrText xml:space="preserve"> PAGEREF _Toc11237 \h </w:instrText>
          </w:r>
          <w:r>
            <w:fldChar w:fldCharType="separate"/>
          </w:r>
          <w:r>
            <w:t>61</w:t>
          </w:r>
          <w:r>
            <w:fldChar w:fldCharType="end"/>
          </w:r>
          <w:r>
            <w:rPr>
              <w:rFonts w:hint="eastAsia" w:ascii="仿宋_GB2312" w:hAnsi="仿宋_GB2312" w:eastAsia="仿宋_GB2312" w:cs="仿宋_GB2312"/>
              <w:szCs w:val="30"/>
            </w:rPr>
            <w:fldChar w:fldCharType="end"/>
          </w:r>
        </w:p>
        <w:p w14:paraId="47064FF1">
          <w:pPr>
            <w:pStyle w:val="17"/>
            <w:keepNext w:val="0"/>
            <w:keepLines w:val="0"/>
            <w:pageBreakBefore w:val="0"/>
            <w:widowControl w:val="0"/>
            <w:tabs>
              <w:tab w:val="right" w:leader="dot" w:pos="8306"/>
            </w:tabs>
            <w:kinsoku/>
            <w:wordWrap/>
            <w:overflowPunct/>
            <w:topLinePunct w:val="0"/>
            <w:autoSpaceDE/>
            <w:autoSpaceDN/>
            <w:bidi w:val="0"/>
            <w:adjustRightInd/>
            <w:snapToGrid/>
            <w:spacing w:line="460" w:lineRule="exact"/>
            <w:ind w:left="640" w:leftChars="200" w:firstLine="0" w:firstLineChars="0"/>
            <w:textAlignment w:val="auto"/>
            <w:sectPr>
              <w:footerReference r:id="rId6"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zCs w:val="30"/>
            </w:rPr>
            <w:fldChar w:fldCharType="end"/>
          </w:r>
        </w:p>
      </w:sdtContent>
    </w:sdt>
    <w:p w14:paraId="15FC7B9E">
      <w:pPr>
        <w:pStyle w:val="2"/>
        <w:bidi w:val="0"/>
        <w:rPr>
          <w:rFonts w:hint="default"/>
        </w:rPr>
      </w:pPr>
      <w:bookmarkStart w:id="2" w:name="_Toc31012"/>
      <w:r>
        <w:t>一、总</w:t>
      </w:r>
      <w:r>
        <w:rPr>
          <w:rFonts w:hint="eastAsia"/>
          <w:lang w:val="en-US" w:eastAsia="zh-CN"/>
        </w:rPr>
        <w:t xml:space="preserve">  </w:t>
      </w:r>
      <w:r>
        <w:t>则</w:t>
      </w:r>
      <w:bookmarkEnd w:id="1"/>
      <w:bookmarkEnd w:id="2"/>
    </w:p>
    <w:p w14:paraId="6E092418">
      <w:pPr>
        <w:pStyle w:val="3"/>
        <w:numPr>
          <w:ilvl w:val="0"/>
          <w:numId w:val="0"/>
        </w:numPr>
        <w:bidi w:val="0"/>
        <w:ind w:firstLine="643" w:firstLineChars="200"/>
      </w:pPr>
      <w:bookmarkStart w:id="3" w:name="_Toc10501"/>
      <w:bookmarkStart w:id="4" w:name="_Toc27897"/>
      <w:r>
        <w:rPr>
          <w:rFonts w:hint="eastAsia" w:ascii="黑体" w:hAnsi="黑体" w:eastAsia="黑体" w:cs="Times New Roman"/>
          <w:b/>
          <w:bCs/>
          <w:kern w:val="2"/>
          <w:sz w:val="32"/>
          <w:szCs w:val="32"/>
          <w:lang w:val="en-US" w:eastAsia="zh-CN" w:bidi="ar-SA"/>
        </w:rPr>
        <w:t>（一）</w:t>
      </w:r>
      <w:r>
        <w:rPr>
          <w:rFonts w:hint="eastAsia"/>
        </w:rPr>
        <w:t>规划背景与意义</w:t>
      </w:r>
      <w:bookmarkEnd w:id="3"/>
      <w:bookmarkEnd w:id="4"/>
    </w:p>
    <w:p w14:paraId="2F99B92A">
      <w:pPr>
        <w:bidi w:val="0"/>
      </w:pPr>
      <w:r>
        <w:rPr>
          <w:rFonts w:hint="eastAsia"/>
        </w:rPr>
        <w:t>畜牧业是农业和农村经济主导产业之一，在促进农民增收，推进农业现代化以及提高城乡居民营养水平等方面发挥重要作用。“十四五”时期是我国开启全面建设社会主义现代化国家新征程、向第二个百年奋斗目标进军的第一个五年，也是全面推进乡村振兴、加快农业农村现代化、促进畜牧业转型升级的重要五年。</w:t>
      </w:r>
    </w:p>
    <w:p w14:paraId="57607C82">
      <w:pPr>
        <w:bidi w:val="0"/>
      </w:pPr>
      <w:r>
        <w:rPr>
          <w:rFonts w:hint="eastAsia"/>
        </w:rPr>
        <w:t>为进一步贯彻党的二十大精神，深入贯彻习近平总书记对广东系列重要讲话和重要指示精神，梅县区将遵循绿色发展理念，着力培育畜牧业发展新业态和特色优质品牌，完善动物防疫体系，提升畜禽产品加工流通水平，推动畜牧业绿色循环发展，形成产出高效、产品安</w:t>
      </w:r>
      <w:bookmarkStart w:id="180" w:name="_GoBack"/>
      <w:bookmarkEnd w:id="180"/>
      <w:r>
        <w:rPr>
          <w:rFonts w:hint="eastAsia"/>
        </w:rPr>
        <w:t>全、资源节约、环境友善、调控有效的现代畜牧产业高质量发展新格局，以转变畜牧业增长方式为核心，加快构建规模养殖场、专业户和散养户分类规范发展和管理的体系，积极探索现代畜牧业和农村种养共存互补的发展模式，开展综合防治工作，实现畜禽废弃物减量化、无害化、资源化和生态化，推动全区畜牧业健康发展，助力乡村振兴。加快发展草食动物和特色畜禽生产，全面提高畜禽综合生产能力，促进畜牧产业优化升级，推动梅县区畜牧业高质量发展。</w:t>
      </w:r>
    </w:p>
    <w:p w14:paraId="7EE6D7B6">
      <w:pPr>
        <w:bidi w:val="0"/>
      </w:pPr>
      <w:r>
        <w:rPr>
          <w:rFonts w:hint="eastAsia"/>
        </w:rPr>
        <w:t>为了更好指导全区生态高效畜牧业的发展，加快梅县区畜牧业增长方式转变，促进结构调整，优化产业布局，夯实现代畜牧产业基础，推进梅县区现代畜牧业的建设，组织开展《梅县区畜禽养殖发展规划（2023—2028年）》的编制工作。</w:t>
      </w:r>
    </w:p>
    <w:p w14:paraId="51983F49">
      <w:pPr>
        <w:pStyle w:val="3"/>
        <w:bidi w:val="0"/>
      </w:pPr>
      <w:bookmarkStart w:id="5" w:name="_Toc11943"/>
      <w:bookmarkStart w:id="6" w:name="_Toc27862"/>
      <w:r>
        <w:rPr>
          <w:rFonts w:hint="eastAsia"/>
        </w:rPr>
        <w:t>（二）规划范围</w:t>
      </w:r>
      <w:bookmarkEnd w:id="5"/>
      <w:bookmarkEnd w:id="6"/>
    </w:p>
    <w:p w14:paraId="181C18D8">
      <w:pPr>
        <w:bidi w:val="0"/>
      </w:pPr>
      <w:r>
        <w:rPr>
          <w:rFonts w:hint="eastAsia"/>
        </w:rPr>
        <w:t>本规划范围覆盖梅县行政区所辖范围，行政区域面积2482.86平方千米。包括梅县区下辖新城办事处、扶大高新区管理委员会2个镇级建制单位和程江、南口、畲江、水车、梅南、梅西、石坑、大坪、城东、石扇、白渡、丙村、雁洋、松口、隆文、桃尧、松源17个镇。</w:t>
      </w:r>
    </w:p>
    <w:p w14:paraId="4312F461">
      <w:pPr>
        <w:pStyle w:val="3"/>
        <w:bidi w:val="0"/>
      </w:pPr>
      <w:bookmarkStart w:id="7" w:name="_Toc14452"/>
      <w:bookmarkStart w:id="8" w:name="_Toc30542"/>
      <w:r>
        <w:rPr>
          <w:rFonts w:hint="eastAsia"/>
        </w:rPr>
        <w:t>（三）规划期限</w:t>
      </w:r>
      <w:bookmarkEnd w:id="7"/>
      <w:bookmarkEnd w:id="8"/>
    </w:p>
    <w:p w14:paraId="0E0017ED">
      <w:pPr>
        <w:bidi w:val="0"/>
      </w:pPr>
      <w:r>
        <w:rPr>
          <w:rFonts w:hint="eastAsia"/>
        </w:rPr>
        <w:t>2023年0</w:t>
      </w:r>
      <w:r>
        <w:rPr>
          <w:rFonts w:hint="eastAsia"/>
          <w:lang w:val="en-US" w:eastAsia="zh-CN"/>
        </w:rPr>
        <w:t>8</w:t>
      </w:r>
      <w:r>
        <w:rPr>
          <w:rFonts w:hint="eastAsia"/>
        </w:rPr>
        <w:t>月-2028年0</w:t>
      </w:r>
      <w:r>
        <w:rPr>
          <w:rFonts w:hint="eastAsia"/>
          <w:lang w:val="en-US" w:eastAsia="zh-CN"/>
        </w:rPr>
        <w:t>8</w:t>
      </w:r>
      <w:r>
        <w:rPr>
          <w:rFonts w:hint="eastAsia"/>
        </w:rPr>
        <w:t>月。</w:t>
      </w:r>
    </w:p>
    <w:p w14:paraId="573410DB">
      <w:pPr>
        <w:pStyle w:val="3"/>
        <w:bidi w:val="0"/>
      </w:pPr>
      <w:bookmarkStart w:id="9" w:name="_Toc7195"/>
      <w:bookmarkStart w:id="10" w:name="_Toc2737"/>
      <w:r>
        <w:rPr>
          <w:rFonts w:hint="eastAsia"/>
        </w:rPr>
        <w:t>（四）规划对象</w:t>
      </w:r>
      <w:bookmarkEnd w:id="9"/>
      <w:bookmarkEnd w:id="10"/>
    </w:p>
    <w:p w14:paraId="43D1C0BD">
      <w:pPr>
        <w:bidi w:val="0"/>
      </w:pPr>
      <w:r>
        <w:rPr>
          <w:rFonts w:hint="eastAsia"/>
        </w:rPr>
        <w:t>规划对象包括区、镇（街道）、村各级畜禽散养户、专业户和规模养殖场（小区）、畜禽养殖龙头企业、畜禽标准化生产基地。</w:t>
      </w:r>
    </w:p>
    <w:p w14:paraId="0E4E5E53">
      <w:pPr>
        <w:pStyle w:val="3"/>
        <w:bidi w:val="0"/>
      </w:pPr>
      <w:bookmarkStart w:id="11" w:name="_Toc1329"/>
      <w:bookmarkStart w:id="12" w:name="_Toc14990"/>
      <w:r>
        <w:rPr>
          <w:rFonts w:hint="eastAsia"/>
        </w:rPr>
        <w:t>（五）规划依据</w:t>
      </w:r>
      <w:bookmarkEnd w:id="11"/>
      <w:bookmarkEnd w:id="12"/>
    </w:p>
    <w:p w14:paraId="231D68BF">
      <w:pPr>
        <w:bidi w:val="0"/>
      </w:pPr>
      <w:r>
        <w:rPr>
          <w:rFonts w:hint="eastAsia"/>
        </w:rPr>
        <w:t>1.《中华人民共和国畜牧法》;</w:t>
      </w:r>
    </w:p>
    <w:p w14:paraId="0829842F">
      <w:pPr>
        <w:bidi w:val="0"/>
      </w:pPr>
      <w:r>
        <w:rPr>
          <w:rFonts w:hint="eastAsia"/>
        </w:rPr>
        <w:t>2.《中华人民共和国环境保护法》;</w:t>
      </w:r>
    </w:p>
    <w:p w14:paraId="5F09A090">
      <w:pPr>
        <w:bidi w:val="0"/>
      </w:pPr>
      <w:r>
        <w:rPr>
          <w:rFonts w:hint="eastAsia"/>
        </w:rPr>
        <w:t>3.《中华人民共和国水污染防治法》;</w:t>
      </w:r>
    </w:p>
    <w:p w14:paraId="0E30B7F8">
      <w:pPr>
        <w:bidi w:val="0"/>
      </w:pPr>
      <w:r>
        <w:rPr>
          <w:rFonts w:hint="eastAsia"/>
        </w:rPr>
        <w:t>4.《中华人民共和国大气污染防治法》;</w:t>
      </w:r>
    </w:p>
    <w:p w14:paraId="4E945F1B">
      <w:pPr>
        <w:bidi w:val="0"/>
      </w:pPr>
      <w:r>
        <w:rPr>
          <w:rFonts w:hint="eastAsia"/>
        </w:rPr>
        <w:t>5.《畜禽规模养殖污染防治条例》;</w:t>
      </w:r>
    </w:p>
    <w:p w14:paraId="1013759D">
      <w:pPr>
        <w:bidi w:val="0"/>
      </w:pPr>
      <w:r>
        <w:rPr>
          <w:rFonts w:hint="eastAsia"/>
        </w:rPr>
        <w:t>6.《中华人民共和国动物防疫法》;</w:t>
      </w:r>
    </w:p>
    <w:p w14:paraId="5FA4596F">
      <w:pPr>
        <w:bidi w:val="0"/>
      </w:pPr>
      <w:r>
        <w:rPr>
          <w:rFonts w:hint="eastAsia"/>
        </w:rPr>
        <w:t>7.《动物防疫条件审查办法》;</w:t>
      </w:r>
    </w:p>
    <w:p w14:paraId="7EE17086">
      <w:pPr>
        <w:bidi w:val="0"/>
      </w:pPr>
      <w:r>
        <w:rPr>
          <w:rFonts w:hint="eastAsia"/>
        </w:rPr>
        <w:t>8.《水污染防治行动计划》;</w:t>
      </w:r>
    </w:p>
    <w:p w14:paraId="011E43CC">
      <w:pPr>
        <w:bidi w:val="0"/>
      </w:pPr>
      <w:r>
        <w:rPr>
          <w:rFonts w:hint="eastAsia"/>
        </w:rPr>
        <w:t>9.《畜禽养殖禁养区划定技术指南》;</w:t>
      </w:r>
    </w:p>
    <w:p w14:paraId="7BA0D123">
      <w:pPr>
        <w:bidi w:val="0"/>
      </w:pPr>
      <w:r>
        <w:rPr>
          <w:rFonts w:hint="eastAsia"/>
        </w:rPr>
        <w:t>10.《广东省畜禽养殖水污染防治方案》;</w:t>
      </w:r>
    </w:p>
    <w:p w14:paraId="777BDF18">
      <w:pPr>
        <w:bidi w:val="0"/>
      </w:pPr>
      <w:r>
        <w:rPr>
          <w:rFonts w:hint="eastAsia"/>
        </w:rPr>
        <w:t>11.《广东省农业农村厅种畜禽生产经营许可证发放和畜禽养殖备案办法》;</w:t>
      </w:r>
    </w:p>
    <w:p w14:paraId="0B072B67">
      <w:pPr>
        <w:bidi w:val="0"/>
      </w:pPr>
      <w:r>
        <w:rPr>
          <w:rFonts w:hint="eastAsia"/>
        </w:rPr>
        <w:t>12.广东省现代畜牧业发展“十四五”规划（2021—2025年）。</w:t>
      </w:r>
    </w:p>
    <w:p w14:paraId="5D5C1CD6">
      <w:pPr>
        <w:bidi w:val="0"/>
      </w:pPr>
      <w:r>
        <w:rPr>
          <w:rFonts w:hint="eastAsia"/>
        </w:rPr>
        <w:t>13.《梅州市加快推进生猪家禽产业转型升级实施方案》;</w:t>
      </w:r>
    </w:p>
    <w:p w14:paraId="0A41020F">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14.《梅州市生猪产业发展规划和区域布局（2020-2025）》；</w:t>
      </w:r>
    </w:p>
    <w:p w14:paraId="77895C59">
      <w:pPr>
        <w:bidi w:val="0"/>
      </w:pPr>
      <w:r>
        <w:rPr>
          <w:rFonts w:hint="eastAsia"/>
        </w:rPr>
        <w:t>15.梅州市农业农村局关于印发《梅州市生猪产能调控实施案（暂行）》的通知（梅市农农〔2022〕26号）；</w:t>
      </w:r>
    </w:p>
    <w:p w14:paraId="7C97C0B0">
      <w:pPr>
        <w:bidi w:val="0"/>
      </w:pPr>
      <w:r>
        <w:rPr>
          <w:rFonts w:hint="eastAsia"/>
        </w:rPr>
        <w:t>16.关于印发《梅州市梅县区畜禽养殖业污染问题专项整治工作方案》的通知（梅县区府办电〔2016〕58号）；</w:t>
      </w:r>
    </w:p>
    <w:p w14:paraId="3334CBF5">
      <w:pPr>
        <w:bidi w:val="0"/>
      </w:pPr>
      <w:r>
        <w:rPr>
          <w:rFonts w:hint="eastAsia"/>
        </w:rPr>
        <w:t>17.</w:t>
      </w:r>
      <w:r>
        <w:rPr>
          <w:rFonts w:hint="eastAsia"/>
          <w:lang w:eastAsia="zh-CN"/>
        </w:rPr>
        <w:t>《</w:t>
      </w:r>
      <w:r>
        <w:rPr>
          <w:rFonts w:hint="eastAsia"/>
          <w:lang w:val="en-US" w:eastAsia="zh-CN"/>
        </w:rPr>
        <w:t>梅州市梅县区人民政府</w:t>
      </w:r>
      <w:r>
        <w:rPr>
          <w:rFonts w:hint="eastAsia"/>
        </w:rPr>
        <w:t>关于印发梅州市梅县区农村畜禽养殖分类管理工作方案的通知</w:t>
      </w:r>
      <w:r>
        <w:rPr>
          <w:rFonts w:hint="eastAsia"/>
          <w:lang w:eastAsia="zh-CN"/>
        </w:rPr>
        <w:t>》</w:t>
      </w:r>
      <w:r>
        <w:rPr>
          <w:rFonts w:hint="eastAsia"/>
        </w:rPr>
        <w:t>（梅县区府办函〔2022〕84号）；</w:t>
      </w:r>
    </w:p>
    <w:p w14:paraId="4B4A86D5">
      <w:pPr>
        <w:bidi w:val="0"/>
        <w:rPr>
          <w:rFonts w:hint="eastAsia"/>
          <w:lang w:eastAsia="zh-CN"/>
        </w:rPr>
      </w:pPr>
      <w:r>
        <w:rPr>
          <w:rFonts w:hint="eastAsia"/>
          <w:lang w:val="en-US" w:eastAsia="zh-CN"/>
        </w:rPr>
        <w:t>18.《梅州市梅县区人民政府关于调整梅县区畜禽养殖区范围的通告》</w:t>
      </w:r>
      <w:r>
        <w:rPr>
          <w:rFonts w:hint="eastAsia"/>
        </w:rPr>
        <w:t>（梅县区府</w:t>
      </w:r>
      <w:r>
        <w:rPr>
          <w:rFonts w:hint="eastAsia"/>
          <w:lang w:val="en-US" w:eastAsia="zh-CN"/>
        </w:rPr>
        <w:t>通</w:t>
      </w:r>
      <w:r>
        <w:rPr>
          <w:rFonts w:hint="eastAsia"/>
        </w:rPr>
        <w:t>〔201</w:t>
      </w:r>
      <w:r>
        <w:rPr>
          <w:rFonts w:hint="eastAsia"/>
          <w:lang w:val="en-US" w:eastAsia="zh-CN"/>
        </w:rPr>
        <w:t>8</w:t>
      </w:r>
      <w:r>
        <w:rPr>
          <w:rFonts w:hint="eastAsia"/>
        </w:rPr>
        <w:t>〕</w:t>
      </w:r>
      <w:r>
        <w:rPr>
          <w:rFonts w:hint="eastAsia"/>
          <w:lang w:val="en-US" w:eastAsia="zh-CN"/>
        </w:rPr>
        <w:t>2</w:t>
      </w:r>
      <w:r>
        <w:rPr>
          <w:rFonts w:hint="eastAsia"/>
        </w:rPr>
        <w:t>号）</w:t>
      </w:r>
      <w:r>
        <w:rPr>
          <w:rFonts w:hint="eastAsia"/>
          <w:lang w:eastAsia="zh-CN"/>
        </w:rPr>
        <w:t>；</w:t>
      </w:r>
    </w:p>
    <w:p w14:paraId="41C690A4">
      <w:pPr>
        <w:bidi w:val="0"/>
        <w:rPr>
          <w:rFonts w:hint="default"/>
          <w:lang w:val="en-US" w:eastAsia="zh-CN"/>
        </w:rPr>
      </w:pPr>
      <w:r>
        <w:rPr>
          <w:rFonts w:hint="eastAsia"/>
          <w:lang w:val="en-US" w:eastAsia="zh-CN"/>
        </w:rPr>
        <w:t>19.</w:t>
      </w:r>
      <w:r>
        <w:rPr>
          <w:rStyle w:val="25"/>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w:t>
      </w:r>
      <w:r>
        <w:rPr>
          <w:rStyle w:val="25"/>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广东省人民政府办公厅关于加快推进生猪家禽产业转型升级的意见</w:t>
      </w:r>
      <w:r>
        <w:rPr>
          <w:rStyle w:val="25"/>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粤府办〔2019〕25号</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w:t>
      </w:r>
    </w:p>
    <w:p w14:paraId="3C244EF4">
      <w:pPr>
        <w:ind w:firstLine="640"/>
      </w:pPr>
      <w:r>
        <w:br w:type="page"/>
      </w:r>
    </w:p>
    <w:p w14:paraId="26DAFD38">
      <w:pPr>
        <w:pStyle w:val="2"/>
        <w:bidi w:val="0"/>
        <w:rPr>
          <w:rFonts w:hint="default"/>
        </w:rPr>
      </w:pPr>
      <w:bookmarkStart w:id="13" w:name="_Toc16804"/>
      <w:bookmarkStart w:id="14" w:name="_Toc27692"/>
      <w:r>
        <w:t>二、基础条件分析</w:t>
      </w:r>
      <w:bookmarkEnd w:id="13"/>
      <w:bookmarkEnd w:id="14"/>
    </w:p>
    <w:p w14:paraId="004E0922">
      <w:pPr>
        <w:pStyle w:val="3"/>
        <w:bidi w:val="0"/>
      </w:pPr>
      <w:bookmarkStart w:id="15" w:name="_Toc27299"/>
      <w:bookmarkStart w:id="16" w:name="_Toc1968408943_WPSOffice_Level2"/>
      <w:bookmarkStart w:id="17" w:name="_Toc13534"/>
      <w:r>
        <w:rPr>
          <w:rFonts w:hint="eastAsia"/>
        </w:rPr>
        <w:t>（一）区位基本情况</w:t>
      </w:r>
      <w:bookmarkEnd w:id="15"/>
      <w:bookmarkEnd w:id="16"/>
      <w:bookmarkEnd w:id="17"/>
    </w:p>
    <w:p w14:paraId="47DCCE0C">
      <w:pPr>
        <w:pStyle w:val="4"/>
        <w:bidi w:val="0"/>
        <w:rPr>
          <w:rFonts w:hint="eastAsia"/>
        </w:rPr>
      </w:pPr>
      <w:bookmarkStart w:id="18" w:name="_Toc1233468419_WPSOffice_Level3"/>
      <w:bookmarkStart w:id="19" w:name="_Toc28177"/>
      <w:r>
        <w:rPr>
          <w:rFonts w:hint="eastAsia"/>
        </w:rPr>
        <w:t>1、地区简介</w:t>
      </w:r>
      <w:bookmarkEnd w:id="18"/>
      <w:r>
        <w:rPr>
          <w:rStyle w:val="29"/>
          <w:rFonts w:hint="eastAsia" w:ascii="楷体" w:hAnsi="楷体" w:eastAsia="楷体" w:cs="楷体"/>
          <w:b/>
          <w:bCs/>
          <w:szCs w:val="32"/>
        </w:rPr>
        <w:footnoteReference w:id="0"/>
      </w:r>
      <w:bookmarkEnd w:id="19"/>
    </w:p>
    <w:p w14:paraId="7EF53952">
      <w:pPr>
        <w:bidi w:val="0"/>
        <w:rPr>
          <w:rFonts w:ascii="Times New Roman" w:hAnsi="Times New Roman"/>
          <w:b/>
          <w:bCs/>
        </w:rPr>
      </w:pPr>
      <w:r>
        <w:t>梅县区，隶属广东省梅州市，中央苏区县，位于广东省东北部，韩江上游，梅州市中部，介于北纬</w:t>
      </w:r>
      <w:r>
        <w:rPr>
          <w:rFonts w:hint="eastAsia"/>
        </w:rPr>
        <w:t>23°55′-24°48′、</w:t>
      </w:r>
      <w:r>
        <w:t>东经</w:t>
      </w:r>
      <w:r>
        <w:rPr>
          <w:rFonts w:hint="eastAsia"/>
        </w:rPr>
        <w:t>115°47′-116°33′</w:t>
      </w:r>
      <w:r>
        <w:t>之间</w:t>
      </w:r>
      <w:r>
        <w:rPr>
          <w:rFonts w:hint="eastAsia"/>
        </w:rPr>
        <w:t>，</w:t>
      </w:r>
      <w:r>
        <w:t>辖区总面积</w:t>
      </w:r>
      <w:r>
        <w:rPr>
          <w:rFonts w:hint="eastAsia"/>
        </w:rPr>
        <w:t>2482.86</w:t>
      </w:r>
      <w:r>
        <w:t>平方千米</w:t>
      </w:r>
      <w:r>
        <w:rPr>
          <w:rFonts w:hint="eastAsia"/>
        </w:rPr>
        <w:t>，</w:t>
      </w:r>
      <w:r>
        <w:t>常住人口</w:t>
      </w:r>
      <w:r>
        <w:rPr>
          <w:rFonts w:hint="eastAsia"/>
        </w:rPr>
        <w:t>55.67万</w:t>
      </w:r>
      <w:r>
        <w:t>人。梅县区是汉族客家民系聚居地，迄今已有</w:t>
      </w:r>
      <w:r>
        <w:rPr>
          <w:rFonts w:hint="eastAsia"/>
        </w:rPr>
        <w:t>1500</w:t>
      </w:r>
      <w:r>
        <w:t>多年历史，素有</w:t>
      </w:r>
      <w:r>
        <w:rPr>
          <w:rFonts w:hint="eastAsia"/>
        </w:rPr>
        <w:t>“</w:t>
      </w:r>
      <w:r>
        <w:t>文化之乡</w:t>
      </w:r>
      <w:r>
        <w:rPr>
          <w:rFonts w:hint="eastAsia"/>
        </w:rPr>
        <w:t>”“</w:t>
      </w:r>
      <w:r>
        <w:t>长寿之乡</w:t>
      </w:r>
      <w:r>
        <w:rPr>
          <w:rFonts w:hint="eastAsia"/>
        </w:rPr>
        <w:t>”“</w:t>
      </w:r>
      <w:r>
        <w:t>华侨之乡</w:t>
      </w:r>
      <w:r>
        <w:rPr>
          <w:rFonts w:hint="eastAsia"/>
        </w:rPr>
        <w:t>”</w:t>
      </w:r>
      <w:r>
        <w:t>和</w:t>
      </w:r>
      <w:r>
        <w:rPr>
          <w:rFonts w:hint="eastAsia"/>
        </w:rPr>
        <w:t>“</w:t>
      </w:r>
      <w:r>
        <w:t>足球之乡</w:t>
      </w:r>
      <w:r>
        <w:rPr>
          <w:rFonts w:hint="eastAsia"/>
        </w:rPr>
        <w:t>”</w:t>
      </w:r>
      <w:r>
        <w:t>的美誉。梅县区先后荣获中国金柚之乡、全国水果百强县、中国旅游强县、全国文化先进县、中国民间艺术之乡（山歌艺术之乡）、全国绿化模范县、全国绿色小康县、全国文明县城、国家卫生城市等称号，并被确认为中央苏区县、中国长寿之乡。</w:t>
      </w:r>
      <w:r>
        <w:rPr>
          <w:rFonts w:hint="eastAsia"/>
        </w:rPr>
        <w:t>2019</w:t>
      </w:r>
      <w:r>
        <w:t>年，梅县区获评全国森林康养基地试点建设区、全省首批全域旅游示范区，入选国家、省级现代农业（金柚）产业园创建名单；</w:t>
      </w:r>
      <w:r>
        <w:rPr>
          <w:rFonts w:hint="eastAsia"/>
        </w:rPr>
        <w:t>2021</w:t>
      </w:r>
      <w:r>
        <w:t>年11月获评中国民间文化艺术之乡；梅州综合保税区于2021年12月通过国家正式验收；2022年，入选国家农业现代化示范区；2022年获评中国最美县域、省级休闲农业与乡村旅游重点县等荣誉。</w:t>
      </w:r>
    </w:p>
    <w:p w14:paraId="294CA77A">
      <w:pPr>
        <w:bidi w:val="0"/>
      </w:pPr>
      <w:r>
        <w:rPr>
          <w:b/>
          <w:bCs/>
        </w:rPr>
        <w:t>区位交通：</w:t>
      </w:r>
      <w:r>
        <w:t>梅县区东邻大埔县，西接兴宁市，南连丰顺县，北接蕉岭县，东北与福建省上杭县、永定县毗连，西北与平远县接壤，中部环接梅州市梅江区。</w:t>
      </w:r>
      <w:r>
        <w:rPr>
          <w:b/>
          <w:bCs/>
        </w:rPr>
        <w:t>铁路：</w:t>
      </w:r>
      <w:r>
        <w:t>广梅汕铁路、梅坎铁路。梅汕高铁建成通车，在梅县区南口镇设梅州西站。梅龙高铁正在建设中，该线路自梅汕高铁梅州西站引出，途经兴宁站、五华站，终至河源境内的赣深高铁</w:t>
      </w:r>
      <w:r>
        <w:rPr>
          <w:rFonts w:hint="eastAsia"/>
        </w:rPr>
        <w:t>龙川西站</w:t>
      </w:r>
      <w:r>
        <w:rPr>
          <w:rFonts w:hint="eastAsia"/>
          <w:lang w:eastAsia="zh-CN"/>
        </w:rPr>
        <w:t>，</w:t>
      </w:r>
      <w:r>
        <w:t>梅龙高铁既有梅汕高铁互通，西与赣深高铁</w:t>
      </w:r>
      <w:r>
        <w:rPr>
          <w:rFonts w:hint="eastAsia"/>
        </w:rPr>
        <w:t>相连</w:t>
      </w:r>
      <w:r>
        <w:t>，是广河梅通道及粤东地区对接华中、华北地区的高速客运通道的组成部分，也是粤东革命老区连接粤港澳大湾区的重要交通大动脉。</w:t>
      </w:r>
      <w:r>
        <w:rPr>
          <w:b/>
          <w:bCs/>
        </w:rPr>
        <w:t>公路：</w:t>
      </w:r>
      <w:r>
        <w:t>境内主要有G205国道、G206国道，S333省道、S223省道、S224省道等；梅河高速公路、汕梅高速公路、梅州西环高速公路、梅大高速公路、梅州东环高速公路、梅平高速公路等贯穿全境。</w:t>
      </w:r>
      <w:r>
        <w:rPr>
          <w:b/>
          <w:bCs/>
        </w:rPr>
        <w:t>航空：</w:t>
      </w:r>
      <w:r>
        <w:t>毗邻梅州梅县机场，2019年梅州机场旅客吞吐量突破60万人次，梅州机场运营的航线共11条，通航全国16个热点城市和地区航点，合作运营航空公司6家，每周航班量达到162班次。</w:t>
      </w:r>
    </w:p>
    <w:p w14:paraId="574ACAFD">
      <w:pPr>
        <w:bidi w:val="0"/>
      </w:pPr>
      <w:r>
        <w:rPr>
          <w:b/>
          <w:bCs/>
        </w:rPr>
        <w:t>人文历史：</w:t>
      </w:r>
      <w:r>
        <w:t>客家文化源远流长，客家话方言以梅县客家话为代表，文化底蕴深厚，孕育出不少杰出人物。著名的有清代著名诗人宋湘、黄遵宪，辛亥革命烈士陆军上将邓仲元，中华人民共和国十大开国元帅之一叶剑英，全国政协副主席叶选平，全国人大常委会委员、香港金利来集团有限公司董事局主席曾宪梓，两院</w:t>
      </w:r>
      <w:r>
        <w:rPr>
          <w:rFonts w:hint="eastAsia"/>
        </w:rPr>
        <w:t>“</w:t>
      </w:r>
      <w:r>
        <w:t>院士</w:t>
      </w:r>
      <w:r>
        <w:rPr>
          <w:rFonts w:hint="eastAsia"/>
        </w:rPr>
        <w:t>”</w:t>
      </w:r>
      <w:r>
        <w:t>古德生、张楚汉等杰出人物。</w:t>
      </w:r>
    </w:p>
    <w:p w14:paraId="2004EF67">
      <w:pPr>
        <w:bidi w:val="0"/>
      </w:pPr>
      <w:r>
        <w:rPr>
          <w:b/>
          <w:bCs/>
        </w:rPr>
        <w:t>主要产业：</w:t>
      </w:r>
      <w:r>
        <w:t>梅县区坚持</w:t>
      </w:r>
      <w:r>
        <w:rPr>
          <w:rFonts w:hint="eastAsia"/>
        </w:rPr>
        <w:t>“</w:t>
      </w:r>
      <w:r>
        <w:t>工业强区、产业兴区</w:t>
      </w:r>
      <w:r>
        <w:rPr>
          <w:rFonts w:hint="eastAsia"/>
        </w:rPr>
        <w:t>”</w:t>
      </w:r>
      <w:r>
        <w:t>，正以推进集聚地提质增效和特色产业为抓手，构建铜箔、装备制造、智能家电</w:t>
      </w:r>
      <w:r>
        <w:rPr>
          <w:rFonts w:hint="eastAsia"/>
        </w:rPr>
        <w:t>“</w:t>
      </w:r>
      <w:r>
        <w:t>2+1</w:t>
      </w:r>
      <w:r>
        <w:rPr>
          <w:rFonts w:hint="eastAsia"/>
        </w:rPr>
        <w:t>”</w:t>
      </w:r>
      <w:r>
        <w:t>现代产业体系</w:t>
      </w:r>
      <w:r>
        <w:rPr>
          <w:rFonts w:hint="eastAsia"/>
        </w:rPr>
        <w:t>。</w:t>
      </w:r>
      <w:r>
        <w:t>梅县区第一主导产业铜箔产业厚积</w:t>
      </w:r>
      <w:r>
        <w:rPr>
          <w:rFonts w:hint="eastAsia"/>
        </w:rPr>
        <w:t>“</w:t>
      </w:r>
      <w:r>
        <w:t>箔</w:t>
      </w:r>
      <w:r>
        <w:rPr>
          <w:rFonts w:hint="eastAsia"/>
        </w:rPr>
        <w:t>”</w:t>
      </w:r>
      <w:r>
        <w:t>发，铜箔产能未来3年左右可达25万吨</w:t>
      </w:r>
      <w:r>
        <w:rPr>
          <w:rFonts w:hint="eastAsia"/>
        </w:rPr>
        <w:t>/</w:t>
      </w:r>
      <w:r>
        <w:t>年，全力跻身国内高端锂电铜箔生产第一梯队。梅县区农业建成了粮食、金柚、蔬菜、油茶、茶叶、名贵树种以及畜牧水产等一批现代农业基地，是中国金柚之乡、全国水果百强县，获评全国农村一二三产业融合发展先导区、国家现代农业产业园、广东省特色农产品优势区省级电子商务进农村综合示范县。</w:t>
      </w:r>
    </w:p>
    <w:p w14:paraId="55838595">
      <w:pPr>
        <w:pStyle w:val="4"/>
        <w:bidi w:val="0"/>
      </w:pPr>
      <w:bookmarkStart w:id="20" w:name="_Toc412679239_WPSOffice_Level3"/>
      <w:bookmarkStart w:id="21" w:name="_Toc23611"/>
      <w:r>
        <w:rPr>
          <w:rFonts w:hint="eastAsia"/>
        </w:rPr>
        <w:t>2、地理环境</w:t>
      </w:r>
      <w:bookmarkEnd w:id="20"/>
      <w:r>
        <w:rPr>
          <w:rStyle w:val="29"/>
          <w:rFonts w:hint="eastAsia" w:ascii="Times New Roman" w:hAnsi="Times New Roman" w:eastAsia="楷体" w:cs="楷体"/>
          <w:b/>
          <w:bCs/>
        </w:rPr>
        <w:footnoteReference w:id="1"/>
      </w:r>
      <w:bookmarkEnd w:id="21"/>
    </w:p>
    <w:p w14:paraId="5607096A">
      <w:pPr>
        <w:bidi w:val="0"/>
      </w:pPr>
      <w:r>
        <w:rPr>
          <w:b/>
          <w:bCs/>
        </w:rPr>
        <w:t>地形地貌：</w:t>
      </w:r>
      <w:bookmarkStart w:id="22" w:name="3-3"/>
      <w:bookmarkEnd w:id="22"/>
      <w:bookmarkStart w:id="23" w:name="sub157342_3_3"/>
      <w:bookmarkEnd w:id="23"/>
      <w:bookmarkStart w:id="24" w:name="河流"/>
      <w:bookmarkEnd w:id="24"/>
      <w:bookmarkStart w:id="25" w:name="3_3"/>
      <w:bookmarkEnd w:id="25"/>
      <w:bookmarkStart w:id="26" w:name="ref_12_157342"/>
      <w:r>
        <w:t>梅县区地势西南高，东北低，向有</w:t>
      </w:r>
      <w:r>
        <w:rPr>
          <w:rFonts w:hint="eastAsia"/>
        </w:rPr>
        <w:t>“</w:t>
      </w:r>
      <w:r>
        <w:t>八山一水一分田</w:t>
      </w:r>
      <w:r>
        <w:rPr>
          <w:rFonts w:hint="eastAsia"/>
        </w:rPr>
        <w:t>”</w:t>
      </w:r>
      <w:r>
        <w:t>之说，盆地、丘陵、山地分别占总面积22.5%、55.4%和22.1%。梅县区四周丛山环抱，山峦起伏，两北方向有武夷山系延伸而下的项山山脉，形成一道天然屏障。东南方向则有莲花山系的阴那山脉，使</w:t>
      </w:r>
      <w:r>
        <w:rPr>
          <w:rFonts w:hint="eastAsia"/>
        </w:rPr>
        <w:t>梅县区</w:t>
      </w:r>
      <w:r>
        <w:t>与丰顺</w:t>
      </w:r>
      <w:r>
        <w:rPr>
          <w:rFonts w:hint="eastAsia"/>
        </w:rPr>
        <w:t>县、</w:t>
      </w:r>
      <w:r>
        <w:t>大埔</w:t>
      </w:r>
      <w:r>
        <w:rPr>
          <w:rFonts w:hint="eastAsia"/>
        </w:rPr>
        <w:t>县</w:t>
      </w:r>
      <w:r>
        <w:t>分隔。这两列山脉均为东北一西南走向，梅县区处在这两列山脉之间的断裂凹陷带上，为多山丘陵地区。地面上丘陵谷地相间，并沿梅江水系发育一连串的河谷小盆地。海拔500米以上的山区有657.8平方千米，占全区总面积的21.8%，主要分布在县境东北部和东南部；海拔在150米至500米之间的低山丘陵有1644.4平方千米，占全区总面积的54.5%，主要分布在西北部和中部的梅西、城东一带；海拔150米以下的河谷盆地有715.2平方千米，占全区总面积的23.7%，主要分布在梅江两岸，如畲江盆地、水车盆地、附城盆地、丙村盆地、雁洋盆地、松口盆地、白渡盆地和松源盆地等。</w:t>
      </w:r>
    </w:p>
    <w:bookmarkEnd w:id="26"/>
    <w:p w14:paraId="787504E8">
      <w:pPr>
        <w:bidi w:val="0"/>
      </w:pPr>
      <w:r>
        <w:rPr>
          <w:b/>
          <w:bCs/>
        </w:rPr>
        <w:t>气候条件：</w:t>
      </w:r>
      <w:bookmarkStart w:id="27" w:name="_Toc1499756624_WPSOffice_Level3"/>
      <w:r>
        <w:t>梅州市梅县区地理位置靠近北回归线，且东近太平洋，属亚热带季风气候，气候温和，阳光充足，热量丰富，雨量充沛，雨热同季，干冷同期，但易旱易涝，偶有奇热和严寒，四季宜耕宜牧。梅县区年平均气温21.3℃，极端最高气温39.5℃</w:t>
      </w:r>
      <w:r>
        <w:rPr>
          <w:rFonts w:hint="eastAsia"/>
        </w:rPr>
        <w:t>（</w:t>
      </w:r>
      <w:r>
        <w:t>1971年7月25日</w:t>
      </w:r>
      <w:r>
        <w:rPr>
          <w:rFonts w:hint="eastAsia"/>
        </w:rPr>
        <w:t>）</w:t>
      </w:r>
      <w:r>
        <w:t>，最低气温零下7.3℃</w:t>
      </w:r>
      <w:r>
        <w:rPr>
          <w:rFonts w:hint="eastAsia"/>
        </w:rPr>
        <w:t>（</w:t>
      </w:r>
      <w:r>
        <w:t>1955年1月12日</w:t>
      </w:r>
      <w:r>
        <w:rPr>
          <w:rFonts w:hint="eastAsia"/>
        </w:rPr>
        <w:t>）</w:t>
      </w:r>
      <w:r>
        <w:t>；年平均日照时数1874.2小时；年平均降雨量1528.5毫米，最多年降雨量2355.4毫米</w:t>
      </w:r>
      <w:r>
        <w:rPr>
          <w:rFonts w:hint="eastAsia"/>
        </w:rPr>
        <w:t>（</w:t>
      </w:r>
      <w:r>
        <w:t>1983年</w:t>
      </w:r>
      <w:r>
        <w:rPr>
          <w:rFonts w:hint="eastAsia"/>
        </w:rPr>
        <w:t>）</w:t>
      </w:r>
      <w:r>
        <w:t>，最少降雨量979毫米</w:t>
      </w:r>
      <w:r>
        <w:rPr>
          <w:rFonts w:hint="eastAsia"/>
        </w:rPr>
        <w:t>（</w:t>
      </w:r>
      <w:r>
        <w:t>1955年</w:t>
      </w:r>
      <w:r>
        <w:rPr>
          <w:rFonts w:hint="eastAsia"/>
        </w:rPr>
        <w:t>）</w:t>
      </w:r>
      <w:r>
        <w:t>；年均相对湿度77%。</w:t>
      </w:r>
    </w:p>
    <w:p w14:paraId="3066C065">
      <w:pPr>
        <w:pStyle w:val="4"/>
        <w:bidi w:val="0"/>
      </w:pPr>
      <w:bookmarkStart w:id="28" w:name="_Toc3408"/>
      <w:r>
        <w:rPr>
          <w:rFonts w:hint="eastAsia"/>
        </w:rPr>
        <w:t>3、河流水文</w:t>
      </w:r>
      <w:r>
        <w:rPr>
          <w:rStyle w:val="29"/>
          <w:rFonts w:hint="eastAsia" w:ascii="Times New Roman" w:hAnsi="Times New Roman" w:eastAsia="楷体" w:cs="楷体"/>
          <w:b/>
          <w:bCs/>
        </w:rPr>
        <w:footnoteReference w:id="2"/>
      </w:r>
      <w:bookmarkEnd w:id="28"/>
    </w:p>
    <w:p w14:paraId="4457F21A">
      <w:pPr>
        <w:bidi w:val="0"/>
      </w:pPr>
      <w:r>
        <w:t>梅县区境内大小河流43条，属韩江水系。主要河流有梅江河、石窟河、程江河和松源河，其中梅江为主干流，流经区境约70公里，注入大埔县三河坝衔接韩江。梅江年平均径流总量90多亿立方米，水能理论蕴藏量30万千瓦，占全</w:t>
      </w:r>
      <w:r>
        <w:rPr>
          <w:rFonts w:hint="eastAsia"/>
        </w:rPr>
        <w:t>区</w:t>
      </w:r>
      <w:r>
        <w:t>水能理论蕴藏量40.13万千瓦的75%。此外，隆文镇岩前村</w:t>
      </w:r>
      <w:r>
        <w:rPr>
          <w:rFonts w:hint="eastAsia"/>
        </w:rPr>
        <w:t>“</w:t>
      </w:r>
      <w:r>
        <w:t>绿窟源</w:t>
      </w:r>
      <w:r>
        <w:rPr>
          <w:rFonts w:hint="eastAsia"/>
        </w:rPr>
        <w:t>”</w:t>
      </w:r>
      <w:r>
        <w:t>是国内首个顶级待开发的水下全淹洞。具体见附图3梅县区水系图。</w:t>
      </w:r>
    </w:p>
    <w:p w14:paraId="064D333E">
      <w:pPr>
        <w:bidi w:val="0"/>
      </w:pPr>
      <w:r>
        <w:rPr>
          <w:b/>
          <w:bCs/>
        </w:rPr>
        <w:t>梅江</w:t>
      </w:r>
      <w:r>
        <w:rPr>
          <w:rFonts w:hint="eastAsia"/>
          <w:b/>
          <w:bCs/>
          <w:lang w:eastAsia="zh-CN"/>
        </w:rPr>
        <w:t>：</w:t>
      </w:r>
      <w:r>
        <w:t>梅江是韩江的主流，地理位置在东经115°13′～116°33′，北纬23°55′～24°48′。发源于广东省陆丰与紫金县交界的乌突山七星岽，上游称琴江，流经五华县水寨与五华河汇合后始称梅江，由西南向东北流经五华、兴宁、梅县至大埔县的三河坝与汀江和梅潭河汇合后称韩江。梅江沿河流经水口、畲江、水车、梅南、长沙、程江、西阳、白宫、丙村、雁洋、松口、三河等镇。梅江流域东西宽136.5km，南北长172km，干流全长307km，流域集水面积为14061km</w:t>
      </w:r>
      <w:r>
        <w:rPr>
          <w:vertAlign w:val="superscript"/>
        </w:rPr>
        <w:t>2</w:t>
      </w:r>
      <w:r>
        <w:t>，梅江在梅州市境内有集雨面积10424km</w:t>
      </w:r>
      <w:r>
        <w:rPr>
          <w:vertAlign w:val="superscript"/>
        </w:rPr>
        <w:t>2</w:t>
      </w:r>
      <w:r>
        <w:t>，河长270km，平均坡降0.4‰。</w:t>
      </w:r>
    </w:p>
    <w:p w14:paraId="6D9304F1">
      <w:pPr>
        <w:bidi w:val="0"/>
      </w:pPr>
      <w:r>
        <w:rPr>
          <w:b/>
          <w:bCs/>
        </w:rPr>
        <w:t>程江：</w:t>
      </w:r>
      <w:r>
        <w:t>程江是韩江一级支流，发源于江西</w:t>
      </w:r>
      <w:r>
        <w:rPr>
          <w:rFonts w:hint="eastAsia"/>
        </w:rPr>
        <w:t>寻乌</w:t>
      </w:r>
      <w:r>
        <w:t>蓝峰，在平远石正富石流入梅州，于梅县梅西龙岗岌汇龙虎水，于南口车陂汇南口水后，在梅城乌廖沙流入梅江。程江有集雨面积718km</w:t>
      </w:r>
      <w:r>
        <w:rPr>
          <w:vertAlign w:val="superscript"/>
        </w:rPr>
        <w:t>2</w:t>
      </w:r>
      <w:r>
        <w:t>，河长94km，平均坡降2.68‰，流域内植被较好，坡降陡，天然落差大，水力资源丰富。</w:t>
      </w:r>
    </w:p>
    <w:p w14:paraId="09DDE5DF">
      <w:pPr>
        <w:bidi w:val="0"/>
      </w:pPr>
      <w:r>
        <w:rPr>
          <w:b/>
          <w:bCs/>
        </w:rPr>
        <w:t>石窟河：</w:t>
      </w:r>
      <w:r>
        <w:t>石窟河是韩江一级支流，发源于福建武平洋石坝，于蕉岭广福流入梅州，于河子口汇差干河，于长潭汇高陂河，经蕉岭石窟河盆地，于新铺汇柚树河，流经梅县白渡，在丙村东洲坝汇入梅江。石窟河流域面积3681km</w:t>
      </w:r>
      <w:r>
        <w:rPr>
          <w:rFonts w:hint="eastAsia"/>
          <w:vertAlign w:val="superscript"/>
          <w:lang w:val="en-US" w:eastAsia="zh-CN"/>
        </w:rPr>
        <w:t>2</w:t>
      </w:r>
      <w:r>
        <w:t>，河长179km，平均坡降1.79‰。长潭以上河段河床陡峻，落差大，植被较好，水力资源丰富，长潭以下河段，河床较平缓，坡降0.6‰。河面宽100～200m。石窟河在梅州境内有集雨面积2295km</w:t>
      </w:r>
      <w:r>
        <w:rPr>
          <w:vertAlign w:val="superscript"/>
        </w:rPr>
        <w:t>2</w:t>
      </w:r>
      <w:r>
        <w:t>，河长87km。</w:t>
      </w:r>
    </w:p>
    <w:p w14:paraId="2B0E68FE">
      <w:pPr>
        <w:bidi w:val="0"/>
      </w:pPr>
      <w:r>
        <w:rPr>
          <w:b/>
          <w:bCs/>
        </w:rPr>
        <w:t>松源河：</w:t>
      </w:r>
      <w:r>
        <w:t>松源河是韩江一级支流，发源于福建上杭大平山，于蕉岭北礤流入梅州境内，于北礤汇北礤水，于梅县松源汇南礤水，在松口铜盘下汇入梅江。流域集雨面积642km</w:t>
      </w:r>
      <w:r>
        <w:rPr>
          <w:vertAlign w:val="superscript"/>
        </w:rPr>
        <w:t>2</w:t>
      </w:r>
      <w:r>
        <w:t>，河长77km，平均坡降4.85‰，流域内植被较好，河床坡降陡，天然落差大，水力资源丰富。松源河在梅州境内有集雨面积462km</w:t>
      </w:r>
      <w:r>
        <w:rPr>
          <w:vertAlign w:val="superscript"/>
        </w:rPr>
        <w:t>2</w:t>
      </w:r>
      <w:r>
        <w:t>，河长59km。</w:t>
      </w:r>
    </w:p>
    <w:p w14:paraId="1E74EE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42"/>
        </w:rPr>
      </w:pPr>
      <w:r>
        <w:rPr>
          <w:rFonts w:hint="eastAsia" w:ascii="Times New Roman" w:hAnsi="Times New Roman"/>
        </w:rPr>
        <w:br w:type="page"/>
      </w:r>
      <w:r>
        <w:rPr>
          <w:rStyle w:val="42"/>
          <w:rFonts w:hint="eastAsia"/>
        </w:rPr>
        <w:t>表1 梅县区地表水环境功能区划表（河流部分）</w:t>
      </w:r>
    </w:p>
    <w:tbl>
      <w:tblPr>
        <w:tblStyle w:val="22"/>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734"/>
        <w:gridCol w:w="765"/>
        <w:gridCol w:w="1064"/>
        <w:gridCol w:w="848"/>
        <w:gridCol w:w="923"/>
        <w:gridCol w:w="930"/>
        <w:gridCol w:w="697"/>
        <w:gridCol w:w="1738"/>
      </w:tblGrid>
      <w:tr w14:paraId="1FE4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468" w:type="pct"/>
            <w:vAlign w:val="center"/>
          </w:tcPr>
          <w:p w14:paraId="669E3410">
            <w:pPr>
              <w:pStyle w:val="40"/>
              <w:rPr>
                <w:rFonts w:hint="default" w:ascii="Times New Roman" w:hAnsi="Times New Roman"/>
                <w:b/>
                <w:bCs/>
              </w:rPr>
            </w:pPr>
            <w:r>
              <w:rPr>
                <w:rFonts w:ascii="Times New Roman" w:hAnsi="Times New Roman"/>
                <w:b/>
                <w:bCs/>
              </w:rPr>
              <w:t>序号</w:t>
            </w:r>
          </w:p>
        </w:tc>
        <w:tc>
          <w:tcPr>
            <w:tcW w:w="432" w:type="pct"/>
            <w:vAlign w:val="center"/>
          </w:tcPr>
          <w:p w14:paraId="7D4BF3EF">
            <w:pPr>
              <w:pStyle w:val="40"/>
              <w:rPr>
                <w:rFonts w:hint="default" w:ascii="Times New Roman" w:hAnsi="Times New Roman"/>
                <w:b/>
                <w:bCs/>
              </w:rPr>
            </w:pPr>
            <w:r>
              <w:rPr>
                <w:rFonts w:ascii="Times New Roman" w:hAnsi="Times New Roman"/>
                <w:b/>
                <w:bCs/>
              </w:rPr>
              <w:t>功能现状</w:t>
            </w:r>
          </w:p>
        </w:tc>
        <w:tc>
          <w:tcPr>
            <w:tcW w:w="450" w:type="pct"/>
            <w:vAlign w:val="center"/>
          </w:tcPr>
          <w:p w14:paraId="66AB887A">
            <w:pPr>
              <w:pStyle w:val="40"/>
              <w:rPr>
                <w:rFonts w:hint="default" w:ascii="Times New Roman" w:hAnsi="Times New Roman"/>
                <w:b/>
                <w:bCs/>
              </w:rPr>
            </w:pPr>
            <w:r>
              <w:rPr>
                <w:rFonts w:ascii="Times New Roman" w:hAnsi="Times New Roman"/>
                <w:b/>
                <w:bCs/>
              </w:rPr>
              <w:t>水系</w:t>
            </w:r>
          </w:p>
        </w:tc>
        <w:tc>
          <w:tcPr>
            <w:tcW w:w="626" w:type="pct"/>
            <w:vAlign w:val="center"/>
          </w:tcPr>
          <w:p w14:paraId="7B8A7522">
            <w:pPr>
              <w:pStyle w:val="40"/>
              <w:rPr>
                <w:rFonts w:hint="default" w:ascii="Times New Roman" w:hAnsi="Times New Roman"/>
                <w:b/>
                <w:bCs/>
              </w:rPr>
            </w:pPr>
            <w:r>
              <w:rPr>
                <w:rFonts w:ascii="Times New Roman" w:hAnsi="Times New Roman"/>
                <w:b/>
                <w:bCs/>
              </w:rPr>
              <w:t>河流</w:t>
            </w:r>
          </w:p>
        </w:tc>
        <w:tc>
          <w:tcPr>
            <w:tcW w:w="499" w:type="pct"/>
            <w:vAlign w:val="center"/>
          </w:tcPr>
          <w:p w14:paraId="36B3DE1A">
            <w:pPr>
              <w:pStyle w:val="40"/>
              <w:rPr>
                <w:rFonts w:hint="default" w:ascii="Times New Roman" w:hAnsi="Times New Roman"/>
                <w:b/>
                <w:bCs/>
              </w:rPr>
            </w:pPr>
            <w:r>
              <w:rPr>
                <w:rFonts w:ascii="Times New Roman" w:hAnsi="Times New Roman"/>
                <w:b/>
                <w:bCs/>
              </w:rPr>
              <w:t>起点</w:t>
            </w:r>
          </w:p>
        </w:tc>
        <w:tc>
          <w:tcPr>
            <w:tcW w:w="543" w:type="pct"/>
            <w:vAlign w:val="center"/>
          </w:tcPr>
          <w:p w14:paraId="50579A60">
            <w:pPr>
              <w:pStyle w:val="40"/>
              <w:rPr>
                <w:rFonts w:hint="default" w:ascii="Times New Roman" w:hAnsi="Times New Roman"/>
                <w:b/>
                <w:bCs/>
              </w:rPr>
            </w:pPr>
            <w:r>
              <w:rPr>
                <w:rFonts w:ascii="Times New Roman" w:hAnsi="Times New Roman"/>
                <w:b/>
                <w:bCs/>
              </w:rPr>
              <w:t>终点</w:t>
            </w:r>
          </w:p>
        </w:tc>
        <w:tc>
          <w:tcPr>
            <w:tcW w:w="547" w:type="pct"/>
            <w:vAlign w:val="center"/>
          </w:tcPr>
          <w:p w14:paraId="14215264">
            <w:pPr>
              <w:pStyle w:val="40"/>
              <w:rPr>
                <w:rFonts w:hint="default" w:ascii="Times New Roman" w:hAnsi="Times New Roman"/>
                <w:b/>
                <w:bCs/>
              </w:rPr>
            </w:pPr>
            <w:r>
              <w:rPr>
                <w:rFonts w:ascii="Times New Roman" w:hAnsi="Times New Roman"/>
                <w:b/>
                <w:bCs/>
              </w:rPr>
              <w:t>长度（km）</w:t>
            </w:r>
          </w:p>
        </w:tc>
        <w:tc>
          <w:tcPr>
            <w:tcW w:w="410" w:type="pct"/>
            <w:vAlign w:val="center"/>
          </w:tcPr>
          <w:p w14:paraId="5239A722">
            <w:pPr>
              <w:pStyle w:val="40"/>
              <w:rPr>
                <w:rFonts w:hint="default" w:ascii="Times New Roman" w:hAnsi="Times New Roman"/>
                <w:b/>
                <w:bCs/>
              </w:rPr>
            </w:pPr>
            <w:r>
              <w:rPr>
                <w:rFonts w:ascii="Times New Roman" w:hAnsi="Times New Roman"/>
                <w:b/>
                <w:bCs/>
              </w:rPr>
              <w:t>水质目标</w:t>
            </w:r>
          </w:p>
        </w:tc>
        <w:tc>
          <w:tcPr>
            <w:tcW w:w="1022" w:type="pct"/>
            <w:vAlign w:val="center"/>
          </w:tcPr>
          <w:p w14:paraId="3C885079">
            <w:pPr>
              <w:pStyle w:val="40"/>
              <w:rPr>
                <w:rFonts w:hint="default" w:ascii="Times New Roman" w:hAnsi="Times New Roman"/>
                <w:b/>
                <w:bCs/>
              </w:rPr>
            </w:pPr>
            <w:r>
              <w:rPr>
                <w:rFonts w:ascii="Times New Roman" w:hAnsi="Times New Roman"/>
                <w:b/>
                <w:bCs/>
              </w:rPr>
              <w:t>备注</w:t>
            </w:r>
          </w:p>
        </w:tc>
      </w:tr>
      <w:tr w14:paraId="4694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468" w:type="pct"/>
            <w:vAlign w:val="center"/>
          </w:tcPr>
          <w:p w14:paraId="09582A3B">
            <w:pPr>
              <w:pStyle w:val="40"/>
              <w:rPr>
                <w:rFonts w:hint="eastAsia" w:ascii="仿宋_GB2312" w:hAnsi="仿宋_GB2312" w:eastAsia="仿宋_GB2312" w:cs="仿宋_GB2312"/>
              </w:rPr>
            </w:pPr>
            <w:r>
              <w:rPr>
                <w:rFonts w:hint="eastAsia" w:ascii="仿宋_GB2312" w:hAnsi="仿宋_GB2312" w:eastAsia="仿宋_GB2312" w:cs="仿宋_GB2312"/>
              </w:rPr>
              <w:t>616</w:t>
            </w:r>
          </w:p>
        </w:tc>
        <w:tc>
          <w:tcPr>
            <w:tcW w:w="432" w:type="pct"/>
            <w:vAlign w:val="center"/>
          </w:tcPr>
          <w:p w14:paraId="04248D29">
            <w:pPr>
              <w:pStyle w:val="40"/>
              <w:rPr>
                <w:rFonts w:hint="eastAsia" w:ascii="仿宋_GB2312" w:hAnsi="仿宋_GB2312" w:eastAsia="仿宋_GB2312" w:cs="仿宋_GB2312"/>
              </w:rPr>
            </w:pPr>
            <w:r>
              <w:rPr>
                <w:rFonts w:hint="eastAsia" w:ascii="仿宋_GB2312" w:hAnsi="仿宋_GB2312" w:eastAsia="仿宋_GB2312" w:cs="仿宋_GB2312"/>
              </w:rPr>
              <w:t>农饮</w:t>
            </w:r>
          </w:p>
        </w:tc>
        <w:tc>
          <w:tcPr>
            <w:tcW w:w="450" w:type="pct"/>
            <w:vAlign w:val="center"/>
          </w:tcPr>
          <w:p w14:paraId="5E93629A">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01B79A4B">
            <w:pPr>
              <w:pStyle w:val="40"/>
              <w:rPr>
                <w:rFonts w:hint="eastAsia" w:ascii="仿宋_GB2312" w:hAnsi="仿宋_GB2312" w:eastAsia="仿宋_GB2312" w:cs="仿宋_GB2312"/>
              </w:rPr>
            </w:pPr>
            <w:r>
              <w:rPr>
                <w:rFonts w:hint="eastAsia" w:ascii="仿宋_GB2312" w:hAnsi="仿宋_GB2312" w:eastAsia="仿宋_GB2312" w:cs="仿宋_GB2312"/>
              </w:rPr>
              <w:t>梅江干流</w:t>
            </w:r>
          </w:p>
        </w:tc>
        <w:tc>
          <w:tcPr>
            <w:tcW w:w="499" w:type="pct"/>
            <w:vAlign w:val="center"/>
          </w:tcPr>
          <w:p w14:paraId="4B116CB1">
            <w:pPr>
              <w:pStyle w:val="40"/>
              <w:rPr>
                <w:rFonts w:hint="eastAsia" w:ascii="仿宋_GB2312" w:hAnsi="仿宋_GB2312" w:eastAsia="仿宋_GB2312" w:cs="仿宋_GB2312"/>
              </w:rPr>
            </w:pPr>
            <w:r>
              <w:rPr>
                <w:rFonts w:hint="eastAsia" w:ascii="仿宋_GB2312" w:hAnsi="仿宋_GB2312" w:eastAsia="仿宋_GB2312" w:cs="仿宋_GB2312"/>
              </w:rPr>
              <w:t>畲江镇官铺</w:t>
            </w:r>
          </w:p>
        </w:tc>
        <w:tc>
          <w:tcPr>
            <w:tcW w:w="543" w:type="pct"/>
            <w:vAlign w:val="center"/>
          </w:tcPr>
          <w:p w14:paraId="780E68D9">
            <w:pPr>
              <w:pStyle w:val="40"/>
              <w:rPr>
                <w:rFonts w:hint="eastAsia" w:ascii="仿宋_GB2312" w:hAnsi="仿宋_GB2312" w:eastAsia="仿宋_GB2312" w:cs="仿宋_GB2312"/>
              </w:rPr>
            </w:pPr>
            <w:r>
              <w:rPr>
                <w:rFonts w:hint="eastAsia" w:ascii="仿宋_GB2312" w:hAnsi="仿宋_GB2312" w:eastAsia="仿宋_GB2312" w:cs="仿宋_GB2312"/>
              </w:rPr>
              <w:t>水车镇安和</w:t>
            </w:r>
          </w:p>
        </w:tc>
        <w:tc>
          <w:tcPr>
            <w:tcW w:w="547" w:type="pct"/>
            <w:vAlign w:val="center"/>
          </w:tcPr>
          <w:p w14:paraId="2016599C">
            <w:pPr>
              <w:pStyle w:val="40"/>
              <w:rPr>
                <w:rFonts w:hint="eastAsia" w:ascii="仿宋_GB2312" w:hAnsi="仿宋_GB2312" w:eastAsia="仿宋_GB2312" w:cs="仿宋_GB2312"/>
              </w:rPr>
            </w:pPr>
            <w:r>
              <w:rPr>
                <w:rFonts w:hint="eastAsia" w:ascii="仿宋_GB2312" w:hAnsi="仿宋_GB2312" w:eastAsia="仿宋_GB2312" w:cs="仿宋_GB2312"/>
              </w:rPr>
              <w:t>15</w:t>
            </w:r>
          </w:p>
        </w:tc>
        <w:tc>
          <w:tcPr>
            <w:tcW w:w="410" w:type="pct"/>
            <w:vAlign w:val="center"/>
          </w:tcPr>
          <w:p w14:paraId="1B8EA36A">
            <w:pPr>
              <w:pStyle w:val="40"/>
              <w:rPr>
                <w:rFonts w:hint="eastAsia" w:ascii="仿宋_GB2312" w:hAnsi="仿宋_GB2312" w:eastAsia="仿宋_GB2312" w:cs="仿宋_GB2312"/>
              </w:rPr>
            </w:pPr>
            <w:r>
              <w:rPr>
                <w:rFonts w:hint="eastAsia" w:ascii="仿宋_GB2312" w:hAnsi="仿宋_GB2312" w:eastAsia="仿宋_GB2312" w:cs="仿宋_GB2312"/>
              </w:rPr>
              <w:t>Ⅲ类管理，Ⅱ类控制</w:t>
            </w:r>
          </w:p>
        </w:tc>
        <w:tc>
          <w:tcPr>
            <w:tcW w:w="1022" w:type="pct"/>
            <w:vAlign w:val="center"/>
          </w:tcPr>
          <w:p w14:paraId="31F1B065">
            <w:pPr>
              <w:pStyle w:val="40"/>
              <w:rPr>
                <w:rFonts w:hint="eastAsia" w:ascii="仿宋_GB2312" w:hAnsi="仿宋_GB2312" w:eastAsia="仿宋_GB2312" w:cs="仿宋_GB2312"/>
              </w:rPr>
            </w:pPr>
            <w:r>
              <w:rPr>
                <w:rFonts w:hint="eastAsia" w:ascii="仿宋_GB2312" w:hAnsi="仿宋_GB2312" w:eastAsia="仿宋_GB2312" w:cs="仿宋_GB2312"/>
              </w:rPr>
              <w:t>按照Ⅲ类水质功能区管理，按Ⅱ类水质标准的环境容量控制污染物排放总量</w:t>
            </w:r>
          </w:p>
        </w:tc>
      </w:tr>
      <w:tr w14:paraId="24DB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697D1081">
            <w:pPr>
              <w:pStyle w:val="40"/>
              <w:rPr>
                <w:rFonts w:hint="eastAsia" w:ascii="仿宋_GB2312" w:hAnsi="仿宋_GB2312" w:eastAsia="仿宋_GB2312" w:cs="仿宋_GB2312"/>
              </w:rPr>
            </w:pPr>
            <w:r>
              <w:rPr>
                <w:rFonts w:hint="eastAsia" w:ascii="仿宋_GB2312" w:hAnsi="仿宋_GB2312" w:eastAsia="仿宋_GB2312" w:cs="仿宋_GB2312"/>
              </w:rPr>
              <w:t>618</w:t>
            </w:r>
          </w:p>
        </w:tc>
        <w:tc>
          <w:tcPr>
            <w:tcW w:w="432" w:type="pct"/>
            <w:vAlign w:val="center"/>
          </w:tcPr>
          <w:p w14:paraId="61647EC8">
            <w:pPr>
              <w:pStyle w:val="40"/>
              <w:rPr>
                <w:rFonts w:hint="eastAsia" w:ascii="仿宋_GB2312" w:hAnsi="仿宋_GB2312" w:eastAsia="仿宋_GB2312" w:cs="仿宋_GB2312"/>
              </w:rPr>
            </w:pPr>
            <w:r>
              <w:rPr>
                <w:rFonts w:hint="eastAsia" w:ascii="仿宋_GB2312" w:hAnsi="仿宋_GB2312" w:eastAsia="仿宋_GB2312" w:cs="仿宋_GB2312"/>
              </w:rPr>
              <w:t>农饮</w:t>
            </w:r>
          </w:p>
        </w:tc>
        <w:tc>
          <w:tcPr>
            <w:tcW w:w="450" w:type="pct"/>
            <w:vAlign w:val="center"/>
          </w:tcPr>
          <w:p w14:paraId="176C02A0">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5BB94280">
            <w:pPr>
              <w:pStyle w:val="40"/>
              <w:rPr>
                <w:rFonts w:hint="eastAsia" w:ascii="仿宋_GB2312" w:hAnsi="仿宋_GB2312" w:eastAsia="仿宋_GB2312" w:cs="仿宋_GB2312"/>
              </w:rPr>
            </w:pPr>
            <w:r>
              <w:rPr>
                <w:rFonts w:hint="eastAsia" w:ascii="仿宋_GB2312" w:hAnsi="仿宋_GB2312" w:eastAsia="仿宋_GB2312" w:cs="仿宋_GB2312"/>
              </w:rPr>
              <w:t>梅江干流</w:t>
            </w:r>
          </w:p>
        </w:tc>
        <w:tc>
          <w:tcPr>
            <w:tcW w:w="499" w:type="pct"/>
            <w:vAlign w:val="center"/>
          </w:tcPr>
          <w:p w14:paraId="29296FC3">
            <w:pPr>
              <w:pStyle w:val="40"/>
              <w:rPr>
                <w:rFonts w:hint="eastAsia" w:ascii="仿宋_GB2312" w:hAnsi="仿宋_GB2312" w:eastAsia="仿宋_GB2312" w:cs="仿宋_GB2312"/>
              </w:rPr>
            </w:pPr>
            <w:r>
              <w:rPr>
                <w:rFonts w:hint="eastAsia" w:ascii="仿宋_GB2312" w:hAnsi="仿宋_GB2312" w:eastAsia="仿宋_GB2312" w:cs="仿宋_GB2312"/>
              </w:rPr>
              <w:t>水车镇安和</w:t>
            </w:r>
          </w:p>
        </w:tc>
        <w:tc>
          <w:tcPr>
            <w:tcW w:w="543" w:type="pct"/>
            <w:vAlign w:val="center"/>
          </w:tcPr>
          <w:p w14:paraId="6CD022B6">
            <w:pPr>
              <w:pStyle w:val="40"/>
              <w:rPr>
                <w:rFonts w:hint="eastAsia" w:ascii="仿宋_GB2312" w:hAnsi="仿宋_GB2312" w:eastAsia="仿宋_GB2312" w:cs="仿宋_GB2312"/>
              </w:rPr>
            </w:pPr>
            <w:r>
              <w:rPr>
                <w:rFonts w:hint="eastAsia" w:ascii="仿宋_GB2312" w:hAnsi="仿宋_GB2312" w:eastAsia="仿宋_GB2312" w:cs="仿宋_GB2312"/>
              </w:rPr>
              <w:t>程江入梅江口</w:t>
            </w:r>
          </w:p>
        </w:tc>
        <w:tc>
          <w:tcPr>
            <w:tcW w:w="547" w:type="pct"/>
            <w:vAlign w:val="center"/>
          </w:tcPr>
          <w:p w14:paraId="6C985C9F">
            <w:pPr>
              <w:pStyle w:val="40"/>
              <w:rPr>
                <w:rFonts w:hint="eastAsia" w:ascii="仿宋_GB2312" w:hAnsi="仿宋_GB2312" w:eastAsia="仿宋_GB2312" w:cs="仿宋_GB2312"/>
              </w:rPr>
            </w:pPr>
            <w:r>
              <w:rPr>
                <w:rFonts w:hint="eastAsia" w:ascii="仿宋_GB2312" w:hAnsi="仿宋_GB2312" w:eastAsia="仿宋_GB2312" w:cs="仿宋_GB2312"/>
              </w:rPr>
              <w:t>30</w:t>
            </w:r>
          </w:p>
        </w:tc>
        <w:tc>
          <w:tcPr>
            <w:tcW w:w="410" w:type="pct"/>
            <w:vAlign w:val="center"/>
          </w:tcPr>
          <w:p w14:paraId="573719E9">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03465017">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2F95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213F98D3">
            <w:pPr>
              <w:pStyle w:val="40"/>
              <w:rPr>
                <w:rFonts w:hint="eastAsia" w:ascii="仿宋_GB2312" w:hAnsi="仿宋_GB2312" w:eastAsia="仿宋_GB2312" w:cs="仿宋_GB2312"/>
              </w:rPr>
            </w:pPr>
            <w:r>
              <w:rPr>
                <w:rFonts w:hint="eastAsia" w:ascii="仿宋_GB2312" w:hAnsi="仿宋_GB2312" w:eastAsia="仿宋_GB2312" w:cs="仿宋_GB2312"/>
              </w:rPr>
              <w:t>2500</w:t>
            </w:r>
          </w:p>
        </w:tc>
        <w:tc>
          <w:tcPr>
            <w:tcW w:w="432" w:type="pct"/>
            <w:vAlign w:val="center"/>
          </w:tcPr>
          <w:p w14:paraId="1674C6CF">
            <w:pPr>
              <w:pStyle w:val="40"/>
              <w:rPr>
                <w:rFonts w:hint="eastAsia" w:ascii="仿宋_GB2312" w:hAnsi="仿宋_GB2312" w:eastAsia="仿宋_GB2312" w:cs="仿宋_GB2312"/>
              </w:rPr>
            </w:pPr>
            <w:r>
              <w:rPr>
                <w:rFonts w:hint="eastAsia" w:ascii="仿宋_GB2312" w:hAnsi="仿宋_GB2312" w:eastAsia="仿宋_GB2312" w:cs="仿宋_GB2312"/>
              </w:rPr>
              <w:t>农农</w:t>
            </w:r>
          </w:p>
        </w:tc>
        <w:tc>
          <w:tcPr>
            <w:tcW w:w="450" w:type="pct"/>
            <w:vAlign w:val="center"/>
          </w:tcPr>
          <w:p w14:paraId="266F4082">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4AB0D738">
            <w:pPr>
              <w:pStyle w:val="40"/>
              <w:rPr>
                <w:rFonts w:hint="eastAsia" w:ascii="仿宋_GB2312" w:hAnsi="仿宋_GB2312" w:eastAsia="仿宋_GB2312" w:cs="仿宋_GB2312"/>
              </w:rPr>
            </w:pPr>
            <w:r>
              <w:rPr>
                <w:rFonts w:hint="eastAsia" w:ascii="仿宋_GB2312" w:hAnsi="仿宋_GB2312" w:eastAsia="仿宋_GB2312" w:cs="仿宋_GB2312"/>
              </w:rPr>
              <w:t>古屋水</w:t>
            </w:r>
          </w:p>
        </w:tc>
        <w:tc>
          <w:tcPr>
            <w:tcW w:w="499" w:type="pct"/>
            <w:vAlign w:val="center"/>
          </w:tcPr>
          <w:p w14:paraId="11389B93">
            <w:pPr>
              <w:pStyle w:val="40"/>
              <w:rPr>
                <w:rFonts w:hint="eastAsia" w:ascii="仿宋_GB2312" w:hAnsi="仿宋_GB2312" w:eastAsia="仿宋_GB2312" w:cs="仿宋_GB2312"/>
              </w:rPr>
            </w:pPr>
            <w:r>
              <w:rPr>
                <w:rFonts w:hint="eastAsia" w:ascii="仿宋_GB2312" w:hAnsi="仿宋_GB2312" w:eastAsia="仿宋_GB2312" w:cs="仿宋_GB2312"/>
              </w:rPr>
              <w:t>梅县十二排</w:t>
            </w:r>
          </w:p>
        </w:tc>
        <w:tc>
          <w:tcPr>
            <w:tcW w:w="543" w:type="pct"/>
            <w:vAlign w:val="center"/>
          </w:tcPr>
          <w:p w14:paraId="57E01B54">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7990F152">
            <w:pPr>
              <w:pStyle w:val="40"/>
              <w:rPr>
                <w:rFonts w:hint="eastAsia" w:ascii="仿宋_GB2312" w:hAnsi="仿宋_GB2312" w:eastAsia="仿宋_GB2312" w:cs="仿宋_GB2312"/>
              </w:rPr>
            </w:pPr>
            <w:r>
              <w:rPr>
                <w:rFonts w:hint="eastAsia" w:ascii="仿宋_GB2312" w:hAnsi="仿宋_GB2312" w:eastAsia="仿宋_GB2312" w:cs="仿宋_GB2312"/>
              </w:rPr>
              <w:t>古屋</w:t>
            </w:r>
          </w:p>
        </w:tc>
        <w:tc>
          <w:tcPr>
            <w:tcW w:w="547" w:type="pct"/>
            <w:vAlign w:val="center"/>
          </w:tcPr>
          <w:p w14:paraId="6EBC32C4">
            <w:pPr>
              <w:pStyle w:val="40"/>
              <w:rPr>
                <w:rFonts w:hint="eastAsia" w:ascii="仿宋_GB2312" w:hAnsi="仿宋_GB2312" w:eastAsia="仿宋_GB2312" w:cs="仿宋_GB2312"/>
              </w:rPr>
            </w:pPr>
            <w:r>
              <w:rPr>
                <w:rFonts w:hint="eastAsia" w:ascii="仿宋_GB2312" w:hAnsi="仿宋_GB2312" w:eastAsia="仿宋_GB2312" w:cs="仿宋_GB2312"/>
              </w:rPr>
              <w:t>22</w:t>
            </w:r>
          </w:p>
        </w:tc>
        <w:tc>
          <w:tcPr>
            <w:tcW w:w="410" w:type="pct"/>
            <w:vAlign w:val="center"/>
          </w:tcPr>
          <w:p w14:paraId="52EA7AE5">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00CB59D8">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6B8F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6C50B4AD">
            <w:pPr>
              <w:pStyle w:val="40"/>
              <w:rPr>
                <w:rFonts w:hint="eastAsia" w:ascii="仿宋_GB2312" w:hAnsi="仿宋_GB2312" w:eastAsia="仿宋_GB2312" w:cs="仿宋_GB2312"/>
              </w:rPr>
            </w:pPr>
            <w:r>
              <w:rPr>
                <w:rFonts w:hint="eastAsia" w:ascii="仿宋_GB2312" w:hAnsi="仿宋_GB2312" w:eastAsia="仿宋_GB2312" w:cs="仿宋_GB2312"/>
              </w:rPr>
              <w:t>2600</w:t>
            </w:r>
          </w:p>
        </w:tc>
        <w:tc>
          <w:tcPr>
            <w:tcW w:w="432" w:type="pct"/>
            <w:vAlign w:val="center"/>
          </w:tcPr>
          <w:p w14:paraId="50D86237">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46FC2298">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7A1A4544">
            <w:pPr>
              <w:pStyle w:val="40"/>
              <w:rPr>
                <w:rFonts w:hint="eastAsia" w:ascii="仿宋_GB2312" w:hAnsi="仿宋_GB2312" w:eastAsia="仿宋_GB2312" w:cs="仿宋_GB2312"/>
              </w:rPr>
            </w:pPr>
            <w:r>
              <w:rPr>
                <w:rFonts w:hint="eastAsia" w:ascii="仿宋_GB2312" w:hAnsi="仿宋_GB2312" w:eastAsia="仿宋_GB2312" w:cs="仿宋_GB2312"/>
              </w:rPr>
              <w:t>荷泗水</w:t>
            </w:r>
          </w:p>
        </w:tc>
        <w:tc>
          <w:tcPr>
            <w:tcW w:w="499" w:type="pct"/>
            <w:vAlign w:val="center"/>
          </w:tcPr>
          <w:p w14:paraId="7543F9E9">
            <w:pPr>
              <w:pStyle w:val="40"/>
              <w:rPr>
                <w:rFonts w:hint="eastAsia" w:ascii="仿宋_GB2312" w:hAnsi="仿宋_GB2312" w:eastAsia="仿宋_GB2312" w:cs="仿宋_GB2312"/>
              </w:rPr>
            </w:pPr>
            <w:r>
              <w:rPr>
                <w:rFonts w:hint="eastAsia" w:ascii="仿宋_GB2312" w:hAnsi="仿宋_GB2312" w:eastAsia="仿宋_GB2312" w:cs="仿宋_GB2312"/>
              </w:rPr>
              <w:t>兴宁旱菜</w:t>
            </w:r>
          </w:p>
        </w:tc>
        <w:tc>
          <w:tcPr>
            <w:tcW w:w="543" w:type="pct"/>
            <w:vAlign w:val="center"/>
          </w:tcPr>
          <w:p w14:paraId="731401B5">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0F6725BE">
            <w:pPr>
              <w:pStyle w:val="40"/>
              <w:rPr>
                <w:rFonts w:hint="eastAsia" w:ascii="仿宋_GB2312" w:hAnsi="仿宋_GB2312" w:eastAsia="仿宋_GB2312" w:cs="仿宋_GB2312"/>
              </w:rPr>
            </w:pPr>
            <w:r>
              <w:rPr>
                <w:rFonts w:hint="eastAsia" w:ascii="仿宋_GB2312" w:hAnsi="仿宋_GB2312" w:eastAsia="仿宋_GB2312" w:cs="仿宋_GB2312"/>
              </w:rPr>
              <w:t>上坝</w:t>
            </w:r>
          </w:p>
        </w:tc>
        <w:tc>
          <w:tcPr>
            <w:tcW w:w="547" w:type="pct"/>
            <w:vAlign w:val="center"/>
          </w:tcPr>
          <w:p w14:paraId="56A99D45">
            <w:pPr>
              <w:pStyle w:val="40"/>
              <w:rPr>
                <w:rFonts w:hint="eastAsia" w:ascii="仿宋_GB2312" w:hAnsi="仿宋_GB2312" w:eastAsia="仿宋_GB2312" w:cs="仿宋_GB2312"/>
              </w:rPr>
            </w:pPr>
            <w:r>
              <w:rPr>
                <w:rFonts w:hint="eastAsia" w:ascii="仿宋_GB2312" w:hAnsi="仿宋_GB2312" w:eastAsia="仿宋_GB2312" w:cs="仿宋_GB2312"/>
              </w:rPr>
              <w:t>43</w:t>
            </w:r>
          </w:p>
        </w:tc>
        <w:tc>
          <w:tcPr>
            <w:tcW w:w="410" w:type="pct"/>
            <w:vAlign w:val="center"/>
          </w:tcPr>
          <w:p w14:paraId="72696898">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4FB429CA">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1F14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7009B2C6">
            <w:pPr>
              <w:pStyle w:val="40"/>
              <w:rPr>
                <w:rFonts w:hint="eastAsia" w:ascii="仿宋_GB2312" w:hAnsi="仿宋_GB2312" w:eastAsia="仿宋_GB2312" w:cs="仿宋_GB2312"/>
              </w:rPr>
            </w:pPr>
            <w:r>
              <w:rPr>
                <w:rFonts w:hint="eastAsia" w:ascii="仿宋_GB2312" w:hAnsi="仿宋_GB2312" w:eastAsia="仿宋_GB2312" w:cs="仿宋_GB2312"/>
              </w:rPr>
              <w:t>2700</w:t>
            </w:r>
          </w:p>
        </w:tc>
        <w:tc>
          <w:tcPr>
            <w:tcW w:w="432" w:type="pct"/>
            <w:vAlign w:val="center"/>
          </w:tcPr>
          <w:p w14:paraId="5EA3BFA4">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117C293F">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2419F39F">
            <w:pPr>
              <w:pStyle w:val="40"/>
              <w:rPr>
                <w:rFonts w:hint="eastAsia" w:ascii="仿宋_GB2312" w:hAnsi="仿宋_GB2312" w:eastAsia="仿宋_GB2312" w:cs="仿宋_GB2312"/>
              </w:rPr>
            </w:pPr>
            <w:r>
              <w:rPr>
                <w:rFonts w:hint="eastAsia" w:ascii="仿宋_GB2312" w:hAnsi="仿宋_GB2312" w:eastAsia="仿宋_GB2312" w:cs="仿宋_GB2312"/>
              </w:rPr>
              <w:t>程江</w:t>
            </w:r>
          </w:p>
        </w:tc>
        <w:tc>
          <w:tcPr>
            <w:tcW w:w="499" w:type="pct"/>
            <w:vAlign w:val="center"/>
          </w:tcPr>
          <w:p w14:paraId="638631BE">
            <w:pPr>
              <w:pStyle w:val="40"/>
              <w:rPr>
                <w:rFonts w:hint="eastAsia" w:ascii="仿宋_GB2312" w:hAnsi="仿宋_GB2312" w:eastAsia="仿宋_GB2312" w:cs="仿宋_GB2312"/>
              </w:rPr>
            </w:pPr>
            <w:r>
              <w:rPr>
                <w:rFonts w:hint="eastAsia" w:ascii="仿宋_GB2312" w:hAnsi="仿宋_GB2312" w:eastAsia="仿宋_GB2312" w:cs="仿宋_GB2312"/>
              </w:rPr>
              <w:t>江西省界</w:t>
            </w:r>
          </w:p>
        </w:tc>
        <w:tc>
          <w:tcPr>
            <w:tcW w:w="543" w:type="pct"/>
            <w:vAlign w:val="center"/>
          </w:tcPr>
          <w:p w14:paraId="677EFED0">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52C8AADE">
            <w:pPr>
              <w:pStyle w:val="40"/>
              <w:rPr>
                <w:rFonts w:hint="eastAsia" w:ascii="仿宋_GB2312" w:hAnsi="仿宋_GB2312" w:eastAsia="仿宋_GB2312" w:cs="仿宋_GB2312"/>
              </w:rPr>
            </w:pPr>
            <w:r>
              <w:rPr>
                <w:rFonts w:hint="eastAsia" w:ascii="仿宋_GB2312" w:hAnsi="仿宋_GB2312" w:eastAsia="仿宋_GB2312" w:cs="仿宋_GB2312"/>
              </w:rPr>
              <w:t>槐岗</w:t>
            </w:r>
          </w:p>
        </w:tc>
        <w:tc>
          <w:tcPr>
            <w:tcW w:w="547" w:type="pct"/>
            <w:vAlign w:val="center"/>
          </w:tcPr>
          <w:p w14:paraId="33797AAA">
            <w:pPr>
              <w:pStyle w:val="40"/>
              <w:rPr>
                <w:rFonts w:hint="eastAsia" w:ascii="仿宋_GB2312" w:hAnsi="仿宋_GB2312" w:eastAsia="仿宋_GB2312" w:cs="仿宋_GB2312"/>
              </w:rPr>
            </w:pPr>
            <w:r>
              <w:rPr>
                <w:rFonts w:hint="eastAsia" w:ascii="仿宋_GB2312" w:hAnsi="仿宋_GB2312" w:eastAsia="仿宋_GB2312" w:cs="仿宋_GB2312"/>
              </w:rPr>
              <w:t>81.3</w:t>
            </w:r>
          </w:p>
        </w:tc>
        <w:tc>
          <w:tcPr>
            <w:tcW w:w="410" w:type="pct"/>
            <w:vAlign w:val="center"/>
          </w:tcPr>
          <w:p w14:paraId="1DFF914C">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166E4163">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261F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1113DE59">
            <w:pPr>
              <w:pStyle w:val="40"/>
              <w:rPr>
                <w:rFonts w:hint="eastAsia" w:ascii="仿宋_GB2312" w:hAnsi="仿宋_GB2312" w:eastAsia="仿宋_GB2312" w:cs="仿宋_GB2312"/>
              </w:rPr>
            </w:pPr>
            <w:r>
              <w:rPr>
                <w:rFonts w:hint="eastAsia" w:ascii="仿宋_GB2312" w:hAnsi="仿宋_GB2312" w:eastAsia="仿宋_GB2312" w:cs="仿宋_GB2312"/>
              </w:rPr>
              <w:t>2702</w:t>
            </w:r>
          </w:p>
        </w:tc>
        <w:tc>
          <w:tcPr>
            <w:tcW w:w="432" w:type="pct"/>
            <w:vAlign w:val="center"/>
          </w:tcPr>
          <w:p w14:paraId="2A476AD6">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4D2F812E">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6BDCE29F">
            <w:pPr>
              <w:pStyle w:val="40"/>
              <w:rPr>
                <w:rFonts w:hint="eastAsia" w:ascii="仿宋_GB2312" w:hAnsi="仿宋_GB2312" w:eastAsia="仿宋_GB2312" w:cs="仿宋_GB2312"/>
              </w:rPr>
            </w:pPr>
            <w:r>
              <w:rPr>
                <w:rFonts w:hint="eastAsia" w:ascii="仿宋_GB2312" w:hAnsi="仿宋_GB2312" w:eastAsia="仿宋_GB2312" w:cs="仿宋_GB2312"/>
              </w:rPr>
              <w:t>程江</w:t>
            </w:r>
          </w:p>
        </w:tc>
        <w:tc>
          <w:tcPr>
            <w:tcW w:w="499" w:type="pct"/>
            <w:vAlign w:val="center"/>
          </w:tcPr>
          <w:p w14:paraId="656A7220">
            <w:pPr>
              <w:pStyle w:val="40"/>
              <w:rPr>
                <w:rFonts w:hint="eastAsia" w:ascii="仿宋_GB2312" w:hAnsi="仿宋_GB2312" w:eastAsia="仿宋_GB2312" w:cs="仿宋_GB2312"/>
              </w:rPr>
            </w:pPr>
            <w:r>
              <w:rPr>
                <w:rFonts w:hint="eastAsia" w:ascii="仿宋_GB2312" w:hAnsi="仿宋_GB2312" w:eastAsia="仿宋_GB2312" w:cs="仿宋_GB2312"/>
              </w:rPr>
              <w:t>梅县槐岗</w:t>
            </w:r>
          </w:p>
        </w:tc>
        <w:tc>
          <w:tcPr>
            <w:tcW w:w="543" w:type="pct"/>
            <w:vAlign w:val="center"/>
          </w:tcPr>
          <w:p w14:paraId="187219B3">
            <w:pPr>
              <w:pStyle w:val="40"/>
              <w:rPr>
                <w:rFonts w:hint="eastAsia" w:ascii="仿宋_GB2312" w:hAnsi="仿宋_GB2312" w:eastAsia="仿宋_GB2312" w:cs="仿宋_GB2312"/>
              </w:rPr>
            </w:pPr>
            <w:r>
              <w:rPr>
                <w:rFonts w:hint="eastAsia" w:ascii="仿宋_GB2312" w:hAnsi="仿宋_GB2312" w:eastAsia="仿宋_GB2312" w:cs="仿宋_GB2312"/>
              </w:rPr>
              <w:t>梅县入梅江口</w:t>
            </w:r>
          </w:p>
        </w:tc>
        <w:tc>
          <w:tcPr>
            <w:tcW w:w="547" w:type="pct"/>
            <w:vAlign w:val="center"/>
          </w:tcPr>
          <w:p w14:paraId="221829E2">
            <w:pPr>
              <w:pStyle w:val="40"/>
              <w:rPr>
                <w:rFonts w:hint="eastAsia" w:ascii="仿宋_GB2312" w:hAnsi="仿宋_GB2312" w:eastAsia="仿宋_GB2312" w:cs="仿宋_GB2312"/>
              </w:rPr>
            </w:pPr>
            <w:r>
              <w:rPr>
                <w:rFonts w:hint="eastAsia" w:ascii="仿宋_GB2312" w:hAnsi="仿宋_GB2312" w:eastAsia="仿宋_GB2312" w:cs="仿宋_GB2312"/>
              </w:rPr>
              <w:t>2.7</w:t>
            </w:r>
          </w:p>
        </w:tc>
        <w:tc>
          <w:tcPr>
            <w:tcW w:w="410" w:type="pct"/>
            <w:vAlign w:val="center"/>
          </w:tcPr>
          <w:p w14:paraId="3506C09A">
            <w:pPr>
              <w:pStyle w:val="40"/>
              <w:rPr>
                <w:rFonts w:hint="eastAsia" w:ascii="仿宋_GB2312" w:hAnsi="仿宋_GB2312" w:eastAsia="仿宋_GB2312" w:cs="仿宋_GB2312"/>
              </w:rPr>
            </w:pPr>
            <w:r>
              <w:rPr>
                <w:rFonts w:hint="eastAsia" w:ascii="仿宋_GB2312" w:hAnsi="仿宋_GB2312" w:eastAsia="仿宋_GB2312" w:cs="仿宋_GB2312"/>
              </w:rPr>
              <w:t>Ⅲ</w:t>
            </w:r>
          </w:p>
        </w:tc>
        <w:tc>
          <w:tcPr>
            <w:tcW w:w="1022" w:type="pct"/>
            <w:vAlign w:val="center"/>
          </w:tcPr>
          <w:p w14:paraId="639DABCA">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4996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3A28D371">
            <w:pPr>
              <w:pStyle w:val="40"/>
              <w:rPr>
                <w:rFonts w:hint="eastAsia" w:ascii="仿宋_GB2312" w:hAnsi="仿宋_GB2312" w:eastAsia="仿宋_GB2312" w:cs="仿宋_GB2312"/>
              </w:rPr>
            </w:pPr>
            <w:r>
              <w:rPr>
                <w:rFonts w:hint="eastAsia" w:ascii="仿宋_GB2312" w:hAnsi="仿宋_GB2312" w:eastAsia="仿宋_GB2312" w:cs="仿宋_GB2312"/>
              </w:rPr>
              <w:t>2800</w:t>
            </w:r>
          </w:p>
        </w:tc>
        <w:tc>
          <w:tcPr>
            <w:tcW w:w="432" w:type="pct"/>
            <w:vAlign w:val="center"/>
          </w:tcPr>
          <w:p w14:paraId="294A86E4">
            <w:pPr>
              <w:pStyle w:val="40"/>
              <w:rPr>
                <w:rFonts w:hint="eastAsia" w:ascii="仿宋_GB2312" w:hAnsi="仿宋_GB2312" w:eastAsia="仿宋_GB2312" w:cs="仿宋_GB2312"/>
              </w:rPr>
            </w:pPr>
            <w:r>
              <w:rPr>
                <w:rFonts w:hint="eastAsia" w:ascii="仿宋_GB2312" w:hAnsi="仿宋_GB2312" w:eastAsia="仿宋_GB2312" w:cs="仿宋_GB2312"/>
              </w:rPr>
              <w:t>农</w:t>
            </w:r>
          </w:p>
        </w:tc>
        <w:tc>
          <w:tcPr>
            <w:tcW w:w="450" w:type="pct"/>
            <w:vAlign w:val="center"/>
          </w:tcPr>
          <w:p w14:paraId="7A572CAC">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69161324">
            <w:pPr>
              <w:pStyle w:val="40"/>
              <w:rPr>
                <w:rFonts w:hint="eastAsia" w:ascii="仿宋_GB2312" w:hAnsi="仿宋_GB2312" w:eastAsia="仿宋_GB2312" w:cs="仿宋_GB2312"/>
              </w:rPr>
            </w:pPr>
            <w:r>
              <w:rPr>
                <w:rFonts w:hint="eastAsia" w:ascii="仿宋_GB2312" w:hAnsi="仿宋_GB2312" w:eastAsia="仿宋_GB2312" w:cs="仿宋_GB2312"/>
              </w:rPr>
              <w:t>龙虎水</w:t>
            </w:r>
          </w:p>
        </w:tc>
        <w:tc>
          <w:tcPr>
            <w:tcW w:w="499" w:type="pct"/>
            <w:vAlign w:val="center"/>
          </w:tcPr>
          <w:p w14:paraId="6AD773CF">
            <w:pPr>
              <w:pStyle w:val="40"/>
              <w:rPr>
                <w:rFonts w:hint="eastAsia" w:ascii="仿宋_GB2312" w:hAnsi="仿宋_GB2312" w:eastAsia="仿宋_GB2312" w:cs="仿宋_GB2312"/>
              </w:rPr>
            </w:pPr>
            <w:r>
              <w:rPr>
                <w:rFonts w:hint="eastAsia" w:ascii="仿宋_GB2312" w:hAnsi="仿宋_GB2312" w:eastAsia="仿宋_GB2312" w:cs="仿宋_GB2312"/>
              </w:rPr>
              <w:t>兴宁箭竹顶</w:t>
            </w:r>
          </w:p>
        </w:tc>
        <w:tc>
          <w:tcPr>
            <w:tcW w:w="543" w:type="pct"/>
            <w:vAlign w:val="center"/>
          </w:tcPr>
          <w:p w14:paraId="758E37DA">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305892F0">
            <w:pPr>
              <w:pStyle w:val="40"/>
              <w:rPr>
                <w:rFonts w:hint="eastAsia" w:ascii="仿宋_GB2312" w:hAnsi="仿宋_GB2312" w:eastAsia="仿宋_GB2312" w:cs="仿宋_GB2312"/>
              </w:rPr>
            </w:pPr>
            <w:r>
              <w:rPr>
                <w:rFonts w:hint="eastAsia" w:ascii="仿宋_GB2312" w:hAnsi="仿宋_GB2312" w:eastAsia="仿宋_GB2312" w:cs="仿宋_GB2312"/>
              </w:rPr>
              <w:t>龙背岌</w:t>
            </w:r>
          </w:p>
        </w:tc>
        <w:tc>
          <w:tcPr>
            <w:tcW w:w="547" w:type="pct"/>
            <w:vAlign w:val="center"/>
          </w:tcPr>
          <w:p w14:paraId="6C9EBC71">
            <w:pPr>
              <w:pStyle w:val="40"/>
              <w:rPr>
                <w:rFonts w:hint="eastAsia" w:ascii="仿宋_GB2312" w:hAnsi="仿宋_GB2312" w:eastAsia="仿宋_GB2312" w:cs="仿宋_GB2312"/>
              </w:rPr>
            </w:pPr>
            <w:r>
              <w:rPr>
                <w:rFonts w:hint="eastAsia" w:ascii="仿宋_GB2312" w:hAnsi="仿宋_GB2312" w:eastAsia="仿宋_GB2312" w:cs="仿宋_GB2312"/>
              </w:rPr>
              <w:t>28</w:t>
            </w:r>
          </w:p>
        </w:tc>
        <w:tc>
          <w:tcPr>
            <w:tcW w:w="410" w:type="pct"/>
            <w:vAlign w:val="center"/>
          </w:tcPr>
          <w:p w14:paraId="65B10DA9">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54AC7659">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1D5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3FEC73AA">
            <w:pPr>
              <w:pStyle w:val="40"/>
              <w:rPr>
                <w:rFonts w:hint="eastAsia" w:ascii="仿宋_GB2312" w:hAnsi="仿宋_GB2312" w:eastAsia="仿宋_GB2312" w:cs="仿宋_GB2312"/>
              </w:rPr>
            </w:pPr>
            <w:r>
              <w:rPr>
                <w:rFonts w:hint="eastAsia" w:ascii="仿宋_GB2312" w:hAnsi="仿宋_GB2312" w:eastAsia="仿宋_GB2312" w:cs="仿宋_GB2312"/>
              </w:rPr>
              <w:t>2900</w:t>
            </w:r>
          </w:p>
        </w:tc>
        <w:tc>
          <w:tcPr>
            <w:tcW w:w="432" w:type="pct"/>
            <w:vAlign w:val="center"/>
          </w:tcPr>
          <w:p w14:paraId="147D7023">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0CB52F29">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749D05A6">
            <w:pPr>
              <w:pStyle w:val="40"/>
              <w:rPr>
                <w:rFonts w:hint="eastAsia" w:ascii="仿宋_GB2312" w:hAnsi="仿宋_GB2312" w:eastAsia="仿宋_GB2312" w:cs="仿宋_GB2312"/>
              </w:rPr>
            </w:pPr>
            <w:r>
              <w:rPr>
                <w:rFonts w:hint="eastAsia" w:ascii="仿宋_GB2312" w:hAnsi="仿宋_GB2312" w:eastAsia="仿宋_GB2312" w:cs="仿宋_GB2312"/>
              </w:rPr>
              <w:t>南口水</w:t>
            </w:r>
          </w:p>
        </w:tc>
        <w:tc>
          <w:tcPr>
            <w:tcW w:w="499" w:type="pct"/>
            <w:vAlign w:val="center"/>
          </w:tcPr>
          <w:p w14:paraId="25771A1A">
            <w:pPr>
              <w:pStyle w:val="40"/>
              <w:rPr>
                <w:rFonts w:hint="eastAsia" w:ascii="仿宋_GB2312" w:hAnsi="仿宋_GB2312" w:eastAsia="仿宋_GB2312" w:cs="仿宋_GB2312"/>
              </w:rPr>
            </w:pPr>
            <w:r>
              <w:rPr>
                <w:rFonts w:hint="eastAsia" w:ascii="仿宋_GB2312" w:hAnsi="仿宋_GB2312" w:eastAsia="仿宋_GB2312" w:cs="仿宋_GB2312"/>
              </w:rPr>
              <w:t>梅且县火岭村</w:t>
            </w:r>
          </w:p>
        </w:tc>
        <w:tc>
          <w:tcPr>
            <w:tcW w:w="543" w:type="pct"/>
            <w:vAlign w:val="center"/>
          </w:tcPr>
          <w:p w14:paraId="0B1DD175">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6C5B3A29">
            <w:pPr>
              <w:pStyle w:val="40"/>
              <w:rPr>
                <w:rFonts w:hint="eastAsia" w:ascii="仿宋_GB2312" w:hAnsi="仿宋_GB2312" w:eastAsia="仿宋_GB2312" w:cs="仿宋_GB2312"/>
              </w:rPr>
            </w:pPr>
            <w:r>
              <w:rPr>
                <w:rFonts w:hint="eastAsia" w:ascii="仿宋_GB2312" w:hAnsi="仿宋_GB2312" w:eastAsia="仿宋_GB2312" w:cs="仿宋_GB2312"/>
              </w:rPr>
              <w:t>车陂</w:t>
            </w:r>
          </w:p>
        </w:tc>
        <w:tc>
          <w:tcPr>
            <w:tcW w:w="547" w:type="pct"/>
            <w:vAlign w:val="center"/>
          </w:tcPr>
          <w:p w14:paraId="06D5D3F7">
            <w:pPr>
              <w:pStyle w:val="40"/>
              <w:rPr>
                <w:rFonts w:hint="eastAsia" w:ascii="仿宋_GB2312" w:hAnsi="仿宋_GB2312" w:eastAsia="仿宋_GB2312" w:cs="仿宋_GB2312"/>
              </w:rPr>
            </w:pPr>
            <w:r>
              <w:rPr>
                <w:rFonts w:hint="eastAsia" w:ascii="仿宋_GB2312" w:hAnsi="仿宋_GB2312" w:eastAsia="仿宋_GB2312" w:cs="仿宋_GB2312"/>
              </w:rPr>
              <w:t>26</w:t>
            </w:r>
          </w:p>
        </w:tc>
        <w:tc>
          <w:tcPr>
            <w:tcW w:w="410" w:type="pct"/>
            <w:vAlign w:val="center"/>
          </w:tcPr>
          <w:p w14:paraId="766A725F">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4552424E">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356E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5325750F">
            <w:pPr>
              <w:pStyle w:val="40"/>
              <w:rPr>
                <w:rFonts w:hint="eastAsia" w:ascii="仿宋_GB2312" w:hAnsi="仿宋_GB2312" w:eastAsia="仿宋_GB2312" w:cs="仿宋_GB2312"/>
              </w:rPr>
            </w:pPr>
            <w:r>
              <w:rPr>
                <w:rFonts w:hint="eastAsia" w:ascii="仿宋_GB2312" w:hAnsi="仿宋_GB2312" w:eastAsia="仿宋_GB2312" w:cs="仿宋_GB2312"/>
              </w:rPr>
              <w:t>3000</w:t>
            </w:r>
          </w:p>
        </w:tc>
        <w:tc>
          <w:tcPr>
            <w:tcW w:w="432" w:type="pct"/>
            <w:vAlign w:val="center"/>
          </w:tcPr>
          <w:p w14:paraId="54461922">
            <w:pPr>
              <w:pStyle w:val="40"/>
              <w:rPr>
                <w:rFonts w:hint="eastAsia" w:ascii="仿宋_GB2312" w:hAnsi="仿宋_GB2312" w:eastAsia="仿宋_GB2312" w:cs="仿宋_GB2312"/>
              </w:rPr>
            </w:pPr>
            <w:r>
              <w:rPr>
                <w:rFonts w:hint="eastAsia" w:ascii="仿宋_GB2312" w:hAnsi="仿宋_GB2312" w:eastAsia="仿宋_GB2312" w:cs="仿宋_GB2312"/>
              </w:rPr>
              <w:t>农</w:t>
            </w:r>
          </w:p>
        </w:tc>
        <w:tc>
          <w:tcPr>
            <w:tcW w:w="450" w:type="pct"/>
            <w:vAlign w:val="center"/>
          </w:tcPr>
          <w:p w14:paraId="6B8C7728">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7D173A07">
            <w:pPr>
              <w:pStyle w:val="40"/>
              <w:rPr>
                <w:rFonts w:hint="eastAsia" w:ascii="仿宋_GB2312" w:hAnsi="仿宋_GB2312" w:eastAsia="仿宋_GB2312" w:cs="仿宋_GB2312"/>
              </w:rPr>
            </w:pPr>
            <w:r>
              <w:rPr>
                <w:rFonts w:hint="eastAsia" w:ascii="仿宋_GB2312" w:hAnsi="仿宋_GB2312" w:eastAsia="仿宋_GB2312" w:cs="仿宋_GB2312"/>
              </w:rPr>
              <w:t>周溪水</w:t>
            </w:r>
          </w:p>
        </w:tc>
        <w:tc>
          <w:tcPr>
            <w:tcW w:w="499" w:type="pct"/>
            <w:vAlign w:val="center"/>
          </w:tcPr>
          <w:p w14:paraId="0B3A48BF">
            <w:pPr>
              <w:pStyle w:val="40"/>
              <w:rPr>
                <w:rFonts w:hint="eastAsia" w:ascii="仿宋_GB2312" w:hAnsi="仿宋_GB2312" w:eastAsia="仿宋_GB2312" w:cs="仿宋_GB2312"/>
              </w:rPr>
            </w:pPr>
            <w:r>
              <w:rPr>
                <w:rFonts w:hint="eastAsia" w:ascii="仿宋_GB2312" w:hAnsi="仿宋_GB2312" w:eastAsia="仿宋_GB2312" w:cs="仿宋_GB2312"/>
              </w:rPr>
              <w:t>梅县宫前</w:t>
            </w:r>
          </w:p>
        </w:tc>
        <w:tc>
          <w:tcPr>
            <w:tcW w:w="543" w:type="pct"/>
            <w:vAlign w:val="center"/>
          </w:tcPr>
          <w:p w14:paraId="26CB674B">
            <w:pPr>
              <w:pStyle w:val="40"/>
              <w:rPr>
                <w:rFonts w:hint="eastAsia" w:ascii="仿宋_GB2312" w:hAnsi="仿宋_GB2312" w:eastAsia="仿宋_GB2312" w:cs="仿宋_GB2312"/>
              </w:rPr>
            </w:pPr>
            <w:r>
              <w:rPr>
                <w:rFonts w:hint="eastAsia" w:ascii="仿宋_GB2312" w:hAnsi="仿宋_GB2312" w:eastAsia="仿宋_GB2312" w:cs="仿宋_GB2312"/>
              </w:rPr>
              <w:t>梅县下周溪</w:t>
            </w:r>
          </w:p>
        </w:tc>
        <w:tc>
          <w:tcPr>
            <w:tcW w:w="547" w:type="pct"/>
            <w:vAlign w:val="center"/>
          </w:tcPr>
          <w:p w14:paraId="664133F8">
            <w:pPr>
              <w:pStyle w:val="40"/>
              <w:rPr>
                <w:rFonts w:hint="eastAsia" w:ascii="仿宋_GB2312" w:hAnsi="仿宋_GB2312" w:eastAsia="仿宋_GB2312" w:cs="仿宋_GB2312"/>
              </w:rPr>
            </w:pPr>
            <w:r>
              <w:rPr>
                <w:rFonts w:hint="eastAsia" w:ascii="仿宋_GB2312" w:hAnsi="仿宋_GB2312" w:eastAsia="仿宋_GB2312" w:cs="仿宋_GB2312"/>
              </w:rPr>
              <w:t>36</w:t>
            </w:r>
          </w:p>
        </w:tc>
        <w:tc>
          <w:tcPr>
            <w:tcW w:w="410" w:type="pct"/>
            <w:vAlign w:val="center"/>
          </w:tcPr>
          <w:p w14:paraId="7A208652">
            <w:pPr>
              <w:pStyle w:val="40"/>
              <w:rPr>
                <w:rFonts w:hint="eastAsia" w:ascii="仿宋_GB2312" w:hAnsi="仿宋_GB2312" w:eastAsia="仿宋_GB2312" w:cs="仿宋_GB2312"/>
              </w:rPr>
            </w:pPr>
            <w:r>
              <w:rPr>
                <w:rFonts w:hint="eastAsia" w:ascii="仿宋_GB2312" w:hAnsi="仿宋_GB2312" w:eastAsia="仿宋_GB2312" w:cs="仿宋_GB2312"/>
              </w:rPr>
              <w:t>Ⅲ</w:t>
            </w:r>
          </w:p>
        </w:tc>
        <w:tc>
          <w:tcPr>
            <w:tcW w:w="1022" w:type="pct"/>
            <w:vAlign w:val="center"/>
          </w:tcPr>
          <w:p w14:paraId="44759A91">
            <w:pPr>
              <w:pStyle w:val="40"/>
              <w:rPr>
                <w:rFonts w:hint="eastAsia" w:ascii="仿宋_GB2312" w:hAnsi="仿宋_GB2312" w:eastAsia="仿宋_GB2312" w:cs="仿宋_GB2312"/>
              </w:rPr>
            </w:pPr>
            <w:r>
              <w:rPr>
                <w:rFonts w:hint="eastAsia" w:ascii="仿宋_GB2312" w:hAnsi="仿宋_GB2312" w:eastAsia="仿宋_GB2312" w:cs="仿宋_GB2312"/>
              </w:rPr>
              <w:t>又名杨夕河、金盆桥水</w:t>
            </w:r>
          </w:p>
        </w:tc>
      </w:tr>
      <w:tr w14:paraId="58E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5FE025D1">
            <w:pPr>
              <w:pStyle w:val="40"/>
              <w:rPr>
                <w:rFonts w:hint="eastAsia" w:ascii="仿宋_GB2312" w:hAnsi="仿宋_GB2312" w:eastAsia="仿宋_GB2312" w:cs="仿宋_GB2312"/>
              </w:rPr>
            </w:pPr>
            <w:r>
              <w:rPr>
                <w:rFonts w:hint="eastAsia" w:ascii="仿宋_GB2312" w:hAnsi="仿宋_GB2312" w:eastAsia="仿宋_GB2312" w:cs="仿宋_GB2312"/>
              </w:rPr>
              <w:t>3200</w:t>
            </w:r>
          </w:p>
        </w:tc>
        <w:tc>
          <w:tcPr>
            <w:tcW w:w="432" w:type="pct"/>
            <w:vAlign w:val="center"/>
          </w:tcPr>
          <w:p w14:paraId="22A8EDEA">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2B38A2C0">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44AF9260">
            <w:pPr>
              <w:pStyle w:val="40"/>
              <w:rPr>
                <w:rFonts w:hint="eastAsia" w:ascii="仿宋_GB2312" w:hAnsi="仿宋_GB2312" w:eastAsia="仿宋_GB2312" w:cs="仿宋_GB2312"/>
              </w:rPr>
            </w:pPr>
            <w:r>
              <w:rPr>
                <w:rFonts w:hint="eastAsia" w:ascii="仿宋_GB2312" w:hAnsi="仿宋_GB2312" w:eastAsia="仿宋_GB2312" w:cs="仿宋_GB2312"/>
              </w:rPr>
              <w:t>三乡水</w:t>
            </w:r>
          </w:p>
        </w:tc>
        <w:tc>
          <w:tcPr>
            <w:tcW w:w="499" w:type="pct"/>
            <w:vAlign w:val="center"/>
          </w:tcPr>
          <w:p w14:paraId="3A10D07F">
            <w:pPr>
              <w:pStyle w:val="40"/>
              <w:rPr>
                <w:rFonts w:hint="eastAsia" w:ascii="仿宋_GB2312" w:hAnsi="仿宋_GB2312" w:eastAsia="仿宋_GB2312" w:cs="仿宋_GB2312"/>
              </w:rPr>
            </w:pPr>
            <w:r>
              <w:rPr>
                <w:rFonts w:hint="eastAsia" w:ascii="仿宋_GB2312" w:hAnsi="仿宋_GB2312" w:eastAsia="仿宋_GB2312" w:cs="仿宋_GB2312"/>
              </w:rPr>
              <w:t>梅县圹子坑</w:t>
            </w:r>
          </w:p>
        </w:tc>
        <w:tc>
          <w:tcPr>
            <w:tcW w:w="543" w:type="pct"/>
            <w:vAlign w:val="center"/>
          </w:tcPr>
          <w:p w14:paraId="7701C735">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1E8F5C96">
            <w:pPr>
              <w:pStyle w:val="40"/>
              <w:rPr>
                <w:rFonts w:hint="eastAsia" w:ascii="仿宋_GB2312" w:hAnsi="仿宋_GB2312" w:eastAsia="仿宋_GB2312" w:cs="仿宋_GB2312"/>
              </w:rPr>
            </w:pPr>
            <w:r>
              <w:rPr>
                <w:rFonts w:hint="eastAsia" w:ascii="仿宋_GB2312" w:hAnsi="仿宋_GB2312" w:eastAsia="仿宋_GB2312" w:cs="仿宋_GB2312"/>
              </w:rPr>
              <w:t>丙村</w:t>
            </w:r>
          </w:p>
        </w:tc>
        <w:tc>
          <w:tcPr>
            <w:tcW w:w="547" w:type="pct"/>
            <w:vAlign w:val="center"/>
          </w:tcPr>
          <w:p w14:paraId="71D655DB">
            <w:pPr>
              <w:pStyle w:val="40"/>
              <w:rPr>
                <w:rFonts w:hint="eastAsia" w:ascii="仿宋_GB2312" w:hAnsi="仿宋_GB2312" w:eastAsia="仿宋_GB2312" w:cs="仿宋_GB2312"/>
              </w:rPr>
            </w:pPr>
            <w:r>
              <w:rPr>
                <w:rFonts w:hint="eastAsia" w:ascii="仿宋_GB2312" w:hAnsi="仿宋_GB2312" w:eastAsia="仿宋_GB2312" w:cs="仿宋_GB2312"/>
              </w:rPr>
              <w:t>31</w:t>
            </w:r>
          </w:p>
        </w:tc>
        <w:tc>
          <w:tcPr>
            <w:tcW w:w="410" w:type="pct"/>
            <w:vAlign w:val="center"/>
          </w:tcPr>
          <w:p w14:paraId="6FF136FE">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4638A0BB">
            <w:pPr>
              <w:pStyle w:val="40"/>
              <w:rPr>
                <w:rFonts w:hint="eastAsia" w:ascii="仿宋_GB2312" w:hAnsi="仿宋_GB2312" w:eastAsia="仿宋_GB2312" w:cs="仿宋_GB2312"/>
              </w:rPr>
            </w:pPr>
            <w:r>
              <w:rPr>
                <w:rFonts w:hint="eastAsia" w:ascii="仿宋_GB2312" w:hAnsi="仿宋_GB2312" w:eastAsia="仿宋_GB2312" w:cs="仿宋_GB2312"/>
              </w:rPr>
              <w:t>又名背溪水</w:t>
            </w:r>
          </w:p>
        </w:tc>
      </w:tr>
      <w:tr w14:paraId="582A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45FB5A47">
            <w:pPr>
              <w:pStyle w:val="40"/>
              <w:rPr>
                <w:rFonts w:hint="eastAsia" w:ascii="仿宋_GB2312" w:hAnsi="仿宋_GB2312" w:eastAsia="仿宋_GB2312" w:cs="仿宋_GB2312"/>
              </w:rPr>
            </w:pPr>
            <w:r>
              <w:rPr>
                <w:rFonts w:hint="eastAsia" w:ascii="仿宋_GB2312" w:hAnsi="仿宋_GB2312" w:eastAsia="仿宋_GB2312" w:cs="仿宋_GB2312"/>
              </w:rPr>
              <w:t>4000</w:t>
            </w:r>
          </w:p>
        </w:tc>
        <w:tc>
          <w:tcPr>
            <w:tcW w:w="432" w:type="pct"/>
            <w:vAlign w:val="center"/>
          </w:tcPr>
          <w:p w14:paraId="33475925">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5F5C7BEE">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6215E1A4">
            <w:pPr>
              <w:pStyle w:val="40"/>
              <w:rPr>
                <w:rFonts w:hint="eastAsia" w:ascii="仿宋_GB2312" w:hAnsi="仿宋_GB2312" w:eastAsia="仿宋_GB2312" w:cs="仿宋_GB2312"/>
              </w:rPr>
            </w:pPr>
            <w:r>
              <w:rPr>
                <w:rFonts w:hint="eastAsia" w:ascii="仿宋_GB2312" w:hAnsi="仿宋_GB2312" w:eastAsia="仿宋_GB2312" w:cs="仿宋_GB2312"/>
              </w:rPr>
              <w:t>隆文水</w:t>
            </w:r>
          </w:p>
        </w:tc>
        <w:tc>
          <w:tcPr>
            <w:tcW w:w="499" w:type="pct"/>
            <w:vAlign w:val="center"/>
          </w:tcPr>
          <w:p w14:paraId="4DE28FA8">
            <w:pPr>
              <w:pStyle w:val="40"/>
              <w:rPr>
                <w:rFonts w:hint="eastAsia" w:ascii="仿宋_GB2312" w:hAnsi="仿宋_GB2312" w:eastAsia="仿宋_GB2312" w:cs="仿宋_GB2312"/>
              </w:rPr>
            </w:pPr>
            <w:r>
              <w:rPr>
                <w:rFonts w:hint="eastAsia" w:ascii="仿宋_GB2312" w:hAnsi="仿宋_GB2312" w:eastAsia="仿宋_GB2312" w:cs="仿宋_GB2312"/>
              </w:rPr>
              <w:t>蕉岭冬瓜山</w:t>
            </w:r>
          </w:p>
        </w:tc>
        <w:tc>
          <w:tcPr>
            <w:tcW w:w="543" w:type="pct"/>
            <w:vAlign w:val="center"/>
          </w:tcPr>
          <w:p w14:paraId="366BB0A1">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24AD9E68">
            <w:pPr>
              <w:pStyle w:val="40"/>
              <w:rPr>
                <w:rFonts w:hint="eastAsia" w:ascii="仿宋_GB2312" w:hAnsi="仿宋_GB2312" w:eastAsia="仿宋_GB2312" w:cs="仿宋_GB2312"/>
              </w:rPr>
            </w:pPr>
            <w:r>
              <w:rPr>
                <w:rFonts w:hint="eastAsia" w:ascii="仿宋_GB2312" w:hAnsi="仿宋_GB2312" w:eastAsia="仿宋_GB2312" w:cs="仿宋_GB2312"/>
              </w:rPr>
              <w:t>莲塘角</w:t>
            </w:r>
          </w:p>
        </w:tc>
        <w:tc>
          <w:tcPr>
            <w:tcW w:w="547" w:type="pct"/>
            <w:vAlign w:val="center"/>
          </w:tcPr>
          <w:p w14:paraId="454A8781">
            <w:pPr>
              <w:pStyle w:val="40"/>
              <w:rPr>
                <w:rFonts w:hint="eastAsia" w:ascii="仿宋_GB2312" w:hAnsi="仿宋_GB2312" w:eastAsia="仿宋_GB2312" w:cs="仿宋_GB2312"/>
              </w:rPr>
            </w:pPr>
            <w:r>
              <w:rPr>
                <w:rFonts w:hint="eastAsia" w:ascii="仿宋_GB2312" w:hAnsi="仿宋_GB2312" w:eastAsia="仿宋_GB2312" w:cs="仿宋_GB2312"/>
              </w:rPr>
              <w:t>42</w:t>
            </w:r>
          </w:p>
        </w:tc>
        <w:tc>
          <w:tcPr>
            <w:tcW w:w="410" w:type="pct"/>
            <w:vAlign w:val="center"/>
          </w:tcPr>
          <w:p w14:paraId="111BB1AC">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24E19F2D">
            <w:pPr>
              <w:pStyle w:val="40"/>
              <w:rPr>
                <w:rFonts w:hint="eastAsia" w:ascii="仿宋_GB2312" w:hAnsi="仿宋_GB2312" w:eastAsia="仿宋_GB2312" w:cs="仿宋_GB2312"/>
              </w:rPr>
            </w:pPr>
            <w:r>
              <w:rPr>
                <w:rFonts w:hint="eastAsia" w:ascii="仿宋_GB2312" w:hAnsi="仿宋_GB2312" w:eastAsia="仿宋_GB2312" w:cs="仿宋_GB2312"/>
              </w:rPr>
              <w:t>又名龙女水</w:t>
            </w:r>
          </w:p>
        </w:tc>
      </w:tr>
      <w:tr w14:paraId="4376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375C80E3">
            <w:pPr>
              <w:pStyle w:val="40"/>
              <w:rPr>
                <w:rFonts w:hint="eastAsia" w:ascii="仿宋_GB2312" w:hAnsi="仿宋_GB2312" w:eastAsia="仿宋_GB2312" w:cs="仿宋_GB2312"/>
              </w:rPr>
            </w:pPr>
            <w:r>
              <w:rPr>
                <w:rFonts w:hint="eastAsia" w:ascii="仿宋_GB2312" w:hAnsi="仿宋_GB2312" w:eastAsia="仿宋_GB2312" w:cs="仿宋_GB2312"/>
              </w:rPr>
              <w:t>4100</w:t>
            </w:r>
          </w:p>
        </w:tc>
        <w:tc>
          <w:tcPr>
            <w:tcW w:w="432" w:type="pct"/>
            <w:vAlign w:val="center"/>
          </w:tcPr>
          <w:p w14:paraId="530103C0">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1E2E9ECF">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3F3C6E7A">
            <w:pPr>
              <w:pStyle w:val="40"/>
              <w:rPr>
                <w:rFonts w:hint="eastAsia" w:ascii="仿宋_GB2312" w:hAnsi="仿宋_GB2312" w:eastAsia="仿宋_GB2312" w:cs="仿宋_GB2312"/>
              </w:rPr>
            </w:pPr>
            <w:r>
              <w:rPr>
                <w:rFonts w:hint="eastAsia" w:ascii="仿宋_GB2312" w:hAnsi="仿宋_GB2312" w:eastAsia="仿宋_GB2312" w:cs="仿宋_GB2312"/>
              </w:rPr>
              <w:t>高思水</w:t>
            </w:r>
          </w:p>
        </w:tc>
        <w:tc>
          <w:tcPr>
            <w:tcW w:w="499" w:type="pct"/>
            <w:vAlign w:val="center"/>
          </w:tcPr>
          <w:p w14:paraId="5199EA17">
            <w:pPr>
              <w:pStyle w:val="40"/>
              <w:rPr>
                <w:rFonts w:hint="eastAsia" w:ascii="仿宋_GB2312" w:hAnsi="仿宋_GB2312" w:eastAsia="仿宋_GB2312" w:cs="仿宋_GB2312"/>
              </w:rPr>
            </w:pPr>
            <w:r>
              <w:rPr>
                <w:rFonts w:hint="eastAsia" w:ascii="仿宋_GB2312" w:hAnsi="仿宋_GB2312" w:eastAsia="仿宋_GB2312" w:cs="仿宋_GB2312"/>
              </w:rPr>
              <w:t>蕉岭屏风嶂</w:t>
            </w:r>
          </w:p>
        </w:tc>
        <w:tc>
          <w:tcPr>
            <w:tcW w:w="543" w:type="pct"/>
            <w:vAlign w:val="center"/>
          </w:tcPr>
          <w:p w14:paraId="7EDE3726">
            <w:pPr>
              <w:pStyle w:val="40"/>
              <w:rPr>
                <w:rFonts w:hint="eastAsia" w:ascii="仿宋_GB2312" w:hAnsi="仿宋_GB2312" w:eastAsia="仿宋_GB2312" w:cs="仿宋_GB2312"/>
              </w:rPr>
            </w:pPr>
            <w:r>
              <w:rPr>
                <w:rFonts w:hint="eastAsia" w:ascii="仿宋_GB2312" w:hAnsi="仿宋_GB2312" w:eastAsia="仿宋_GB2312" w:cs="仿宋_GB2312"/>
              </w:rPr>
              <w:t>梅县</w:t>
            </w:r>
          </w:p>
          <w:p w14:paraId="7112BE1E">
            <w:pPr>
              <w:pStyle w:val="40"/>
              <w:rPr>
                <w:rFonts w:hint="eastAsia" w:ascii="仿宋_GB2312" w:hAnsi="仿宋_GB2312" w:eastAsia="仿宋_GB2312" w:cs="仿宋_GB2312"/>
              </w:rPr>
            </w:pPr>
            <w:r>
              <w:rPr>
                <w:rFonts w:hint="eastAsia" w:ascii="仿宋_GB2312" w:hAnsi="仿宋_GB2312" w:eastAsia="仿宋_GB2312" w:cs="仿宋_GB2312"/>
              </w:rPr>
              <w:t>下坪</w:t>
            </w:r>
          </w:p>
        </w:tc>
        <w:tc>
          <w:tcPr>
            <w:tcW w:w="547" w:type="pct"/>
            <w:vAlign w:val="center"/>
          </w:tcPr>
          <w:p w14:paraId="2FCF67E6">
            <w:pPr>
              <w:pStyle w:val="40"/>
              <w:rPr>
                <w:rFonts w:hint="eastAsia" w:ascii="仿宋_GB2312" w:hAnsi="仿宋_GB2312" w:eastAsia="仿宋_GB2312" w:cs="仿宋_GB2312"/>
              </w:rPr>
            </w:pPr>
            <w:r>
              <w:rPr>
                <w:rFonts w:hint="eastAsia" w:ascii="仿宋_GB2312" w:hAnsi="仿宋_GB2312" w:eastAsia="仿宋_GB2312" w:cs="仿宋_GB2312"/>
              </w:rPr>
              <w:t>28</w:t>
            </w:r>
          </w:p>
        </w:tc>
        <w:tc>
          <w:tcPr>
            <w:tcW w:w="410" w:type="pct"/>
            <w:vAlign w:val="center"/>
          </w:tcPr>
          <w:p w14:paraId="0FECD369">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1DB78BE3">
            <w:pPr>
              <w:pStyle w:val="40"/>
              <w:rPr>
                <w:rFonts w:hint="eastAsia" w:ascii="仿宋_GB2312" w:hAnsi="仿宋_GB2312" w:eastAsia="仿宋_GB2312" w:cs="仿宋_GB2312"/>
              </w:rPr>
            </w:pPr>
            <w:r>
              <w:rPr>
                <w:rFonts w:hint="eastAsia" w:ascii="仿宋_GB2312" w:hAnsi="仿宋_GB2312" w:eastAsia="仿宋_GB2312" w:cs="仿宋_GB2312"/>
              </w:rPr>
              <w:t>　</w:t>
            </w:r>
          </w:p>
        </w:tc>
      </w:tr>
      <w:tr w14:paraId="26CD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68" w:type="pct"/>
            <w:vAlign w:val="center"/>
          </w:tcPr>
          <w:p w14:paraId="7471682C">
            <w:pPr>
              <w:pStyle w:val="40"/>
              <w:rPr>
                <w:rFonts w:hint="eastAsia" w:ascii="仿宋_GB2312" w:hAnsi="仿宋_GB2312" w:eastAsia="仿宋_GB2312" w:cs="仿宋_GB2312"/>
              </w:rPr>
            </w:pPr>
            <w:r>
              <w:rPr>
                <w:rFonts w:hint="eastAsia" w:ascii="仿宋_GB2312" w:hAnsi="仿宋_GB2312" w:eastAsia="仿宋_GB2312" w:cs="仿宋_GB2312"/>
              </w:rPr>
              <w:t>4200</w:t>
            </w:r>
          </w:p>
        </w:tc>
        <w:tc>
          <w:tcPr>
            <w:tcW w:w="432" w:type="pct"/>
            <w:vAlign w:val="center"/>
          </w:tcPr>
          <w:p w14:paraId="39311396">
            <w:pPr>
              <w:pStyle w:val="40"/>
              <w:rPr>
                <w:rFonts w:hint="eastAsia" w:ascii="仿宋_GB2312" w:hAnsi="仿宋_GB2312" w:eastAsia="仿宋_GB2312" w:cs="仿宋_GB2312"/>
              </w:rPr>
            </w:pPr>
            <w:r>
              <w:rPr>
                <w:rFonts w:hint="eastAsia" w:ascii="仿宋_GB2312" w:hAnsi="仿宋_GB2312" w:eastAsia="仿宋_GB2312" w:cs="仿宋_GB2312"/>
              </w:rPr>
              <w:t>农发</w:t>
            </w:r>
          </w:p>
        </w:tc>
        <w:tc>
          <w:tcPr>
            <w:tcW w:w="450" w:type="pct"/>
            <w:vAlign w:val="center"/>
          </w:tcPr>
          <w:p w14:paraId="40C82D31">
            <w:pPr>
              <w:pStyle w:val="40"/>
              <w:rPr>
                <w:rFonts w:hint="eastAsia" w:ascii="仿宋_GB2312" w:hAnsi="仿宋_GB2312" w:eastAsia="仿宋_GB2312" w:cs="仿宋_GB2312"/>
              </w:rPr>
            </w:pPr>
            <w:r>
              <w:rPr>
                <w:rFonts w:hint="eastAsia" w:ascii="仿宋_GB2312" w:hAnsi="仿宋_GB2312" w:eastAsia="仿宋_GB2312" w:cs="仿宋_GB2312"/>
              </w:rPr>
              <w:t>韩江</w:t>
            </w:r>
          </w:p>
        </w:tc>
        <w:tc>
          <w:tcPr>
            <w:tcW w:w="626" w:type="pct"/>
            <w:vAlign w:val="center"/>
          </w:tcPr>
          <w:p w14:paraId="662D1764">
            <w:pPr>
              <w:pStyle w:val="40"/>
              <w:rPr>
                <w:rFonts w:hint="eastAsia" w:ascii="仿宋_GB2312" w:hAnsi="仿宋_GB2312" w:eastAsia="仿宋_GB2312" w:cs="仿宋_GB2312"/>
              </w:rPr>
            </w:pPr>
            <w:r>
              <w:rPr>
                <w:rFonts w:hint="eastAsia" w:ascii="仿宋_GB2312" w:hAnsi="仿宋_GB2312" w:eastAsia="仿宋_GB2312" w:cs="仿宋_GB2312"/>
              </w:rPr>
              <w:t>松源水</w:t>
            </w:r>
          </w:p>
        </w:tc>
        <w:tc>
          <w:tcPr>
            <w:tcW w:w="499" w:type="pct"/>
            <w:vAlign w:val="center"/>
          </w:tcPr>
          <w:p w14:paraId="027EB08A">
            <w:pPr>
              <w:pStyle w:val="40"/>
              <w:rPr>
                <w:rFonts w:hint="eastAsia" w:ascii="仿宋_GB2312" w:hAnsi="仿宋_GB2312" w:eastAsia="仿宋_GB2312" w:cs="仿宋_GB2312"/>
              </w:rPr>
            </w:pPr>
            <w:r>
              <w:rPr>
                <w:rFonts w:hint="eastAsia" w:ascii="仿宋_GB2312" w:hAnsi="仿宋_GB2312" w:eastAsia="仿宋_GB2312" w:cs="仿宋_GB2312"/>
              </w:rPr>
              <w:t>福建省界</w:t>
            </w:r>
          </w:p>
        </w:tc>
        <w:tc>
          <w:tcPr>
            <w:tcW w:w="543" w:type="pct"/>
            <w:vAlign w:val="center"/>
          </w:tcPr>
          <w:p w14:paraId="34CA8933">
            <w:pPr>
              <w:pStyle w:val="40"/>
              <w:rPr>
                <w:rFonts w:hint="eastAsia" w:ascii="仿宋_GB2312" w:hAnsi="仿宋_GB2312" w:eastAsia="仿宋_GB2312" w:cs="仿宋_GB2312"/>
              </w:rPr>
            </w:pPr>
            <w:r>
              <w:rPr>
                <w:rFonts w:hint="eastAsia" w:ascii="仿宋_GB2312" w:hAnsi="仿宋_GB2312" w:eastAsia="仿宋_GB2312" w:cs="仿宋_GB2312"/>
              </w:rPr>
              <w:t>梅县松口下店</w:t>
            </w:r>
          </w:p>
        </w:tc>
        <w:tc>
          <w:tcPr>
            <w:tcW w:w="547" w:type="pct"/>
            <w:vAlign w:val="center"/>
          </w:tcPr>
          <w:p w14:paraId="10A76599">
            <w:pPr>
              <w:pStyle w:val="40"/>
              <w:rPr>
                <w:rFonts w:hint="eastAsia" w:ascii="仿宋_GB2312" w:hAnsi="仿宋_GB2312" w:eastAsia="仿宋_GB2312" w:cs="仿宋_GB2312"/>
              </w:rPr>
            </w:pPr>
            <w:r>
              <w:rPr>
                <w:rFonts w:hint="eastAsia" w:ascii="仿宋_GB2312" w:hAnsi="仿宋_GB2312" w:eastAsia="仿宋_GB2312" w:cs="仿宋_GB2312"/>
              </w:rPr>
              <w:t>56</w:t>
            </w:r>
          </w:p>
        </w:tc>
        <w:tc>
          <w:tcPr>
            <w:tcW w:w="410" w:type="pct"/>
            <w:vAlign w:val="center"/>
          </w:tcPr>
          <w:p w14:paraId="1429AFFB">
            <w:pPr>
              <w:pStyle w:val="40"/>
              <w:rPr>
                <w:rFonts w:hint="eastAsia" w:ascii="仿宋_GB2312" w:hAnsi="仿宋_GB2312" w:eastAsia="仿宋_GB2312" w:cs="仿宋_GB2312"/>
              </w:rPr>
            </w:pPr>
            <w:r>
              <w:rPr>
                <w:rFonts w:hint="eastAsia" w:ascii="仿宋_GB2312" w:hAnsi="仿宋_GB2312" w:eastAsia="仿宋_GB2312" w:cs="仿宋_GB2312"/>
              </w:rPr>
              <w:t>Ⅱ</w:t>
            </w:r>
          </w:p>
        </w:tc>
        <w:tc>
          <w:tcPr>
            <w:tcW w:w="1022" w:type="pct"/>
            <w:vAlign w:val="center"/>
          </w:tcPr>
          <w:p w14:paraId="27879869">
            <w:pPr>
              <w:pStyle w:val="40"/>
              <w:rPr>
                <w:rFonts w:hint="eastAsia" w:ascii="仿宋_GB2312" w:hAnsi="仿宋_GB2312" w:eastAsia="仿宋_GB2312" w:cs="仿宋_GB2312"/>
              </w:rPr>
            </w:pPr>
            <w:r>
              <w:rPr>
                <w:rFonts w:hint="eastAsia" w:ascii="仿宋_GB2312" w:hAnsi="仿宋_GB2312" w:eastAsia="仿宋_GB2312" w:cs="仿宋_GB2312"/>
              </w:rPr>
              <w:t>　</w:t>
            </w:r>
          </w:p>
        </w:tc>
      </w:tr>
    </w:tbl>
    <w:p w14:paraId="18F49D3E">
      <w:pPr>
        <w:ind w:firstLine="0" w:firstLineChars="0"/>
        <w:rPr>
          <w:rFonts w:asciiTheme="majorEastAsia" w:hAnsiTheme="majorEastAsia" w:eastAsiaTheme="majorEastAsia" w:cstheme="majorEastAsia"/>
          <w:sz w:val="21"/>
          <w:szCs w:val="21"/>
        </w:rPr>
      </w:pPr>
      <w:r>
        <w:rPr>
          <w:rFonts w:hint="eastAsia" w:ascii="仿宋_GB2312" w:hAnsi="仿宋_GB2312" w:eastAsia="仿宋_GB2312" w:cs="仿宋_GB2312"/>
          <w:sz w:val="21"/>
          <w:szCs w:val="21"/>
        </w:rPr>
        <w:t>注：数据来源于2018年《梅州市梅县区畜禽养殖区划分修订方案研究报告》。</w:t>
      </w:r>
    </w:p>
    <w:p w14:paraId="10230EA6">
      <w:pPr>
        <w:pStyle w:val="4"/>
        <w:bidi w:val="0"/>
      </w:pPr>
      <w:bookmarkStart w:id="29" w:name="_Toc6281"/>
      <w:r>
        <w:rPr>
          <w:rFonts w:hint="eastAsia"/>
        </w:rPr>
        <w:t>4、自然资源</w:t>
      </w:r>
      <w:bookmarkEnd w:id="27"/>
      <w:bookmarkStart w:id="30" w:name="_Toc1034194223_WPSOffice_Level2"/>
      <w:r>
        <w:rPr>
          <w:rStyle w:val="29"/>
          <w:rFonts w:hint="eastAsia" w:ascii="Times New Roman" w:hAnsi="Times New Roman" w:eastAsia="楷体" w:cs="楷体"/>
          <w:b/>
          <w:bCs/>
        </w:rPr>
        <w:footnoteReference w:id="3"/>
      </w:r>
      <w:bookmarkEnd w:id="29"/>
    </w:p>
    <w:p w14:paraId="03ABF964">
      <w:pPr>
        <w:bidi w:val="0"/>
      </w:pPr>
      <w:r>
        <w:rPr>
          <w:b/>
          <w:bCs/>
        </w:rPr>
        <w:t>矿产资源：</w:t>
      </w:r>
      <w:r>
        <w:t>梅县区矿产资源有煤、锰、石灰石、大理石、铁、钨、铅、锑、铜，矿藏主要有煤、石灰石、瓷土、锰、铁、稀土等，有储量小种类多的特点，多数已有开采。其中大理石储量40多亿吨、煤近4亿吨、铁1318万吨、锰700万吨。</w:t>
      </w:r>
    </w:p>
    <w:p w14:paraId="0A1B0288">
      <w:pPr>
        <w:bidi w:val="0"/>
      </w:pPr>
      <w:r>
        <w:rPr>
          <w:b/>
          <w:bCs/>
        </w:rPr>
        <w:t>水资源：</w:t>
      </w:r>
      <w:r>
        <w:t>梅县区主要河流有梅江河、石窟河、程江河和松源河，梅江为主干流（母亲河），流经该区境内约75千米，年平均径流总量90多亿立方米，水能理论蕴藏量30万千瓦，占全区水能理论蕴藏量40.13万千瓦的75%。</w:t>
      </w:r>
    </w:p>
    <w:p w14:paraId="1ECE0AD5">
      <w:pPr>
        <w:bidi w:val="0"/>
      </w:pPr>
      <w:r>
        <w:rPr>
          <w:b/>
          <w:bCs/>
        </w:rPr>
        <w:t>林业资源：</w:t>
      </w:r>
      <w:r>
        <w:t>2022年，全区林地面积273.38万亩，森林覆盖率达75.54%，森林蓄积1225.38万立方米，建成11个自然保护区和40个森林公园，林业产值1.04亿元</w:t>
      </w:r>
      <w:r>
        <w:rPr>
          <w:rFonts w:hint="eastAsia"/>
        </w:rPr>
        <w:t>。</w:t>
      </w:r>
    </w:p>
    <w:p w14:paraId="7CB49417">
      <w:pPr>
        <w:bidi w:val="0"/>
      </w:pPr>
      <w:r>
        <w:rPr>
          <w:b/>
          <w:bCs/>
        </w:rPr>
        <w:t>野生动物资源：</w:t>
      </w:r>
      <w:r>
        <w:t>兽类主要有野猪、黄猄、大灵猫（五段子）、狐、狸、野兔、黄鼠狼、豪猪、松鼠等10多种，禽类有竹鸡、雉鸡等，鸟类有斑鸠、鹧鸪、猫头鹰、喜鹊等10多种，鱼类有河鲶、斑鱼、黄鳝、泥鳅等近10种，两栖爬行类有田螺、鳖鱼、龟、青蛙、穿山甲、金环蛇、银环蛇等10多种。</w:t>
      </w:r>
    </w:p>
    <w:p w14:paraId="5DF2B889">
      <w:pPr>
        <w:bidi w:val="0"/>
      </w:pPr>
      <w:r>
        <w:rPr>
          <w:b/>
          <w:bCs/>
        </w:rPr>
        <w:t>植物资源：</w:t>
      </w:r>
      <w:r>
        <w:t>主要有金柚、茶叶、柑橙、香蕉、柿子、西瓜、烤烟、仙人草、竹笋、南药等。</w:t>
      </w:r>
    </w:p>
    <w:p w14:paraId="20D4592C">
      <w:pPr>
        <w:pStyle w:val="4"/>
        <w:bidi w:val="0"/>
      </w:pPr>
      <w:bookmarkStart w:id="31" w:name="_Toc10213"/>
      <w:r>
        <w:rPr>
          <w:rFonts w:hint="eastAsia"/>
        </w:rPr>
        <w:t>5、生态保护区</w:t>
      </w:r>
      <w:bookmarkEnd w:id="31"/>
    </w:p>
    <w:p w14:paraId="292F7DE0">
      <w:pPr>
        <w:bidi w:val="0"/>
      </w:pPr>
      <w:r>
        <w:rPr>
          <w:b/>
          <w:bCs/>
        </w:rPr>
        <w:t>水源保护区：</w:t>
      </w:r>
      <w:r>
        <w:t>目前，梅县区</w:t>
      </w:r>
      <w:r>
        <w:rPr>
          <w:rFonts w:hint="eastAsia"/>
          <w:lang w:eastAsia="zh-CN"/>
        </w:rPr>
        <w:t>新调整划定</w:t>
      </w:r>
      <w:r>
        <w:rPr>
          <w:rFonts w:hint="eastAsia"/>
        </w:rPr>
        <w:t>饮用水水源保护区</w:t>
      </w:r>
      <w:r>
        <w:t>共</w:t>
      </w:r>
      <w:r>
        <w:rPr>
          <w:rFonts w:hint="eastAsia"/>
          <w:lang w:val="en-US" w:eastAsia="zh-CN"/>
        </w:rPr>
        <w:t>9</w:t>
      </w:r>
      <w:r>
        <w:t>个</w:t>
      </w:r>
      <w:r>
        <w:rPr>
          <w:rFonts w:hint="eastAsia"/>
          <w:lang w:eastAsia="zh-CN"/>
        </w:rPr>
        <w:t>（详见</w:t>
      </w:r>
      <w:r>
        <w:rPr>
          <w:rFonts w:hint="eastAsia"/>
        </w:rPr>
        <w:t>梅州市</w:t>
      </w:r>
      <w:r>
        <w:rPr>
          <w:rFonts w:hint="eastAsia"/>
          <w:lang w:eastAsia="zh-CN"/>
        </w:rPr>
        <w:t>梅县区</w:t>
      </w:r>
      <w:r>
        <w:rPr>
          <w:rFonts w:hint="eastAsia"/>
        </w:rPr>
        <w:t>“千吨万人”乡镇及以下饮用水水源保护区</w:t>
      </w:r>
      <w:r>
        <w:rPr>
          <w:rFonts w:hint="eastAsia"/>
          <w:lang w:eastAsia="zh-CN"/>
        </w:rPr>
        <w:t>调整</w:t>
      </w:r>
      <w:r>
        <w:rPr>
          <w:rFonts w:hint="eastAsia"/>
        </w:rPr>
        <w:t>划定方案</w:t>
      </w:r>
      <w:r>
        <w:t>汇总表</w:t>
      </w:r>
      <w:r>
        <w:rPr>
          <w:rFonts w:hint="eastAsia"/>
          <w:lang w:eastAsia="zh-CN"/>
        </w:rPr>
        <w:t>）</w:t>
      </w:r>
      <w:r>
        <w:t>。</w:t>
      </w:r>
    </w:p>
    <w:p w14:paraId="0DD873C5">
      <w:pPr>
        <w:bidi w:val="0"/>
        <w:rPr>
          <w:rFonts w:hint="default"/>
        </w:rPr>
        <w:sectPr>
          <w:footerReference r:id="rId7" w:type="default"/>
          <w:pgSz w:w="11906" w:h="16838"/>
          <w:pgMar w:top="1440" w:right="1800" w:bottom="1440" w:left="1800" w:header="851" w:footer="992" w:gutter="0"/>
          <w:pgNumType w:start="1"/>
          <w:cols w:space="425" w:num="1"/>
          <w:docGrid w:type="lines" w:linePitch="312" w:charSpace="0"/>
        </w:sectPr>
      </w:pPr>
    </w:p>
    <w:p w14:paraId="40A5BAF0">
      <w:pPr>
        <w:pStyle w:val="41"/>
        <w:bidi w:val="0"/>
        <w:rPr>
          <w:rFonts w:hint="default"/>
        </w:rPr>
      </w:pPr>
      <w:r>
        <w:t xml:space="preserve">表2 </w:t>
      </w:r>
      <w:r>
        <w:rPr>
          <w:rFonts w:hint="eastAsia"/>
        </w:rPr>
        <w:t>梅州市</w:t>
      </w:r>
      <w:r>
        <w:rPr>
          <w:rFonts w:hint="eastAsia"/>
          <w:lang w:eastAsia="zh-CN"/>
        </w:rPr>
        <w:t>梅县区</w:t>
      </w:r>
      <w:r>
        <w:rPr>
          <w:rFonts w:hint="eastAsia"/>
        </w:rPr>
        <w:t>“千吨万人”乡镇及以下饮用水水源保护区</w:t>
      </w:r>
      <w:r>
        <w:rPr>
          <w:rFonts w:hint="eastAsia"/>
          <w:lang w:eastAsia="zh-CN"/>
        </w:rPr>
        <w:t>调整</w:t>
      </w:r>
      <w:r>
        <w:rPr>
          <w:rFonts w:hint="eastAsia"/>
        </w:rPr>
        <w:t>划定方案</w:t>
      </w:r>
      <w:r>
        <w:t>汇总表</w:t>
      </w:r>
    </w:p>
    <w:tbl>
      <w:tblPr>
        <w:tblStyle w:val="22"/>
        <w:tblW w:w="13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4"/>
        <w:gridCol w:w="900"/>
        <w:gridCol w:w="1325"/>
        <w:gridCol w:w="975"/>
        <w:gridCol w:w="975"/>
        <w:gridCol w:w="4250"/>
        <w:gridCol w:w="3612"/>
        <w:gridCol w:w="1001"/>
      </w:tblGrid>
      <w:tr w14:paraId="7EA0D7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46" w:hRule="atLeast"/>
          <w:tblHeader/>
          <w:jc w:val="center"/>
        </w:trPr>
        <w:tc>
          <w:tcPr>
            <w:tcW w:w="664" w:type="dxa"/>
            <w:vAlign w:val="center"/>
          </w:tcPr>
          <w:p w14:paraId="7687EE64">
            <w:pPr>
              <w:pStyle w:val="40"/>
              <w:jc w:val="center"/>
              <w:rPr>
                <w:rFonts w:hint="default" w:ascii="Times New Roman" w:hAnsi="Times New Roman"/>
                <w:b/>
                <w:bCs/>
              </w:rPr>
            </w:pPr>
            <w:r>
              <w:rPr>
                <w:rFonts w:ascii="Times New Roman" w:hAnsi="Times New Roman"/>
                <w:b/>
                <w:bCs/>
              </w:rPr>
              <w:t>序号</w:t>
            </w:r>
          </w:p>
        </w:tc>
        <w:tc>
          <w:tcPr>
            <w:tcW w:w="900" w:type="dxa"/>
            <w:vAlign w:val="center"/>
          </w:tcPr>
          <w:p w14:paraId="29C96241">
            <w:pPr>
              <w:pStyle w:val="40"/>
              <w:jc w:val="center"/>
              <w:rPr>
                <w:rFonts w:hint="eastAsia" w:ascii="Times New Roman" w:hAnsi="Times New Roman" w:eastAsia="宋体"/>
                <w:b/>
                <w:bCs/>
                <w:lang w:eastAsia="zh-CN"/>
              </w:rPr>
            </w:pPr>
            <w:r>
              <w:rPr>
                <w:rFonts w:hint="eastAsia" w:ascii="Times New Roman" w:hAnsi="Times New Roman"/>
                <w:b/>
                <w:bCs/>
                <w:lang w:eastAsia="zh-CN"/>
              </w:rPr>
              <w:t>乡镇</w:t>
            </w:r>
          </w:p>
        </w:tc>
        <w:tc>
          <w:tcPr>
            <w:tcW w:w="1325" w:type="dxa"/>
            <w:vAlign w:val="center"/>
          </w:tcPr>
          <w:p w14:paraId="54F2BE9C">
            <w:pPr>
              <w:pStyle w:val="40"/>
              <w:jc w:val="center"/>
              <w:rPr>
                <w:rFonts w:ascii="Times New Roman" w:hAnsi="Times New Roman"/>
                <w:b/>
                <w:bCs/>
              </w:rPr>
            </w:pPr>
            <w:r>
              <w:rPr>
                <w:rFonts w:ascii="Times New Roman" w:hAnsi="Times New Roman"/>
                <w:b/>
                <w:bCs/>
              </w:rPr>
              <w:t>保护区</w:t>
            </w:r>
          </w:p>
          <w:p w14:paraId="3ABEA4D7">
            <w:pPr>
              <w:pStyle w:val="40"/>
              <w:jc w:val="center"/>
              <w:rPr>
                <w:rFonts w:hint="default" w:ascii="Times New Roman" w:hAnsi="Times New Roman"/>
                <w:b/>
                <w:bCs/>
              </w:rPr>
            </w:pPr>
            <w:r>
              <w:rPr>
                <w:rFonts w:ascii="Times New Roman" w:hAnsi="Times New Roman"/>
                <w:b/>
                <w:bCs/>
              </w:rPr>
              <w:t>名称</w:t>
            </w:r>
          </w:p>
        </w:tc>
        <w:tc>
          <w:tcPr>
            <w:tcW w:w="975" w:type="dxa"/>
            <w:vAlign w:val="center"/>
          </w:tcPr>
          <w:p w14:paraId="54D48C8E">
            <w:pPr>
              <w:pStyle w:val="40"/>
              <w:jc w:val="center"/>
              <w:rPr>
                <w:rFonts w:hint="default" w:ascii="Times New Roman" w:hAnsi="Times New Roman"/>
                <w:b/>
                <w:bCs/>
              </w:rPr>
            </w:pPr>
            <w:r>
              <w:rPr>
                <w:rFonts w:hint="eastAsia" w:ascii="Times New Roman" w:hAnsi="Times New Roman"/>
                <w:b/>
                <w:bCs/>
              </w:rPr>
              <w:t>水质保护目标</w:t>
            </w:r>
          </w:p>
        </w:tc>
        <w:tc>
          <w:tcPr>
            <w:tcW w:w="975" w:type="dxa"/>
            <w:tcBorders>
              <w:right w:val="single" w:color="auto" w:sz="4" w:space="0"/>
            </w:tcBorders>
            <w:vAlign w:val="center"/>
          </w:tcPr>
          <w:p w14:paraId="518B9493">
            <w:pPr>
              <w:pStyle w:val="40"/>
              <w:jc w:val="center"/>
              <w:rPr>
                <w:rFonts w:hint="default" w:ascii="Times New Roman" w:hAnsi="Times New Roman"/>
                <w:b/>
                <w:bCs/>
              </w:rPr>
            </w:pPr>
            <w:r>
              <w:rPr>
                <w:rFonts w:hint="default" w:ascii="Times New Roman" w:hAnsi="Times New Roman"/>
                <w:b/>
                <w:bCs/>
              </w:rPr>
              <w:t>保护区级别</w:t>
            </w:r>
          </w:p>
        </w:tc>
        <w:tc>
          <w:tcPr>
            <w:tcW w:w="4250" w:type="dxa"/>
            <w:tcBorders>
              <w:left w:val="single" w:color="auto" w:sz="4" w:space="0"/>
            </w:tcBorders>
            <w:vAlign w:val="center"/>
          </w:tcPr>
          <w:p w14:paraId="6AE64134">
            <w:pPr>
              <w:pStyle w:val="40"/>
              <w:jc w:val="center"/>
              <w:rPr>
                <w:rFonts w:hint="default" w:ascii="Times New Roman" w:hAnsi="Times New Roman"/>
                <w:b/>
                <w:bCs/>
              </w:rPr>
            </w:pPr>
            <w:r>
              <w:rPr>
                <w:rFonts w:hint="default" w:ascii="Times New Roman" w:hAnsi="Times New Roman"/>
                <w:b/>
                <w:bCs/>
              </w:rPr>
              <w:t>水域</w:t>
            </w:r>
          </w:p>
        </w:tc>
        <w:tc>
          <w:tcPr>
            <w:tcW w:w="3612" w:type="dxa"/>
            <w:tcBorders>
              <w:right w:val="single" w:color="auto" w:sz="4" w:space="0"/>
            </w:tcBorders>
            <w:vAlign w:val="center"/>
          </w:tcPr>
          <w:p w14:paraId="3DD32F48">
            <w:pPr>
              <w:pStyle w:val="40"/>
              <w:jc w:val="center"/>
              <w:rPr>
                <w:rFonts w:hint="default" w:ascii="Times New Roman" w:hAnsi="Times New Roman"/>
                <w:b/>
                <w:bCs/>
              </w:rPr>
            </w:pPr>
            <w:r>
              <w:rPr>
                <w:rFonts w:hint="default" w:ascii="Times New Roman" w:hAnsi="Times New Roman"/>
                <w:b/>
                <w:bCs/>
              </w:rPr>
              <w:t>陆域</w:t>
            </w:r>
          </w:p>
        </w:tc>
        <w:tc>
          <w:tcPr>
            <w:tcW w:w="1001" w:type="dxa"/>
            <w:tcBorders>
              <w:left w:val="single" w:color="auto" w:sz="4" w:space="0"/>
            </w:tcBorders>
            <w:vAlign w:val="center"/>
          </w:tcPr>
          <w:p w14:paraId="653EA1E0">
            <w:pPr>
              <w:pStyle w:val="40"/>
              <w:jc w:val="center"/>
              <w:rPr>
                <w:rFonts w:hint="default" w:ascii="Times New Roman" w:hAnsi="Times New Roman"/>
                <w:b/>
                <w:bCs/>
              </w:rPr>
            </w:pPr>
            <w:r>
              <w:rPr>
                <w:rFonts w:hint="default" w:ascii="Times New Roman" w:hAnsi="Times New Roman"/>
                <w:b/>
                <w:bCs/>
              </w:rPr>
              <w:t>面积</w:t>
            </w:r>
          </w:p>
          <w:p w14:paraId="42730450">
            <w:pPr>
              <w:pStyle w:val="40"/>
              <w:jc w:val="center"/>
              <w:rPr>
                <w:rFonts w:hint="default" w:ascii="Times New Roman" w:hAnsi="Times New Roman"/>
                <w:b/>
                <w:bCs/>
              </w:rPr>
            </w:pPr>
            <w:r>
              <w:rPr>
                <w:rFonts w:hint="default" w:ascii="Times New Roman" w:hAnsi="Times New Roman"/>
                <w:b/>
                <w:bCs/>
              </w:rPr>
              <w:t>（km</w:t>
            </w:r>
            <w:r>
              <w:rPr>
                <w:rFonts w:hint="default" w:ascii="Times New Roman" w:hAnsi="Times New Roman"/>
                <w:b/>
                <w:bCs/>
                <w:sz w:val="21"/>
                <w:vertAlign w:val="superscript"/>
              </w:rPr>
              <w:t>2</w:t>
            </w:r>
            <w:r>
              <w:rPr>
                <w:rFonts w:hint="default" w:ascii="Times New Roman" w:hAnsi="Times New Roman"/>
                <w:b/>
                <w:bCs/>
              </w:rPr>
              <w:t xml:space="preserve"> ）</w:t>
            </w:r>
          </w:p>
        </w:tc>
      </w:tr>
      <w:tr w14:paraId="2DEC67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Align w:val="center"/>
          </w:tcPr>
          <w:p w14:paraId="330E38B7">
            <w:pPr>
              <w:pStyle w:val="40"/>
              <w:jc w:val="center"/>
              <w:rPr>
                <w:rFonts w:hint="default" w:ascii="Times New Roman" w:hAnsi="Times New Roman"/>
              </w:rPr>
            </w:pPr>
            <w:r>
              <w:rPr>
                <w:rFonts w:ascii="Times New Roman" w:hAnsi="Times New Roman"/>
              </w:rPr>
              <w:t>1</w:t>
            </w:r>
          </w:p>
        </w:tc>
        <w:tc>
          <w:tcPr>
            <w:tcW w:w="900" w:type="dxa"/>
            <w:vAlign w:val="center"/>
          </w:tcPr>
          <w:p w14:paraId="60240195">
            <w:pPr>
              <w:pStyle w:val="40"/>
              <w:jc w:val="center"/>
              <w:rPr>
                <w:rFonts w:hint="eastAsia" w:ascii="Times New Roman" w:hAnsi="Times New Roman" w:eastAsia="宋体"/>
                <w:lang w:eastAsia="zh-CN"/>
              </w:rPr>
            </w:pPr>
            <w:r>
              <w:rPr>
                <w:rFonts w:hint="eastAsia" w:ascii="Times New Roman" w:hAnsi="Times New Roman"/>
                <w:lang w:eastAsia="zh-CN"/>
              </w:rPr>
              <w:t>丙村镇</w:t>
            </w:r>
          </w:p>
        </w:tc>
        <w:tc>
          <w:tcPr>
            <w:tcW w:w="1325" w:type="dxa"/>
            <w:vAlign w:val="center"/>
          </w:tcPr>
          <w:p w14:paraId="40812F78">
            <w:pPr>
              <w:pStyle w:val="40"/>
              <w:jc w:val="center"/>
              <w:rPr>
                <w:rFonts w:hint="default" w:ascii="Times New Roman" w:hAnsi="Times New Roman" w:eastAsia="宋体"/>
              </w:rPr>
            </w:pPr>
            <w:r>
              <w:rPr>
                <w:rFonts w:hint="default" w:ascii="Times New Roman" w:hAnsi="Times New Roman" w:eastAsia="宋体"/>
              </w:rPr>
              <w:t>龙骨坑水库饮用水水源保护区</w:t>
            </w:r>
          </w:p>
        </w:tc>
        <w:tc>
          <w:tcPr>
            <w:tcW w:w="975" w:type="dxa"/>
            <w:vAlign w:val="center"/>
          </w:tcPr>
          <w:p w14:paraId="355DDF1A">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69ED6258">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4F977CC9">
            <w:pPr>
              <w:pStyle w:val="40"/>
              <w:jc w:val="both"/>
              <w:rPr>
                <w:rFonts w:hint="default" w:ascii="Times New Roman" w:hAnsi="Times New Roman" w:eastAsia="宋体"/>
                <w:lang w:val="en-US" w:eastAsia="zh-CN"/>
              </w:rPr>
            </w:pPr>
            <w:r>
              <w:rPr>
                <w:rFonts w:hint="default" w:ascii="Times New Roman" w:hAnsi="Times New Roman" w:eastAsia="宋体"/>
              </w:rPr>
              <w:t>龙骨坑水库多年平均水位对应的高程线以下的水域及上游流域范围内的全部水域。</w:t>
            </w:r>
          </w:p>
        </w:tc>
        <w:tc>
          <w:tcPr>
            <w:tcW w:w="3612" w:type="dxa"/>
            <w:tcBorders>
              <w:right w:val="single" w:color="auto" w:sz="4" w:space="0"/>
            </w:tcBorders>
            <w:vAlign w:val="center"/>
          </w:tcPr>
          <w:p w14:paraId="2F016FB2">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w:t>
            </w:r>
          </w:p>
        </w:tc>
        <w:tc>
          <w:tcPr>
            <w:tcW w:w="1001" w:type="dxa"/>
            <w:tcBorders>
              <w:left w:val="single" w:color="auto" w:sz="4" w:space="0"/>
            </w:tcBorders>
            <w:vAlign w:val="center"/>
          </w:tcPr>
          <w:p w14:paraId="229607A3">
            <w:pPr>
              <w:pStyle w:val="40"/>
              <w:jc w:val="center"/>
              <w:rPr>
                <w:rFonts w:hint="default" w:ascii="Times New Roman" w:hAnsi="Times New Roman" w:eastAsia="宋体"/>
                <w:lang w:val="en-US" w:eastAsia="zh-CN"/>
              </w:rPr>
            </w:pPr>
            <w:r>
              <w:rPr>
                <w:rFonts w:hint="eastAsia" w:ascii="Times New Roman" w:hAnsi="Times New Roman" w:eastAsia="宋体"/>
              </w:rPr>
              <w:t>2.630</w:t>
            </w:r>
          </w:p>
        </w:tc>
      </w:tr>
      <w:tr w14:paraId="03DFF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664" w:type="dxa"/>
            <w:vMerge w:val="restart"/>
            <w:vAlign w:val="center"/>
          </w:tcPr>
          <w:p w14:paraId="7467B2C5">
            <w:pPr>
              <w:pStyle w:val="40"/>
              <w:jc w:val="center"/>
              <w:rPr>
                <w:rFonts w:hint="eastAsia" w:ascii="Times New Roman" w:hAnsi="Times New Roman" w:eastAsia="宋体"/>
                <w:lang w:val="en-US" w:eastAsia="zh-CN"/>
              </w:rPr>
            </w:pPr>
            <w:r>
              <w:rPr>
                <w:rFonts w:hint="eastAsia" w:ascii="Times New Roman" w:hAnsi="Times New Roman"/>
                <w:lang w:val="en-US" w:eastAsia="zh-CN"/>
              </w:rPr>
              <w:t>2</w:t>
            </w:r>
          </w:p>
        </w:tc>
        <w:tc>
          <w:tcPr>
            <w:tcW w:w="900" w:type="dxa"/>
            <w:vMerge w:val="restart"/>
            <w:vAlign w:val="center"/>
          </w:tcPr>
          <w:p w14:paraId="7884FEDA">
            <w:pPr>
              <w:pStyle w:val="40"/>
              <w:jc w:val="center"/>
              <w:rPr>
                <w:rFonts w:hint="eastAsia" w:ascii="Times New Roman" w:hAnsi="Times New Roman"/>
                <w:lang w:eastAsia="zh-CN"/>
              </w:rPr>
            </w:pPr>
            <w:r>
              <w:rPr>
                <w:rFonts w:hint="eastAsia" w:ascii="Times New Roman" w:hAnsi="Times New Roman"/>
                <w:lang w:eastAsia="zh-CN"/>
              </w:rPr>
              <w:t>丙村镇</w:t>
            </w:r>
          </w:p>
        </w:tc>
        <w:tc>
          <w:tcPr>
            <w:tcW w:w="1325" w:type="dxa"/>
            <w:vMerge w:val="restart"/>
            <w:vAlign w:val="center"/>
          </w:tcPr>
          <w:p w14:paraId="2BB37B7A">
            <w:pPr>
              <w:pStyle w:val="40"/>
              <w:jc w:val="center"/>
              <w:rPr>
                <w:rFonts w:hint="eastAsia" w:ascii="Times New Roman" w:hAnsi="Times New Roman" w:eastAsia="宋体"/>
                <w:lang w:eastAsia="zh-CN"/>
              </w:rPr>
            </w:pPr>
            <w:r>
              <w:rPr>
                <w:rFonts w:hint="default" w:ascii="Times New Roman" w:hAnsi="Times New Roman" w:eastAsia="宋体"/>
              </w:rPr>
              <w:t>石窟河新圩饮用水水源保护</w:t>
            </w:r>
            <w:r>
              <w:rPr>
                <w:rFonts w:hint="eastAsia" w:ascii="Times New Roman" w:hAnsi="Times New Roman" w:eastAsia="宋体"/>
                <w:lang w:eastAsia="zh-CN"/>
              </w:rPr>
              <w:t>区</w:t>
            </w:r>
          </w:p>
        </w:tc>
        <w:tc>
          <w:tcPr>
            <w:tcW w:w="975" w:type="dxa"/>
            <w:vAlign w:val="center"/>
          </w:tcPr>
          <w:p w14:paraId="40C10255">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61D36416">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5D749BDD">
            <w:pPr>
              <w:pStyle w:val="40"/>
              <w:jc w:val="both"/>
              <w:rPr>
                <w:rFonts w:hint="default" w:ascii="Times New Roman" w:hAnsi="Times New Roman" w:eastAsia="宋体"/>
                <w:lang w:val="en-US" w:eastAsia="zh-CN"/>
              </w:rPr>
            </w:pPr>
            <w:r>
              <w:rPr>
                <w:rFonts w:hint="default" w:ascii="Times New Roman" w:hAnsi="Times New Roman" w:eastAsia="宋体"/>
              </w:rPr>
              <w:t>石窟河新圩取水口上游1000米至取水口下游100米多年平均水位对应的高程线以下的河道范围。</w:t>
            </w:r>
          </w:p>
        </w:tc>
        <w:tc>
          <w:tcPr>
            <w:tcW w:w="3612" w:type="dxa"/>
            <w:tcBorders>
              <w:right w:val="single" w:color="auto" w:sz="4" w:space="0"/>
            </w:tcBorders>
            <w:vAlign w:val="center"/>
          </w:tcPr>
          <w:p w14:paraId="392079BE">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 50 米的陆域，但不超过沿河具有分水岭功能的道路、排水渠邻水一侧。</w:t>
            </w:r>
          </w:p>
        </w:tc>
        <w:tc>
          <w:tcPr>
            <w:tcW w:w="1001" w:type="dxa"/>
            <w:tcBorders>
              <w:left w:val="single" w:color="auto" w:sz="4" w:space="0"/>
            </w:tcBorders>
            <w:vAlign w:val="center"/>
          </w:tcPr>
          <w:p w14:paraId="1D071D07">
            <w:pPr>
              <w:pStyle w:val="40"/>
              <w:jc w:val="center"/>
              <w:rPr>
                <w:rFonts w:hint="eastAsia" w:ascii="Times New Roman" w:hAnsi="Times New Roman" w:eastAsia="宋体"/>
                <w:lang w:val="en-US" w:eastAsia="zh-CN"/>
              </w:rPr>
            </w:pPr>
            <w:r>
              <w:rPr>
                <w:rFonts w:hint="eastAsia" w:ascii="Times New Roman" w:hAnsi="Times New Roman" w:eastAsia="宋体"/>
              </w:rPr>
              <w:t>0.224</w:t>
            </w:r>
          </w:p>
        </w:tc>
      </w:tr>
      <w:tr w14:paraId="4D34C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43" w:hRule="atLeast"/>
          <w:jc w:val="center"/>
        </w:trPr>
        <w:tc>
          <w:tcPr>
            <w:tcW w:w="664" w:type="dxa"/>
            <w:vMerge w:val="continue"/>
            <w:vAlign w:val="center"/>
          </w:tcPr>
          <w:p w14:paraId="7365CC27">
            <w:pPr>
              <w:pStyle w:val="40"/>
              <w:jc w:val="center"/>
              <w:rPr>
                <w:rFonts w:ascii="Times New Roman" w:hAnsi="Times New Roman"/>
              </w:rPr>
            </w:pPr>
          </w:p>
        </w:tc>
        <w:tc>
          <w:tcPr>
            <w:tcW w:w="900" w:type="dxa"/>
            <w:vMerge w:val="continue"/>
            <w:vAlign w:val="center"/>
          </w:tcPr>
          <w:p w14:paraId="566536A1">
            <w:pPr>
              <w:pStyle w:val="40"/>
              <w:jc w:val="center"/>
              <w:rPr>
                <w:rFonts w:hint="eastAsia" w:ascii="Times New Roman" w:hAnsi="Times New Roman"/>
                <w:lang w:eastAsia="zh-CN"/>
              </w:rPr>
            </w:pPr>
          </w:p>
        </w:tc>
        <w:tc>
          <w:tcPr>
            <w:tcW w:w="1325" w:type="dxa"/>
            <w:vMerge w:val="continue"/>
            <w:vAlign w:val="center"/>
          </w:tcPr>
          <w:p w14:paraId="54E1CBEF">
            <w:pPr>
              <w:pStyle w:val="40"/>
              <w:jc w:val="center"/>
              <w:rPr>
                <w:rFonts w:hint="default" w:ascii="Times New Roman" w:hAnsi="Times New Roman" w:eastAsia="宋体"/>
              </w:rPr>
            </w:pPr>
          </w:p>
        </w:tc>
        <w:tc>
          <w:tcPr>
            <w:tcW w:w="975" w:type="dxa"/>
            <w:vAlign w:val="center"/>
          </w:tcPr>
          <w:p w14:paraId="49E9670C">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539FDB9B">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14:paraId="3A018A0D">
            <w:pPr>
              <w:pStyle w:val="40"/>
              <w:jc w:val="both"/>
              <w:rPr>
                <w:rFonts w:hint="default" w:ascii="Times New Roman" w:hAnsi="Times New Roman" w:eastAsia="宋体"/>
                <w:lang w:val="en-US" w:eastAsia="zh-CN"/>
              </w:rPr>
            </w:pPr>
            <w:r>
              <w:rPr>
                <w:rFonts w:hint="default" w:ascii="Times New Roman" w:hAnsi="Times New Roman" w:eastAsia="宋体"/>
              </w:rPr>
              <w:t>石窟河新圩取水口上游3000米至取水口下游坝头电站，黄花坑处支流自汇入口上溯1000米， 正坑处支流自汇入口上溯600米多年平均水位对应的高程线下水域范围（一级保护区水域范围除外）。</w:t>
            </w:r>
          </w:p>
        </w:tc>
        <w:tc>
          <w:tcPr>
            <w:tcW w:w="3612" w:type="dxa"/>
            <w:tcBorders>
              <w:right w:val="single" w:color="auto" w:sz="4" w:space="0"/>
            </w:tcBorders>
            <w:vAlign w:val="center"/>
          </w:tcPr>
          <w:p w14:paraId="5CA6381F">
            <w:pPr>
              <w:pStyle w:val="40"/>
              <w:jc w:val="both"/>
              <w:rPr>
                <w:rFonts w:hint="default" w:ascii="Times New Roman" w:hAnsi="Times New Roman" w:eastAsia="宋体"/>
                <w:lang w:val="en-US" w:eastAsia="zh-CN"/>
              </w:rPr>
            </w:pPr>
            <w:r>
              <w:rPr>
                <w:rFonts w:hint="default" w:ascii="Times New Roman" w:hAnsi="Times New Roman" w:eastAsia="宋体"/>
              </w:rPr>
              <w:t>相应一级保护区陆域和二级保护区水域两岸向陆纵深1000米的陆域， 但不超过沿河具有分水岭功能的道路、排水渠邻水一侧和流域分水岭范围。</w:t>
            </w:r>
          </w:p>
        </w:tc>
        <w:tc>
          <w:tcPr>
            <w:tcW w:w="1001" w:type="dxa"/>
            <w:tcBorders>
              <w:left w:val="single" w:color="auto" w:sz="4" w:space="0"/>
            </w:tcBorders>
            <w:vAlign w:val="center"/>
          </w:tcPr>
          <w:p w14:paraId="734F1035">
            <w:pPr>
              <w:pStyle w:val="40"/>
              <w:jc w:val="center"/>
              <w:rPr>
                <w:rFonts w:hint="eastAsia" w:ascii="Times New Roman" w:hAnsi="Times New Roman" w:eastAsia="宋体"/>
                <w:lang w:val="en-US" w:eastAsia="zh-CN"/>
              </w:rPr>
            </w:pPr>
            <w:r>
              <w:rPr>
                <w:rFonts w:hint="eastAsia" w:ascii="Times New Roman" w:hAnsi="Times New Roman" w:eastAsia="宋体"/>
              </w:rPr>
              <w:t>3.604</w:t>
            </w:r>
          </w:p>
        </w:tc>
      </w:tr>
      <w:tr w14:paraId="0B36F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8" w:hRule="atLeast"/>
          <w:jc w:val="center"/>
        </w:trPr>
        <w:tc>
          <w:tcPr>
            <w:tcW w:w="664" w:type="dxa"/>
            <w:vMerge w:val="restart"/>
            <w:vAlign w:val="center"/>
          </w:tcPr>
          <w:p w14:paraId="60C4AA63">
            <w:pPr>
              <w:pStyle w:val="40"/>
              <w:jc w:val="center"/>
              <w:rPr>
                <w:rFonts w:hint="eastAsia" w:ascii="Times New Roman" w:hAnsi="Times New Roman" w:eastAsia="宋体"/>
                <w:lang w:val="en-US" w:eastAsia="zh-CN"/>
              </w:rPr>
            </w:pPr>
            <w:r>
              <w:rPr>
                <w:rFonts w:hint="eastAsia" w:ascii="Times New Roman" w:hAnsi="Times New Roman"/>
                <w:lang w:val="en-US" w:eastAsia="zh-CN"/>
              </w:rPr>
              <w:t>3</w:t>
            </w:r>
          </w:p>
        </w:tc>
        <w:tc>
          <w:tcPr>
            <w:tcW w:w="900" w:type="dxa"/>
            <w:vMerge w:val="restart"/>
            <w:vAlign w:val="center"/>
          </w:tcPr>
          <w:p w14:paraId="7463CD13">
            <w:pPr>
              <w:pStyle w:val="40"/>
              <w:jc w:val="center"/>
              <w:rPr>
                <w:rFonts w:hint="eastAsia" w:ascii="Times New Roman" w:hAnsi="Times New Roman"/>
                <w:lang w:eastAsia="zh-CN"/>
              </w:rPr>
            </w:pPr>
            <w:r>
              <w:rPr>
                <w:rFonts w:hint="eastAsia" w:ascii="Times New Roman" w:hAnsi="Times New Roman"/>
                <w:lang w:eastAsia="zh-CN"/>
              </w:rPr>
              <w:t>城东镇</w:t>
            </w:r>
          </w:p>
        </w:tc>
        <w:tc>
          <w:tcPr>
            <w:tcW w:w="1325" w:type="dxa"/>
            <w:vMerge w:val="restart"/>
            <w:vAlign w:val="center"/>
          </w:tcPr>
          <w:p w14:paraId="20B11DFE">
            <w:pPr>
              <w:pStyle w:val="40"/>
              <w:jc w:val="center"/>
              <w:rPr>
                <w:rFonts w:hint="default" w:ascii="Times New Roman" w:hAnsi="Times New Roman" w:eastAsia="宋体"/>
              </w:rPr>
            </w:pPr>
            <w:r>
              <w:rPr>
                <w:rFonts w:hint="default" w:ascii="Times New Roman" w:hAnsi="Times New Roman" w:eastAsia="宋体"/>
              </w:rPr>
              <w:t>墩子岌水库下游饮用水水源保护区</w:t>
            </w:r>
          </w:p>
        </w:tc>
        <w:tc>
          <w:tcPr>
            <w:tcW w:w="975" w:type="dxa"/>
            <w:vAlign w:val="center"/>
          </w:tcPr>
          <w:p w14:paraId="6364535B">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28C7608D">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12B8AC05">
            <w:pPr>
              <w:pStyle w:val="40"/>
              <w:jc w:val="both"/>
              <w:rPr>
                <w:rFonts w:hint="default" w:ascii="Times New Roman" w:hAnsi="Times New Roman" w:eastAsia="宋体"/>
                <w:lang w:val="en-US" w:eastAsia="zh-CN"/>
              </w:rPr>
            </w:pPr>
            <w:r>
              <w:rPr>
                <w:rFonts w:hint="default" w:ascii="Times New Roman" w:hAnsi="Times New Roman" w:eastAsia="宋体"/>
              </w:rPr>
              <w:t>取水口上溯至墩子岌水库（约1250米）的山溪水域、墩子岌水库多年平均水位对应的高程线以下的水域及水库上游流域范围内的全部水域。</w:t>
            </w:r>
          </w:p>
        </w:tc>
        <w:tc>
          <w:tcPr>
            <w:tcW w:w="3612" w:type="dxa"/>
            <w:tcBorders>
              <w:right w:val="single" w:color="auto" w:sz="4" w:space="0"/>
            </w:tcBorders>
            <w:vAlign w:val="center"/>
          </w:tcPr>
          <w:p w14:paraId="2F6E6745">
            <w:pPr>
              <w:pStyle w:val="40"/>
              <w:jc w:val="both"/>
              <w:rPr>
                <w:rFonts w:hint="default" w:ascii="Times New Roman" w:hAnsi="Times New Roman" w:eastAsia="宋体"/>
                <w:lang w:val="en-US" w:eastAsia="zh-CN"/>
              </w:rPr>
            </w:pPr>
            <w:r>
              <w:rPr>
                <w:rFonts w:hint="default" w:ascii="Times New Roman" w:hAnsi="Times New Roman" w:eastAsia="宋体"/>
              </w:rPr>
              <w:t>相应一级保护区山溪水域两岸向陆纵深50米及墩子岌水库上游流域分水岭范围内的陆域。</w:t>
            </w:r>
          </w:p>
        </w:tc>
        <w:tc>
          <w:tcPr>
            <w:tcW w:w="1001" w:type="dxa"/>
            <w:tcBorders>
              <w:left w:val="single" w:color="auto" w:sz="4" w:space="0"/>
            </w:tcBorders>
            <w:vAlign w:val="center"/>
          </w:tcPr>
          <w:p w14:paraId="50166DEA">
            <w:pPr>
              <w:pStyle w:val="40"/>
              <w:jc w:val="center"/>
              <w:rPr>
                <w:rFonts w:hint="eastAsia" w:ascii="Times New Roman" w:hAnsi="Times New Roman" w:eastAsia="宋体"/>
                <w:lang w:val="en-US" w:eastAsia="zh-CN"/>
              </w:rPr>
            </w:pPr>
            <w:r>
              <w:rPr>
                <w:rFonts w:hint="eastAsia" w:ascii="Times New Roman" w:hAnsi="Times New Roman" w:eastAsia="宋体"/>
              </w:rPr>
              <w:t>1.041</w:t>
            </w:r>
          </w:p>
        </w:tc>
      </w:tr>
      <w:tr w14:paraId="20FC74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14:paraId="6D0DE82B">
            <w:pPr>
              <w:pStyle w:val="40"/>
              <w:jc w:val="center"/>
              <w:rPr>
                <w:rFonts w:ascii="Times New Roman" w:hAnsi="Times New Roman"/>
              </w:rPr>
            </w:pPr>
          </w:p>
        </w:tc>
        <w:tc>
          <w:tcPr>
            <w:tcW w:w="900" w:type="dxa"/>
            <w:vMerge w:val="continue"/>
            <w:vAlign w:val="center"/>
          </w:tcPr>
          <w:p w14:paraId="2D2035AB">
            <w:pPr>
              <w:pStyle w:val="40"/>
              <w:jc w:val="center"/>
              <w:rPr>
                <w:rFonts w:hint="eastAsia" w:ascii="Times New Roman" w:hAnsi="Times New Roman"/>
                <w:lang w:eastAsia="zh-CN"/>
              </w:rPr>
            </w:pPr>
          </w:p>
        </w:tc>
        <w:tc>
          <w:tcPr>
            <w:tcW w:w="1325" w:type="dxa"/>
            <w:vMerge w:val="continue"/>
            <w:vAlign w:val="center"/>
          </w:tcPr>
          <w:p w14:paraId="149AE2A9">
            <w:pPr>
              <w:pStyle w:val="40"/>
              <w:jc w:val="center"/>
              <w:rPr>
                <w:rFonts w:hint="default" w:ascii="Times New Roman" w:hAnsi="Times New Roman" w:eastAsia="宋体"/>
              </w:rPr>
            </w:pPr>
          </w:p>
        </w:tc>
        <w:tc>
          <w:tcPr>
            <w:tcW w:w="975" w:type="dxa"/>
            <w:vAlign w:val="center"/>
          </w:tcPr>
          <w:p w14:paraId="6FC6F1B7">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975" w:type="dxa"/>
            <w:tcBorders>
              <w:right w:val="single" w:color="auto" w:sz="4" w:space="0"/>
            </w:tcBorders>
            <w:vAlign w:val="center"/>
          </w:tcPr>
          <w:p w14:paraId="3F3F18C8">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14:paraId="6A8857FD">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3612" w:type="dxa"/>
            <w:tcBorders>
              <w:right w:val="single" w:color="auto" w:sz="4" w:space="0"/>
            </w:tcBorders>
            <w:vAlign w:val="center"/>
          </w:tcPr>
          <w:p w14:paraId="03502A94">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14:paraId="53BC49AF">
            <w:pPr>
              <w:pStyle w:val="40"/>
              <w:jc w:val="center"/>
              <w:rPr>
                <w:rFonts w:hint="eastAsia" w:ascii="Times New Roman" w:hAnsi="Times New Roman" w:eastAsia="宋体"/>
                <w:lang w:val="en-US" w:eastAsia="zh-CN"/>
              </w:rPr>
            </w:pPr>
            <w:r>
              <w:rPr>
                <w:rFonts w:hint="eastAsia" w:ascii="Times New Roman" w:hAnsi="Times New Roman" w:eastAsia="宋体"/>
              </w:rPr>
              <w:t>0.393</w:t>
            </w:r>
          </w:p>
        </w:tc>
      </w:tr>
      <w:tr w14:paraId="0E20DD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81" w:hRule="atLeast"/>
          <w:jc w:val="center"/>
        </w:trPr>
        <w:tc>
          <w:tcPr>
            <w:tcW w:w="664" w:type="dxa"/>
            <w:vMerge w:val="restart"/>
            <w:vAlign w:val="center"/>
          </w:tcPr>
          <w:p w14:paraId="4B6824C4">
            <w:pPr>
              <w:pStyle w:val="40"/>
              <w:jc w:val="center"/>
              <w:rPr>
                <w:rFonts w:hint="eastAsia" w:ascii="Times New Roman" w:hAnsi="Times New Roman" w:eastAsia="宋体"/>
                <w:lang w:val="en-US" w:eastAsia="zh-CN"/>
              </w:rPr>
            </w:pPr>
            <w:r>
              <w:rPr>
                <w:rFonts w:hint="eastAsia" w:ascii="Times New Roman" w:hAnsi="Times New Roman"/>
                <w:lang w:val="en-US" w:eastAsia="zh-CN"/>
              </w:rPr>
              <w:t>4</w:t>
            </w:r>
          </w:p>
        </w:tc>
        <w:tc>
          <w:tcPr>
            <w:tcW w:w="900" w:type="dxa"/>
            <w:vMerge w:val="restart"/>
            <w:vAlign w:val="center"/>
          </w:tcPr>
          <w:p w14:paraId="277AB6AB">
            <w:pPr>
              <w:pStyle w:val="40"/>
              <w:jc w:val="center"/>
              <w:rPr>
                <w:rFonts w:hint="default" w:ascii="Times New Roman" w:hAnsi="Times New Roman"/>
                <w:lang w:val="en-US" w:eastAsia="zh-CN"/>
              </w:rPr>
            </w:pPr>
            <w:r>
              <w:rPr>
                <w:rFonts w:hint="eastAsia" w:ascii="Times New Roman" w:hAnsi="Times New Roman"/>
                <w:lang w:val="en-US" w:eastAsia="zh-CN"/>
              </w:rPr>
              <w:t>大坪镇</w:t>
            </w:r>
          </w:p>
        </w:tc>
        <w:tc>
          <w:tcPr>
            <w:tcW w:w="1325" w:type="dxa"/>
            <w:vMerge w:val="restart"/>
            <w:vAlign w:val="center"/>
          </w:tcPr>
          <w:p w14:paraId="794A8F00">
            <w:pPr>
              <w:pStyle w:val="40"/>
              <w:jc w:val="center"/>
              <w:rPr>
                <w:rFonts w:hint="default" w:ascii="Times New Roman" w:hAnsi="Times New Roman" w:eastAsia="宋体"/>
              </w:rPr>
            </w:pPr>
            <w:r>
              <w:rPr>
                <w:rFonts w:hint="default" w:ascii="Times New Roman" w:hAnsi="Times New Roman" w:eastAsia="宋体"/>
              </w:rPr>
              <w:t>秀湖塔岗饮用水水源保护区</w:t>
            </w:r>
          </w:p>
        </w:tc>
        <w:tc>
          <w:tcPr>
            <w:tcW w:w="975" w:type="dxa"/>
            <w:vAlign w:val="center"/>
          </w:tcPr>
          <w:p w14:paraId="2696E47B">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0F3FD1B2">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4E136110">
            <w:pPr>
              <w:pStyle w:val="40"/>
              <w:jc w:val="both"/>
              <w:rPr>
                <w:rFonts w:hint="default" w:ascii="Times New Roman" w:hAnsi="Times New Roman" w:eastAsia="宋体"/>
                <w:lang w:val="en-US" w:eastAsia="zh-CN"/>
              </w:rPr>
            </w:pPr>
            <w:r>
              <w:rPr>
                <w:rFonts w:hint="default" w:ascii="Times New Roman" w:hAnsi="Times New Roman" w:eastAsia="宋体"/>
              </w:rPr>
              <w:t>取水口跌水坝上溯至山溪源头（北侧支流约1400米、南侧支流约1500米）的山溪水域。</w:t>
            </w:r>
          </w:p>
        </w:tc>
        <w:tc>
          <w:tcPr>
            <w:tcW w:w="3612" w:type="dxa"/>
            <w:tcBorders>
              <w:right w:val="single" w:color="auto" w:sz="4" w:space="0"/>
            </w:tcBorders>
            <w:vAlign w:val="center"/>
          </w:tcPr>
          <w:p w14:paraId="2F7AC1E0">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相应一级保护区水域两岸向陆纵深50米的陆域。</w:t>
            </w:r>
          </w:p>
        </w:tc>
        <w:tc>
          <w:tcPr>
            <w:tcW w:w="1001" w:type="dxa"/>
            <w:tcBorders>
              <w:left w:val="single" w:color="auto" w:sz="4" w:space="0"/>
            </w:tcBorders>
            <w:vAlign w:val="center"/>
          </w:tcPr>
          <w:p w14:paraId="6C9DDBF7">
            <w:pPr>
              <w:pStyle w:val="40"/>
              <w:jc w:val="center"/>
              <w:rPr>
                <w:rFonts w:hint="eastAsia" w:ascii="Times New Roman" w:hAnsi="Times New Roman" w:eastAsia="宋体"/>
                <w:lang w:val="en-US" w:eastAsia="zh-CN"/>
              </w:rPr>
            </w:pPr>
            <w:r>
              <w:rPr>
                <w:rFonts w:hint="eastAsia" w:ascii="Times New Roman" w:hAnsi="Times New Roman" w:eastAsia="宋体"/>
              </w:rPr>
              <w:t>0.316</w:t>
            </w:r>
          </w:p>
        </w:tc>
      </w:tr>
      <w:tr w14:paraId="00394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14:paraId="26E38498">
            <w:pPr>
              <w:pStyle w:val="40"/>
              <w:jc w:val="center"/>
              <w:rPr>
                <w:rFonts w:ascii="Times New Roman" w:hAnsi="Times New Roman"/>
              </w:rPr>
            </w:pPr>
          </w:p>
        </w:tc>
        <w:tc>
          <w:tcPr>
            <w:tcW w:w="900" w:type="dxa"/>
            <w:vMerge w:val="continue"/>
            <w:vAlign w:val="center"/>
          </w:tcPr>
          <w:p w14:paraId="310809AF">
            <w:pPr>
              <w:pStyle w:val="40"/>
              <w:jc w:val="center"/>
              <w:rPr>
                <w:rFonts w:hint="eastAsia" w:ascii="Times New Roman" w:hAnsi="Times New Roman"/>
                <w:lang w:eastAsia="zh-CN"/>
              </w:rPr>
            </w:pPr>
          </w:p>
        </w:tc>
        <w:tc>
          <w:tcPr>
            <w:tcW w:w="1325" w:type="dxa"/>
            <w:vMerge w:val="continue"/>
            <w:vAlign w:val="center"/>
          </w:tcPr>
          <w:p w14:paraId="095C2333">
            <w:pPr>
              <w:pStyle w:val="40"/>
              <w:jc w:val="center"/>
              <w:rPr>
                <w:rFonts w:hint="default" w:ascii="Times New Roman" w:hAnsi="Times New Roman" w:eastAsia="宋体"/>
              </w:rPr>
            </w:pPr>
          </w:p>
        </w:tc>
        <w:tc>
          <w:tcPr>
            <w:tcW w:w="975" w:type="dxa"/>
            <w:vAlign w:val="center"/>
          </w:tcPr>
          <w:p w14:paraId="4BD2CB2F">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975" w:type="dxa"/>
            <w:tcBorders>
              <w:right w:val="single" w:color="auto" w:sz="4" w:space="0"/>
            </w:tcBorders>
            <w:vAlign w:val="center"/>
          </w:tcPr>
          <w:p w14:paraId="32A7F557">
            <w:pPr>
              <w:pStyle w:val="40"/>
              <w:jc w:val="center"/>
              <w:rPr>
                <w:rFonts w:hint="default"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14:paraId="055B2BB3">
            <w:pPr>
              <w:pStyle w:val="40"/>
              <w:jc w:val="center"/>
              <w:rPr>
                <w:rFonts w:hint="eastAsia" w:ascii="Times New Roman" w:hAnsi="Times New Roman" w:eastAsia="宋体"/>
                <w:lang w:val="en-US" w:eastAsia="zh-CN"/>
              </w:rPr>
            </w:pPr>
            <w:r>
              <w:rPr>
                <w:rFonts w:hint="eastAsia" w:ascii="Times New Roman" w:hAnsi="Times New Roman" w:eastAsia="宋体"/>
                <w:lang w:val="en-US" w:eastAsia="zh-CN"/>
              </w:rPr>
              <w:t>/</w:t>
            </w:r>
          </w:p>
        </w:tc>
        <w:tc>
          <w:tcPr>
            <w:tcW w:w="3612" w:type="dxa"/>
            <w:tcBorders>
              <w:right w:val="single" w:color="auto" w:sz="4" w:space="0"/>
            </w:tcBorders>
            <w:vAlign w:val="center"/>
          </w:tcPr>
          <w:p w14:paraId="7E5CCDAA">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14:paraId="2D1E730A">
            <w:pPr>
              <w:pStyle w:val="40"/>
              <w:jc w:val="center"/>
              <w:rPr>
                <w:rFonts w:hint="eastAsia" w:ascii="Times New Roman" w:hAnsi="Times New Roman" w:eastAsia="宋体"/>
                <w:lang w:val="en-US" w:eastAsia="zh-CN"/>
              </w:rPr>
            </w:pPr>
            <w:r>
              <w:rPr>
                <w:rFonts w:hint="eastAsia" w:ascii="Times New Roman" w:hAnsi="Times New Roman" w:eastAsia="宋体"/>
              </w:rPr>
              <w:t>0.770</w:t>
            </w:r>
          </w:p>
        </w:tc>
      </w:tr>
      <w:tr w14:paraId="368EC7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restart"/>
            <w:vAlign w:val="center"/>
          </w:tcPr>
          <w:p w14:paraId="512A30BF">
            <w:pPr>
              <w:pStyle w:val="40"/>
              <w:jc w:val="center"/>
              <w:rPr>
                <w:rFonts w:hint="eastAsia" w:ascii="Times New Roman" w:hAnsi="Times New Roman" w:eastAsia="宋体"/>
                <w:lang w:val="en-US" w:eastAsia="zh-CN"/>
              </w:rPr>
            </w:pPr>
            <w:r>
              <w:rPr>
                <w:rFonts w:hint="eastAsia" w:ascii="Times New Roman" w:hAnsi="Times New Roman"/>
                <w:lang w:val="en-US" w:eastAsia="zh-CN"/>
              </w:rPr>
              <w:t>5</w:t>
            </w:r>
          </w:p>
        </w:tc>
        <w:tc>
          <w:tcPr>
            <w:tcW w:w="900" w:type="dxa"/>
            <w:vMerge w:val="restart"/>
            <w:vAlign w:val="center"/>
          </w:tcPr>
          <w:p w14:paraId="3AC9FCE4">
            <w:pPr>
              <w:pStyle w:val="40"/>
              <w:jc w:val="center"/>
              <w:rPr>
                <w:rFonts w:hint="eastAsia" w:ascii="Times New Roman" w:hAnsi="Times New Roman"/>
                <w:lang w:eastAsia="zh-CN"/>
              </w:rPr>
            </w:pPr>
            <w:r>
              <w:rPr>
                <w:rFonts w:hint="eastAsia" w:ascii="Times New Roman" w:hAnsi="Times New Roman"/>
                <w:lang w:eastAsia="zh-CN"/>
              </w:rPr>
              <w:t>石坑镇</w:t>
            </w:r>
          </w:p>
        </w:tc>
        <w:tc>
          <w:tcPr>
            <w:tcW w:w="1325" w:type="dxa"/>
            <w:vMerge w:val="restart"/>
            <w:vAlign w:val="center"/>
          </w:tcPr>
          <w:p w14:paraId="446F0AFF">
            <w:pPr>
              <w:pStyle w:val="40"/>
              <w:jc w:val="center"/>
              <w:rPr>
                <w:rFonts w:hint="default" w:ascii="Times New Roman" w:hAnsi="Times New Roman" w:eastAsia="宋体"/>
              </w:rPr>
            </w:pPr>
            <w:r>
              <w:rPr>
                <w:rFonts w:hint="default" w:ascii="Times New Roman" w:hAnsi="Times New Roman" w:eastAsia="宋体"/>
              </w:rPr>
              <w:t>岭村沙坑口饮用水水源保护区</w:t>
            </w:r>
          </w:p>
        </w:tc>
        <w:tc>
          <w:tcPr>
            <w:tcW w:w="975" w:type="dxa"/>
            <w:vAlign w:val="center"/>
          </w:tcPr>
          <w:p w14:paraId="61938B67">
            <w:pPr>
              <w:pStyle w:val="40"/>
              <w:jc w:val="center"/>
              <w:rPr>
                <w:rFonts w:hint="default"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73E169F3">
            <w:pPr>
              <w:pStyle w:val="40"/>
              <w:jc w:val="center"/>
              <w:rPr>
                <w:rFonts w:hint="default"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3F46C753">
            <w:pPr>
              <w:pStyle w:val="40"/>
              <w:jc w:val="both"/>
              <w:rPr>
                <w:rFonts w:hint="default" w:ascii="Times New Roman" w:hAnsi="Times New Roman" w:eastAsia="宋体"/>
                <w:lang w:val="en-US" w:eastAsia="zh-CN"/>
              </w:rPr>
            </w:pPr>
            <w:r>
              <w:rPr>
                <w:rFonts w:hint="default" w:ascii="Times New Roman" w:hAnsi="Times New Roman" w:eastAsia="宋体"/>
              </w:rPr>
              <w:t>取水口跌水坝上溯至山溪源头（约1200米）的山溪水域。</w:t>
            </w:r>
          </w:p>
        </w:tc>
        <w:tc>
          <w:tcPr>
            <w:tcW w:w="3612" w:type="dxa"/>
            <w:tcBorders>
              <w:right w:val="single" w:color="auto" w:sz="4" w:space="0"/>
            </w:tcBorders>
            <w:vAlign w:val="center"/>
          </w:tcPr>
          <w:p w14:paraId="5EF89175">
            <w:pPr>
              <w:pStyle w:val="40"/>
              <w:jc w:val="both"/>
              <w:rPr>
                <w:rFonts w:hint="default" w:ascii="Times New Roman" w:hAnsi="Times New Roman" w:eastAsia="宋体"/>
                <w:lang w:val="en-US" w:eastAsia="zh-CN"/>
              </w:rPr>
            </w:pPr>
            <w:r>
              <w:rPr>
                <w:rFonts w:hint="default" w:ascii="Times New Roman" w:hAnsi="Times New Roman" w:eastAsia="宋体"/>
              </w:rPr>
              <w:t>相应一级保护区水域两岸向陆纵深 50米的陆域。</w:t>
            </w:r>
          </w:p>
        </w:tc>
        <w:tc>
          <w:tcPr>
            <w:tcW w:w="1001" w:type="dxa"/>
            <w:tcBorders>
              <w:left w:val="single" w:color="auto" w:sz="4" w:space="0"/>
            </w:tcBorders>
            <w:vAlign w:val="center"/>
          </w:tcPr>
          <w:p w14:paraId="7A389846">
            <w:pPr>
              <w:pStyle w:val="40"/>
              <w:jc w:val="center"/>
              <w:rPr>
                <w:rFonts w:hint="eastAsia" w:ascii="Times New Roman" w:hAnsi="Times New Roman" w:eastAsia="宋体"/>
                <w:lang w:val="en-US" w:eastAsia="zh-CN"/>
              </w:rPr>
            </w:pPr>
            <w:r>
              <w:rPr>
                <w:rFonts w:hint="eastAsia" w:ascii="Times New Roman" w:hAnsi="Times New Roman" w:eastAsia="宋体"/>
              </w:rPr>
              <w:t>0.118</w:t>
            </w:r>
          </w:p>
        </w:tc>
      </w:tr>
      <w:tr w14:paraId="343B03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21" w:hRule="atLeast"/>
          <w:jc w:val="center"/>
        </w:trPr>
        <w:tc>
          <w:tcPr>
            <w:tcW w:w="664" w:type="dxa"/>
            <w:vMerge w:val="continue"/>
            <w:vAlign w:val="center"/>
          </w:tcPr>
          <w:p w14:paraId="7E787490">
            <w:pPr>
              <w:pStyle w:val="40"/>
              <w:jc w:val="center"/>
              <w:rPr>
                <w:rFonts w:ascii="Times New Roman" w:hAnsi="Times New Roman"/>
              </w:rPr>
            </w:pPr>
          </w:p>
        </w:tc>
        <w:tc>
          <w:tcPr>
            <w:tcW w:w="900" w:type="dxa"/>
            <w:vMerge w:val="continue"/>
            <w:vAlign w:val="center"/>
          </w:tcPr>
          <w:p w14:paraId="7A221A9E">
            <w:pPr>
              <w:pStyle w:val="40"/>
              <w:jc w:val="center"/>
              <w:rPr>
                <w:rFonts w:hint="eastAsia" w:ascii="Times New Roman" w:hAnsi="Times New Roman"/>
                <w:lang w:eastAsia="zh-CN"/>
              </w:rPr>
            </w:pPr>
          </w:p>
        </w:tc>
        <w:tc>
          <w:tcPr>
            <w:tcW w:w="1325" w:type="dxa"/>
            <w:vMerge w:val="continue"/>
            <w:vAlign w:val="center"/>
          </w:tcPr>
          <w:p w14:paraId="757F5666">
            <w:pPr>
              <w:pStyle w:val="40"/>
              <w:jc w:val="center"/>
              <w:rPr>
                <w:rFonts w:hint="default" w:ascii="Times New Roman" w:hAnsi="Times New Roman" w:eastAsia="宋体"/>
              </w:rPr>
            </w:pPr>
          </w:p>
        </w:tc>
        <w:tc>
          <w:tcPr>
            <w:tcW w:w="975" w:type="dxa"/>
            <w:vAlign w:val="center"/>
          </w:tcPr>
          <w:p w14:paraId="6AEE7C7D">
            <w:pPr>
              <w:pStyle w:val="40"/>
              <w:ind w:firstLine="0" w:firstLineChars="0"/>
              <w:jc w:val="center"/>
              <w:rPr>
                <w:rFonts w:hint="default" w:ascii="Times New Roman" w:hAnsi="Times New Roman" w:eastAsia="宋体" w:cs="仿宋_GB2312"/>
                <w:kern w:val="2"/>
                <w:sz w:val="21"/>
                <w:szCs w:val="21"/>
                <w:lang w:val="en-US" w:eastAsia="zh-CN" w:bidi="ar-SA"/>
              </w:rPr>
            </w:pPr>
            <w:r>
              <w:rPr>
                <w:rFonts w:hint="eastAsia" w:ascii="Times New Roman" w:hAnsi="Times New Roman" w:eastAsia="宋体"/>
                <w:lang w:val="en-US" w:eastAsia="zh-CN"/>
              </w:rPr>
              <w:t>/</w:t>
            </w:r>
          </w:p>
        </w:tc>
        <w:tc>
          <w:tcPr>
            <w:tcW w:w="975" w:type="dxa"/>
            <w:tcBorders>
              <w:right w:val="single" w:color="auto" w:sz="4" w:space="0"/>
            </w:tcBorders>
            <w:vAlign w:val="center"/>
          </w:tcPr>
          <w:p w14:paraId="2E61C5BA">
            <w:pPr>
              <w:pStyle w:val="40"/>
              <w:ind w:firstLine="0" w:firstLineChars="0"/>
              <w:jc w:val="center"/>
              <w:rPr>
                <w:rFonts w:hint="default" w:ascii="Times New Roman" w:hAnsi="Times New Roman" w:eastAsia="宋体" w:cs="仿宋_GB2312"/>
                <w:kern w:val="2"/>
                <w:sz w:val="21"/>
                <w:szCs w:val="21"/>
                <w:lang w:val="en-US" w:eastAsia="zh-CN" w:bidi="ar-SA"/>
              </w:rPr>
            </w:pPr>
            <w:r>
              <w:rPr>
                <w:rFonts w:hint="default" w:ascii="Times New Roman" w:hAnsi="Times New Roman" w:eastAsia="宋体"/>
              </w:rPr>
              <w:t>二级</w:t>
            </w:r>
          </w:p>
        </w:tc>
        <w:tc>
          <w:tcPr>
            <w:tcW w:w="4250" w:type="dxa"/>
            <w:tcBorders>
              <w:left w:val="single" w:color="auto" w:sz="4" w:space="0"/>
            </w:tcBorders>
            <w:vAlign w:val="center"/>
          </w:tcPr>
          <w:p w14:paraId="0AD0F40A">
            <w:pPr>
              <w:pStyle w:val="40"/>
              <w:ind w:firstLine="0" w:firstLineChars="0"/>
              <w:jc w:val="center"/>
              <w:rPr>
                <w:rFonts w:hint="default" w:ascii="Times New Roman" w:hAnsi="Times New Roman" w:eastAsia="宋体" w:cs="仿宋_GB2312"/>
                <w:kern w:val="2"/>
                <w:sz w:val="21"/>
                <w:szCs w:val="21"/>
                <w:lang w:val="en-US" w:eastAsia="zh-CN" w:bidi="ar-SA"/>
              </w:rPr>
            </w:pPr>
            <w:r>
              <w:rPr>
                <w:rFonts w:hint="eastAsia" w:ascii="Times New Roman" w:hAnsi="Times New Roman" w:eastAsia="宋体"/>
                <w:lang w:val="en-US" w:eastAsia="zh-CN"/>
              </w:rPr>
              <w:t>/</w:t>
            </w:r>
          </w:p>
        </w:tc>
        <w:tc>
          <w:tcPr>
            <w:tcW w:w="3612" w:type="dxa"/>
            <w:tcBorders>
              <w:right w:val="single" w:color="auto" w:sz="4" w:space="0"/>
            </w:tcBorders>
            <w:vAlign w:val="center"/>
          </w:tcPr>
          <w:p w14:paraId="0400046E">
            <w:pPr>
              <w:pStyle w:val="40"/>
              <w:jc w:val="both"/>
              <w:rPr>
                <w:rFonts w:hint="default" w:ascii="Times New Roman" w:hAnsi="Times New Roman" w:eastAsia="宋体"/>
                <w:lang w:val="en-US" w:eastAsia="zh-CN"/>
              </w:rPr>
            </w:pPr>
            <w:r>
              <w:rPr>
                <w:rFonts w:hint="default" w:ascii="Times New Roman" w:hAnsi="Times New Roman" w:eastAsia="宋体"/>
              </w:rPr>
              <w:t>取水口上游流域分水岭范围内的全部陆域（一级保护区陆域范围除外）。</w:t>
            </w:r>
          </w:p>
        </w:tc>
        <w:tc>
          <w:tcPr>
            <w:tcW w:w="1001" w:type="dxa"/>
            <w:tcBorders>
              <w:left w:val="single" w:color="auto" w:sz="4" w:space="0"/>
            </w:tcBorders>
            <w:vAlign w:val="center"/>
          </w:tcPr>
          <w:p w14:paraId="20ADF6AE">
            <w:pPr>
              <w:pStyle w:val="40"/>
              <w:jc w:val="center"/>
              <w:rPr>
                <w:rFonts w:hint="eastAsia" w:ascii="Times New Roman" w:hAnsi="Times New Roman" w:eastAsia="宋体"/>
                <w:lang w:val="en-US" w:eastAsia="zh-CN"/>
              </w:rPr>
            </w:pPr>
            <w:r>
              <w:rPr>
                <w:rFonts w:hint="eastAsia" w:ascii="Times New Roman" w:hAnsi="Times New Roman" w:eastAsia="宋体"/>
              </w:rPr>
              <w:t>0.384</w:t>
            </w:r>
          </w:p>
        </w:tc>
      </w:tr>
      <w:tr w14:paraId="4031D9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54" w:hRule="atLeast"/>
          <w:jc w:val="center"/>
        </w:trPr>
        <w:tc>
          <w:tcPr>
            <w:tcW w:w="664" w:type="dxa"/>
            <w:vMerge w:val="restart"/>
            <w:vAlign w:val="center"/>
          </w:tcPr>
          <w:p w14:paraId="6459DB1B">
            <w:pPr>
              <w:pStyle w:val="40"/>
              <w:jc w:val="center"/>
              <w:rPr>
                <w:rFonts w:hint="eastAsia" w:ascii="Times New Roman" w:hAnsi="Times New Roman" w:eastAsia="宋体"/>
                <w:lang w:val="en-US" w:eastAsia="zh-CN"/>
              </w:rPr>
            </w:pPr>
            <w:r>
              <w:rPr>
                <w:rFonts w:hint="eastAsia" w:ascii="Times New Roman" w:hAnsi="Times New Roman"/>
                <w:lang w:val="en-US" w:eastAsia="zh-CN"/>
              </w:rPr>
              <w:t>6</w:t>
            </w:r>
          </w:p>
        </w:tc>
        <w:tc>
          <w:tcPr>
            <w:tcW w:w="900" w:type="dxa"/>
            <w:vMerge w:val="restart"/>
            <w:vAlign w:val="center"/>
          </w:tcPr>
          <w:p w14:paraId="49DA8977">
            <w:pPr>
              <w:pStyle w:val="40"/>
              <w:jc w:val="center"/>
              <w:rPr>
                <w:rFonts w:hint="eastAsia" w:ascii="Times New Roman" w:hAnsi="Times New Roman"/>
                <w:lang w:eastAsia="zh-CN"/>
              </w:rPr>
            </w:pPr>
            <w:r>
              <w:rPr>
                <w:rFonts w:hint="eastAsia" w:ascii="Times New Roman" w:hAnsi="Times New Roman"/>
                <w:lang w:eastAsia="zh-CN"/>
              </w:rPr>
              <w:t>松口镇</w:t>
            </w:r>
          </w:p>
        </w:tc>
        <w:tc>
          <w:tcPr>
            <w:tcW w:w="1325" w:type="dxa"/>
            <w:vMerge w:val="restart"/>
            <w:vAlign w:val="center"/>
          </w:tcPr>
          <w:p w14:paraId="0ACBBE6C">
            <w:pPr>
              <w:pStyle w:val="40"/>
              <w:jc w:val="center"/>
              <w:rPr>
                <w:rFonts w:hint="default" w:ascii="Times New Roman" w:hAnsi="Times New Roman" w:eastAsia="宋体"/>
              </w:rPr>
            </w:pPr>
            <w:r>
              <w:rPr>
                <w:rFonts w:hint="default" w:ascii="Times New Roman" w:hAnsi="Times New Roman" w:eastAsia="宋体"/>
              </w:rPr>
              <w:t>梅江横西村饮用水水源保护区</w:t>
            </w:r>
          </w:p>
        </w:tc>
        <w:tc>
          <w:tcPr>
            <w:tcW w:w="975" w:type="dxa"/>
            <w:vAlign w:val="center"/>
          </w:tcPr>
          <w:p w14:paraId="39BC04A5">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14:paraId="0707DF98">
            <w:pPr>
              <w:pStyle w:val="40"/>
              <w:jc w:val="center"/>
              <w:rPr>
                <w:rFonts w:hint="default" w:ascii="Times New Roman" w:hAnsi="Times New Roman" w:eastAsia="宋体"/>
                <w:lang w:val="en-US" w:eastAsia="zh-CN"/>
              </w:rPr>
            </w:pPr>
            <w:r>
              <w:rPr>
                <w:rFonts w:hint="eastAsia" w:ascii="Times New Roman" w:hAnsi="Times New Roman" w:eastAsia="宋体"/>
              </w:rPr>
              <w:t>一级</w:t>
            </w:r>
          </w:p>
        </w:tc>
        <w:tc>
          <w:tcPr>
            <w:tcW w:w="4250" w:type="dxa"/>
            <w:tcBorders>
              <w:left w:val="single" w:color="auto" w:sz="4" w:space="0"/>
            </w:tcBorders>
            <w:vAlign w:val="center"/>
          </w:tcPr>
          <w:p w14:paraId="63BBBD50">
            <w:pPr>
              <w:pStyle w:val="40"/>
              <w:jc w:val="both"/>
              <w:rPr>
                <w:rFonts w:hint="default" w:ascii="Times New Roman" w:hAnsi="Times New Roman" w:eastAsia="宋体"/>
                <w:lang w:val="en-US" w:eastAsia="zh-CN"/>
              </w:rPr>
            </w:pPr>
            <w:r>
              <w:rPr>
                <w:rFonts w:hint="eastAsia" w:ascii="Times New Roman" w:hAnsi="Times New Roman" w:eastAsia="宋体"/>
              </w:rPr>
              <w:t>梅江横西村取水口上游1000米至取水口下游100米多年平均水位对应的高程线下水域范围。</w:t>
            </w:r>
          </w:p>
        </w:tc>
        <w:tc>
          <w:tcPr>
            <w:tcW w:w="3612" w:type="dxa"/>
            <w:tcBorders>
              <w:right w:val="single" w:color="auto" w:sz="4" w:space="0"/>
            </w:tcBorders>
            <w:vAlign w:val="center"/>
          </w:tcPr>
          <w:p w14:paraId="2E5C157E">
            <w:pPr>
              <w:pStyle w:val="40"/>
              <w:jc w:val="both"/>
              <w:rPr>
                <w:rFonts w:hint="eastAsia" w:ascii="Times New Roman" w:hAnsi="Times New Roman" w:eastAsia="宋体"/>
              </w:rPr>
            </w:pPr>
            <w:r>
              <w:rPr>
                <w:rFonts w:hint="eastAsia" w:ascii="Times New Roman" w:hAnsi="Times New Roman" w:eastAsia="宋体"/>
              </w:rPr>
              <w:t>相应一级保护区水域两岸向</w:t>
            </w:r>
          </w:p>
          <w:p w14:paraId="7AD91434">
            <w:pPr>
              <w:pStyle w:val="40"/>
              <w:jc w:val="both"/>
              <w:rPr>
                <w:rFonts w:hint="eastAsia" w:ascii="Times New Roman" w:hAnsi="Times New Roman" w:eastAsia="宋体"/>
              </w:rPr>
            </w:pPr>
            <w:r>
              <w:rPr>
                <w:rFonts w:hint="eastAsia" w:ascii="Times New Roman" w:hAnsi="Times New Roman" w:eastAsia="宋体"/>
              </w:rPr>
              <w:t>陆纵深 50 米的陆域， 但不超</w:t>
            </w:r>
          </w:p>
          <w:p w14:paraId="1160362F">
            <w:pPr>
              <w:pStyle w:val="40"/>
              <w:jc w:val="both"/>
              <w:rPr>
                <w:rFonts w:hint="default" w:ascii="Times New Roman" w:hAnsi="Times New Roman" w:eastAsia="宋体"/>
                <w:lang w:val="en-US" w:eastAsia="zh-CN"/>
              </w:rPr>
            </w:pPr>
            <w:r>
              <w:rPr>
                <w:rFonts w:hint="eastAsia" w:ascii="Times New Roman" w:hAnsi="Times New Roman" w:eastAsia="宋体"/>
              </w:rPr>
              <w:t>过省道 S223 邻水一侧路肩。</w:t>
            </w:r>
          </w:p>
        </w:tc>
        <w:tc>
          <w:tcPr>
            <w:tcW w:w="1001" w:type="dxa"/>
            <w:tcBorders>
              <w:left w:val="single" w:color="auto" w:sz="4" w:space="0"/>
            </w:tcBorders>
            <w:vAlign w:val="center"/>
          </w:tcPr>
          <w:p w14:paraId="63CD493F">
            <w:pPr>
              <w:pStyle w:val="40"/>
              <w:jc w:val="center"/>
              <w:rPr>
                <w:rFonts w:hint="eastAsia" w:ascii="Times New Roman" w:hAnsi="Times New Roman" w:eastAsia="宋体"/>
                <w:lang w:val="en-US" w:eastAsia="zh-CN"/>
              </w:rPr>
            </w:pPr>
            <w:r>
              <w:rPr>
                <w:rFonts w:hint="eastAsia" w:ascii="Times New Roman" w:hAnsi="Times New Roman" w:eastAsia="宋体"/>
              </w:rPr>
              <w:t>0.325</w:t>
            </w:r>
          </w:p>
        </w:tc>
      </w:tr>
      <w:tr w14:paraId="2BEC8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14:paraId="3091BA54">
            <w:pPr>
              <w:pStyle w:val="40"/>
              <w:jc w:val="center"/>
              <w:rPr>
                <w:rFonts w:ascii="Times New Roman" w:hAnsi="Times New Roman"/>
              </w:rPr>
            </w:pPr>
          </w:p>
        </w:tc>
        <w:tc>
          <w:tcPr>
            <w:tcW w:w="900" w:type="dxa"/>
            <w:vMerge w:val="continue"/>
            <w:vAlign w:val="center"/>
          </w:tcPr>
          <w:p w14:paraId="21F31C5D">
            <w:pPr>
              <w:pStyle w:val="40"/>
              <w:jc w:val="center"/>
              <w:rPr>
                <w:rFonts w:hint="eastAsia" w:ascii="Times New Roman" w:hAnsi="Times New Roman"/>
                <w:lang w:eastAsia="zh-CN"/>
              </w:rPr>
            </w:pPr>
          </w:p>
        </w:tc>
        <w:tc>
          <w:tcPr>
            <w:tcW w:w="1325" w:type="dxa"/>
            <w:vMerge w:val="continue"/>
            <w:vAlign w:val="center"/>
          </w:tcPr>
          <w:p w14:paraId="6C7F6ED4">
            <w:pPr>
              <w:pStyle w:val="40"/>
              <w:jc w:val="center"/>
              <w:rPr>
                <w:rFonts w:hint="default" w:ascii="Times New Roman" w:hAnsi="Times New Roman" w:eastAsia="宋体"/>
              </w:rPr>
            </w:pPr>
          </w:p>
        </w:tc>
        <w:tc>
          <w:tcPr>
            <w:tcW w:w="975" w:type="dxa"/>
            <w:vAlign w:val="center"/>
          </w:tcPr>
          <w:p w14:paraId="1EAC6C3E">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14:paraId="2B0D25B9">
            <w:pPr>
              <w:pStyle w:val="40"/>
              <w:jc w:val="center"/>
              <w:rPr>
                <w:rFonts w:hint="default" w:ascii="Times New Roman" w:hAnsi="Times New Roman" w:eastAsia="宋体"/>
                <w:lang w:val="en-US" w:eastAsia="zh-CN"/>
              </w:rPr>
            </w:pPr>
            <w:r>
              <w:rPr>
                <w:rFonts w:hint="eastAsia" w:ascii="Times New Roman" w:hAnsi="Times New Roman" w:eastAsia="宋体"/>
              </w:rPr>
              <w:t>二级</w:t>
            </w:r>
          </w:p>
        </w:tc>
        <w:tc>
          <w:tcPr>
            <w:tcW w:w="4250" w:type="dxa"/>
            <w:tcBorders>
              <w:left w:val="single" w:color="auto" w:sz="4" w:space="0"/>
            </w:tcBorders>
            <w:vAlign w:val="center"/>
          </w:tcPr>
          <w:p w14:paraId="4F14B6AA">
            <w:pPr>
              <w:pStyle w:val="40"/>
              <w:jc w:val="both"/>
              <w:rPr>
                <w:rFonts w:hint="default" w:ascii="Times New Roman" w:hAnsi="Times New Roman" w:eastAsia="宋体"/>
                <w:lang w:val="en-US" w:eastAsia="zh-CN"/>
              </w:rPr>
            </w:pPr>
            <w:r>
              <w:rPr>
                <w:rFonts w:hint="eastAsia" w:ascii="Times New Roman" w:hAnsi="Times New Roman" w:eastAsia="宋体"/>
              </w:rPr>
              <w:t>梅江横西村取水口上游3000米至取水口下游300米及取水口上游该河段集雨范围内的全部支流多年平均水位对应的高程线下水域范围（一级保护区水域范围除外）。</w:t>
            </w:r>
          </w:p>
        </w:tc>
        <w:tc>
          <w:tcPr>
            <w:tcW w:w="3612" w:type="dxa"/>
            <w:tcBorders>
              <w:right w:val="single" w:color="auto" w:sz="4" w:space="0"/>
            </w:tcBorders>
            <w:vAlign w:val="center"/>
          </w:tcPr>
          <w:p w14:paraId="0F7AEAFB">
            <w:pPr>
              <w:pStyle w:val="40"/>
              <w:jc w:val="both"/>
              <w:rPr>
                <w:rFonts w:hint="default" w:ascii="Times New Roman" w:hAnsi="Times New Roman" w:eastAsia="宋体"/>
                <w:lang w:val="en-US" w:eastAsia="zh-CN"/>
              </w:rPr>
            </w:pPr>
            <w:r>
              <w:rPr>
                <w:rFonts w:hint="eastAsia" w:ascii="Times New Roman" w:hAnsi="Times New Roman" w:eastAsia="宋体"/>
              </w:rPr>
              <w:t>相应一级保护区陆域及二级保护区水域两岸向陆纵深1000米的陆域，但不超过沿河具有分水岭功能的道路邻水一侧路肩及流域分水岭范围。</w:t>
            </w:r>
          </w:p>
        </w:tc>
        <w:tc>
          <w:tcPr>
            <w:tcW w:w="1001" w:type="dxa"/>
            <w:tcBorders>
              <w:left w:val="single" w:color="auto" w:sz="4" w:space="0"/>
            </w:tcBorders>
            <w:vAlign w:val="center"/>
          </w:tcPr>
          <w:p w14:paraId="40DD4C1D">
            <w:pPr>
              <w:pStyle w:val="40"/>
              <w:jc w:val="center"/>
              <w:rPr>
                <w:rFonts w:hint="eastAsia" w:ascii="Times New Roman" w:hAnsi="Times New Roman" w:eastAsia="宋体"/>
                <w:lang w:val="en-US" w:eastAsia="zh-CN"/>
              </w:rPr>
            </w:pPr>
            <w:r>
              <w:rPr>
                <w:rFonts w:hint="eastAsia" w:ascii="Times New Roman" w:hAnsi="Times New Roman" w:eastAsia="宋体"/>
              </w:rPr>
              <w:t>10.190</w:t>
            </w:r>
          </w:p>
        </w:tc>
      </w:tr>
      <w:tr w14:paraId="4979F7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35" w:hRule="atLeast"/>
          <w:jc w:val="center"/>
        </w:trPr>
        <w:tc>
          <w:tcPr>
            <w:tcW w:w="664" w:type="dxa"/>
            <w:vMerge w:val="restart"/>
            <w:vAlign w:val="center"/>
          </w:tcPr>
          <w:p w14:paraId="7F1F1B1C">
            <w:pPr>
              <w:pStyle w:val="40"/>
              <w:jc w:val="center"/>
              <w:rPr>
                <w:rFonts w:hint="eastAsia" w:ascii="Times New Roman" w:hAnsi="Times New Roman" w:eastAsia="宋体"/>
                <w:lang w:val="en-US" w:eastAsia="zh-CN"/>
              </w:rPr>
            </w:pPr>
            <w:r>
              <w:rPr>
                <w:rFonts w:hint="eastAsia" w:ascii="Times New Roman" w:hAnsi="Times New Roman"/>
                <w:lang w:val="en-US" w:eastAsia="zh-CN"/>
              </w:rPr>
              <w:t>7</w:t>
            </w:r>
          </w:p>
        </w:tc>
        <w:tc>
          <w:tcPr>
            <w:tcW w:w="900" w:type="dxa"/>
            <w:vMerge w:val="restart"/>
            <w:vAlign w:val="center"/>
          </w:tcPr>
          <w:p w14:paraId="2D264745">
            <w:pPr>
              <w:pStyle w:val="40"/>
              <w:jc w:val="center"/>
              <w:rPr>
                <w:rFonts w:hint="eastAsia" w:ascii="Times New Roman" w:hAnsi="Times New Roman"/>
                <w:lang w:eastAsia="zh-CN"/>
              </w:rPr>
            </w:pPr>
            <w:r>
              <w:rPr>
                <w:rFonts w:hint="eastAsia" w:ascii="Times New Roman" w:hAnsi="Times New Roman"/>
                <w:lang w:eastAsia="zh-CN"/>
              </w:rPr>
              <w:t>南口镇</w:t>
            </w:r>
          </w:p>
        </w:tc>
        <w:tc>
          <w:tcPr>
            <w:tcW w:w="1325" w:type="dxa"/>
            <w:vMerge w:val="restart"/>
            <w:vAlign w:val="center"/>
          </w:tcPr>
          <w:p w14:paraId="0484840E">
            <w:pPr>
              <w:pStyle w:val="40"/>
              <w:jc w:val="center"/>
              <w:rPr>
                <w:rFonts w:hint="default" w:ascii="Times New Roman" w:hAnsi="Times New Roman" w:eastAsia="宋体"/>
              </w:rPr>
            </w:pPr>
            <w:r>
              <w:rPr>
                <w:rFonts w:hint="eastAsia" w:ascii="Times New Roman" w:hAnsi="Times New Roman" w:eastAsia="宋体"/>
              </w:rPr>
              <w:t>大劲水库饮用水水源保护区</w:t>
            </w:r>
          </w:p>
        </w:tc>
        <w:tc>
          <w:tcPr>
            <w:tcW w:w="975" w:type="dxa"/>
            <w:vAlign w:val="center"/>
          </w:tcPr>
          <w:p w14:paraId="69D7A17D">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3530B1EB">
            <w:pPr>
              <w:pStyle w:val="40"/>
              <w:jc w:val="center"/>
              <w:rPr>
                <w:rFonts w:hint="eastAsia"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470088D3">
            <w:pPr>
              <w:pStyle w:val="40"/>
              <w:jc w:val="both"/>
              <w:rPr>
                <w:rFonts w:hint="eastAsia" w:ascii="Times New Roman" w:hAnsi="Times New Roman" w:eastAsia="宋体"/>
                <w:lang w:val="en-US" w:eastAsia="zh-CN"/>
              </w:rPr>
            </w:pPr>
            <w:r>
              <w:rPr>
                <w:rFonts w:hint="default" w:ascii="Times New Roman" w:hAnsi="Times New Roman" w:eastAsia="宋体"/>
              </w:rPr>
              <w:t>大劲水库多年平均水位对应的高程线以下的全部水域。</w:t>
            </w:r>
          </w:p>
        </w:tc>
        <w:tc>
          <w:tcPr>
            <w:tcW w:w="3612" w:type="dxa"/>
            <w:tcBorders>
              <w:right w:val="single" w:color="auto" w:sz="4" w:space="0"/>
            </w:tcBorders>
            <w:vAlign w:val="center"/>
          </w:tcPr>
          <w:p w14:paraId="206599BB">
            <w:pPr>
              <w:pStyle w:val="40"/>
              <w:jc w:val="both"/>
              <w:rPr>
                <w:rFonts w:hint="eastAsia" w:ascii="Times New Roman" w:hAnsi="Times New Roman" w:eastAsia="宋体"/>
                <w:lang w:val="en-US" w:eastAsia="zh-CN"/>
              </w:rPr>
            </w:pPr>
            <w:r>
              <w:rPr>
                <w:rFonts w:hint="default" w:ascii="Times New Roman" w:hAnsi="Times New Roman" w:eastAsia="宋体"/>
              </w:rPr>
              <w:t>相应一级保护水域外200米范围内的陆域， 但不超过堤坝和流域分水岭范围。</w:t>
            </w:r>
          </w:p>
        </w:tc>
        <w:tc>
          <w:tcPr>
            <w:tcW w:w="1001" w:type="dxa"/>
            <w:tcBorders>
              <w:left w:val="single" w:color="auto" w:sz="4" w:space="0"/>
            </w:tcBorders>
            <w:vAlign w:val="center"/>
          </w:tcPr>
          <w:p w14:paraId="77CC35A2">
            <w:pPr>
              <w:pStyle w:val="40"/>
              <w:jc w:val="center"/>
              <w:rPr>
                <w:rFonts w:hint="eastAsia" w:ascii="Times New Roman" w:hAnsi="Times New Roman" w:eastAsia="宋体"/>
                <w:lang w:val="en-US" w:eastAsia="zh-CN"/>
              </w:rPr>
            </w:pPr>
            <w:r>
              <w:rPr>
                <w:rFonts w:hint="eastAsia" w:ascii="Times New Roman" w:hAnsi="Times New Roman" w:eastAsia="宋体"/>
              </w:rPr>
              <w:t>0.862</w:t>
            </w:r>
          </w:p>
        </w:tc>
      </w:tr>
      <w:tr w14:paraId="616557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0" w:hRule="atLeast"/>
          <w:jc w:val="center"/>
        </w:trPr>
        <w:tc>
          <w:tcPr>
            <w:tcW w:w="664" w:type="dxa"/>
            <w:vMerge w:val="continue"/>
            <w:vAlign w:val="center"/>
          </w:tcPr>
          <w:p w14:paraId="60AAB5F5">
            <w:pPr>
              <w:pStyle w:val="40"/>
              <w:jc w:val="center"/>
              <w:rPr>
                <w:rFonts w:ascii="Times New Roman" w:hAnsi="Times New Roman"/>
              </w:rPr>
            </w:pPr>
          </w:p>
        </w:tc>
        <w:tc>
          <w:tcPr>
            <w:tcW w:w="900" w:type="dxa"/>
            <w:vMerge w:val="continue"/>
            <w:vAlign w:val="center"/>
          </w:tcPr>
          <w:p w14:paraId="7FDC667E">
            <w:pPr>
              <w:pStyle w:val="40"/>
              <w:jc w:val="center"/>
              <w:rPr>
                <w:rFonts w:hint="eastAsia" w:ascii="Times New Roman" w:hAnsi="Times New Roman"/>
                <w:lang w:eastAsia="zh-CN"/>
              </w:rPr>
            </w:pPr>
          </w:p>
        </w:tc>
        <w:tc>
          <w:tcPr>
            <w:tcW w:w="1325" w:type="dxa"/>
            <w:vMerge w:val="continue"/>
            <w:vAlign w:val="center"/>
          </w:tcPr>
          <w:p w14:paraId="584D139F">
            <w:pPr>
              <w:pStyle w:val="40"/>
              <w:jc w:val="center"/>
              <w:rPr>
                <w:rFonts w:hint="default" w:ascii="Times New Roman" w:hAnsi="Times New Roman" w:eastAsia="宋体"/>
              </w:rPr>
            </w:pPr>
          </w:p>
        </w:tc>
        <w:tc>
          <w:tcPr>
            <w:tcW w:w="975" w:type="dxa"/>
            <w:vAlign w:val="center"/>
          </w:tcPr>
          <w:p w14:paraId="66425A5C">
            <w:pPr>
              <w:pStyle w:val="40"/>
              <w:jc w:val="center"/>
              <w:rPr>
                <w:rFonts w:hint="eastAsia" w:ascii="Times New Roman" w:hAnsi="Times New Roman" w:eastAsia="宋体"/>
                <w:lang w:val="en-US" w:eastAsia="zh-CN"/>
              </w:rPr>
            </w:pPr>
            <w:r>
              <w:rPr>
                <w:rFonts w:hint="default" w:ascii="Times New Roman" w:hAnsi="Times New Roman" w:eastAsia="宋体"/>
              </w:rPr>
              <w:t>Ⅲ类</w:t>
            </w:r>
          </w:p>
        </w:tc>
        <w:tc>
          <w:tcPr>
            <w:tcW w:w="975" w:type="dxa"/>
            <w:tcBorders>
              <w:right w:val="single" w:color="auto" w:sz="4" w:space="0"/>
            </w:tcBorders>
            <w:vAlign w:val="center"/>
          </w:tcPr>
          <w:p w14:paraId="599DE60E">
            <w:pPr>
              <w:pStyle w:val="40"/>
              <w:jc w:val="center"/>
              <w:rPr>
                <w:rFonts w:hint="eastAsia"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14:paraId="560043C7">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取水口上游流域分水岭范围内但不超过梅县辖区界的全部山溪水域。</w:t>
            </w:r>
          </w:p>
        </w:tc>
        <w:tc>
          <w:tcPr>
            <w:tcW w:w="3612" w:type="dxa"/>
            <w:tcBorders>
              <w:right w:val="single" w:color="auto" w:sz="4" w:space="0"/>
            </w:tcBorders>
            <w:vAlign w:val="center"/>
          </w:tcPr>
          <w:p w14:paraId="6D8E82E4">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取水口上游流域分水岭范围内但不超过梅县辖区界的全部陆域（一级保护区陆域范围除外）。</w:t>
            </w:r>
          </w:p>
        </w:tc>
        <w:tc>
          <w:tcPr>
            <w:tcW w:w="1001" w:type="dxa"/>
            <w:tcBorders>
              <w:left w:val="single" w:color="auto" w:sz="4" w:space="0"/>
            </w:tcBorders>
            <w:vAlign w:val="center"/>
          </w:tcPr>
          <w:p w14:paraId="29FE7915">
            <w:pPr>
              <w:pStyle w:val="40"/>
              <w:jc w:val="center"/>
              <w:rPr>
                <w:rFonts w:hint="eastAsia" w:ascii="Times New Roman" w:hAnsi="Times New Roman" w:eastAsia="宋体"/>
                <w:lang w:val="en-US" w:eastAsia="zh-CN"/>
              </w:rPr>
            </w:pPr>
            <w:r>
              <w:rPr>
                <w:rFonts w:hint="eastAsia" w:ascii="Times New Roman" w:hAnsi="Times New Roman" w:eastAsia="宋体"/>
              </w:rPr>
              <w:t>29.282</w:t>
            </w:r>
          </w:p>
        </w:tc>
      </w:tr>
      <w:tr w14:paraId="35EB51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restart"/>
            <w:vAlign w:val="center"/>
          </w:tcPr>
          <w:p w14:paraId="7C92B7D5">
            <w:pPr>
              <w:pStyle w:val="40"/>
              <w:jc w:val="center"/>
              <w:rPr>
                <w:rFonts w:hint="eastAsia" w:ascii="Times New Roman" w:hAnsi="Times New Roman" w:eastAsia="宋体"/>
                <w:lang w:val="en-US" w:eastAsia="zh-CN"/>
              </w:rPr>
            </w:pPr>
            <w:r>
              <w:rPr>
                <w:rFonts w:hint="eastAsia" w:ascii="Times New Roman" w:hAnsi="Times New Roman"/>
                <w:lang w:val="en-US" w:eastAsia="zh-CN"/>
              </w:rPr>
              <w:t>8</w:t>
            </w:r>
          </w:p>
        </w:tc>
        <w:tc>
          <w:tcPr>
            <w:tcW w:w="900" w:type="dxa"/>
            <w:vMerge w:val="restart"/>
            <w:vAlign w:val="center"/>
          </w:tcPr>
          <w:p w14:paraId="2B603877">
            <w:pPr>
              <w:pStyle w:val="40"/>
              <w:jc w:val="center"/>
              <w:rPr>
                <w:rFonts w:hint="eastAsia" w:ascii="Times New Roman" w:hAnsi="Times New Roman"/>
                <w:lang w:eastAsia="zh-CN"/>
              </w:rPr>
            </w:pPr>
            <w:r>
              <w:rPr>
                <w:rFonts w:hint="eastAsia" w:ascii="Times New Roman" w:hAnsi="Times New Roman"/>
                <w:lang w:eastAsia="zh-CN"/>
              </w:rPr>
              <w:t>畲江镇</w:t>
            </w:r>
          </w:p>
        </w:tc>
        <w:tc>
          <w:tcPr>
            <w:tcW w:w="1325" w:type="dxa"/>
            <w:vMerge w:val="restart"/>
            <w:vAlign w:val="center"/>
          </w:tcPr>
          <w:p w14:paraId="215A695B">
            <w:pPr>
              <w:pStyle w:val="40"/>
              <w:jc w:val="center"/>
              <w:rPr>
                <w:rFonts w:hint="default" w:ascii="Times New Roman" w:hAnsi="Times New Roman" w:eastAsia="宋体"/>
              </w:rPr>
            </w:pPr>
            <w:r>
              <w:rPr>
                <w:rFonts w:hint="eastAsia" w:ascii="Times New Roman" w:hAnsi="Times New Roman" w:eastAsia="宋体"/>
              </w:rPr>
              <w:t>崆背电站饮用水水源保护区</w:t>
            </w:r>
          </w:p>
        </w:tc>
        <w:tc>
          <w:tcPr>
            <w:tcW w:w="975" w:type="dxa"/>
            <w:vAlign w:val="center"/>
          </w:tcPr>
          <w:p w14:paraId="33982E1B">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7CFB5EF1">
            <w:pPr>
              <w:pStyle w:val="40"/>
              <w:jc w:val="center"/>
              <w:rPr>
                <w:rFonts w:hint="eastAsia" w:ascii="Times New Roman" w:hAnsi="Times New Roman" w:eastAsia="宋体"/>
                <w:lang w:val="en-US" w:eastAsia="zh-CN"/>
              </w:rPr>
            </w:pPr>
            <w:r>
              <w:rPr>
                <w:rFonts w:hint="default" w:ascii="Times New Roman" w:hAnsi="Times New Roman" w:eastAsia="宋体"/>
              </w:rPr>
              <w:t>一级</w:t>
            </w:r>
          </w:p>
        </w:tc>
        <w:tc>
          <w:tcPr>
            <w:tcW w:w="4250" w:type="dxa"/>
            <w:tcBorders>
              <w:left w:val="single" w:color="auto" w:sz="4" w:space="0"/>
            </w:tcBorders>
            <w:vAlign w:val="center"/>
          </w:tcPr>
          <w:p w14:paraId="7646E2E6">
            <w:pPr>
              <w:pStyle w:val="40"/>
              <w:jc w:val="both"/>
              <w:rPr>
                <w:rFonts w:hint="eastAsia" w:ascii="Times New Roman" w:hAnsi="Times New Roman" w:eastAsia="宋体"/>
                <w:lang w:val="en-US" w:eastAsia="zh-CN"/>
              </w:rPr>
            </w:pPr>
            <w:r>
              <w:rPr>
                <w:rFonts w:hint="default" w:ascii="Times New Roman" w:hAnsi="Times New Roman" w:eastAsia="宋体"/>
              </w:rPr>
              <w:t>取水口上游1500米的全部山溪水域。</w:t>
            </w:r>
          </w:p>
        </w:tc>
        <w:tc>
          <w:tcPr>
            <w:tcW w:w="3612" w:type="dxa"/>
            <w:tcBorders>
              <w:right w:val="single" w:color="auto" w:sz="4" w:space="0"/>
            </w:tcBorders>
            <w:vAlign w:val="center"/>
          </w:tcPr>
          <w:p w14:paraId="52CA9395">
            <w:pPr>
              <w:pStyle w:val="40"/>
              <w:jc w:val="both"/>
              <w:rPr>
                <w:rFonts w:hint="default" w:ascii="Times New Roman" w:hAnsi="Times New Roman" w:eastAsia="宋体"/>
              </w:rPr>
            </w:pPr>
            <w:r>
              <w:rPr>
                <w:rFonts w:hint="default" w:ascii="Times New Roman" w:hAnsi="Times New Roman" w:eastAsia="宋体"/>
              </w:rPr>
              <w:t>相应一级保护区水域两岸</w:t>
            </w:r>
          </w:p>
          <w:p w14:paraId="2140BB1D">
            <w:pPr>
              <w:pStyle w:val="40"/>
              <w:jc w:val="both"/>
              <w:rPr>
                <w:rFonts w:hint="default" w:ascii="Times New Roman" w:hAnsi="Times New Roman" w:eastAsia="宋体"/>
              </w:rPr>
            </w:pPr>
            <w:r>
              <w:rPr>
                <w:rFonts w:hint="default" w:ascii="Times New Roman" w:hAnsi="Times New Roman" w:eastAsia="宋体"/>
              </w:rPr>
              <w:t>向陆纵深 50 米的陆域，但不</w:t>
            </w:r>
          </w:p>
          <w:p w14:paraId="3703BD2D">
            <w:pPr>
              <w:pStyle w:val="40"/>
              <w:jc w:val="both"/>
              <w:rPr>
                <w:rFonts w:hint="eastAsia" w:ascii="Times New Roman" w:hAnsi="Times New Roman" w:eastAsia="宋体"/>
                <w:lang w:val="en-US" w:eastAsia="zh-CN"/>
              </w:rPr>
            </w:pPr>
            <w:r>
              <w:rPr>
                <w:rFonts w:hint="default" w:ascii="Times New Roman" w:hAnsi="Times New Roman" w:eastAsia="宋体"/>
              </w:rPr>
              <w:t>超过流域分水岭范围。</w:t>
            </w:r>
          </w:p>
        </w:tc>
        <w:tc>
          <w:tcPr>
            <w:tcW w:w="1001" w:type="dxa"/>
            <w:tcBorders>
              <w:left w:val="single" w:color="auto" w:sz="4" w:space="0"/>
            </w:tcBorders>
            <w:vAlign w:val="center"/>
          </w:tcPr>
          <w:p w14:paraId="1A7A8042">
            <w:pPr>
              <w:pStyle w:val="40"/>
              <w:jc w:val="center"/>
              <w:rPr>
                <w:rFonts w:hint="eastAsia" w:ascii="Times New Roman" w:hAnsi="Times New Roman" w:eastAsia="宋体"/>
                <w:lang w:val="en-US" w:eastAsia="zh-CN"/>
              </w:rPr>
            </w:pPr>
            <w:r>
              <w:rPr>
                <w:rFonts w:hint="eastAsia" w:ascii="Times New Roman" w:hAnsi="Times New Roman" w:eastAsia="宋体"/>
              </w:rPr>
              <w:t>0.164</w:t>
            </w:r>
          </w:p>
        </w:tc>
      </w:tr>
      <w:tr w14:paraId="7E6810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14:paraId="54745CAD">
            <w:pPr>
              <w:pStyle w:val="40"/>
              <w:jc w:val="center"/>
              <w:rPr>
                <w:rFonts w:ascii="Times New Roman" w:hAnsi="Times New Roman"/>
              </w:rPr>
            </w:pPr>
          </w:p>
        </w:tc>
        <w:tc>
          <w:tcPr>
            <w:tcW w:w="900" w:type="dxa"/>
            <w:vMerge w:val="continue"/>
            <w:vAlign w:val="center"/>
          </w:tcPr>
          <w:p w14:paraId="54E067E2">
            <w:pPr>
              <w:pStyle w:val="40"/>
              <w:jc w:val="center"/>
              <w:rPr>
                <w:rFonts w:hint="eastAsia" w:ascii="Times New Roman" w:hAnsi="Times New Roman"/>
                <w:lang w:eastAsia="zh-CN"/>
              </w:rPr>
            </w:pPr>
          </w:p>
        </w:tc>
        <w:tc>
          <w:tcPr>
            <w:tcW w:w="1325" w:type="dxa"/>
            <w:vMerge w:val="continue"/>
            <w:vAlign w:val="center"/>
          </w:tcPr>
          <w:p w14:paraId="5BC38F43">
            <w:pPr>
              <w:pStyle w:val="40"/>
              <w:jc w:val="center"/>
              <w:rPr>
                <w:rFonts w:hint="default" w:ascii="Times New Roman" w:hAnsi="Times New Roman" w:eastAsia="宋体"/>
              </w:rPr>
            </w:pPr>
          </w:p>
        </w:tc>
        <w:tc>
          <w:tcPr>
            <w:tcW w:w="975" w:type="dxa"/>
            <w:vAlign w:val="center"/>
          </w:tcPr>
          <w:p w14:paraId="2B4F9340">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0F04A6EE">
            <w:pPr>
              <w:pStyle w:val="40"/>
              <w:jc w:val="center"/>
              <w:rPr>
                <w:rFonts w:hint="eastAsia" w:ascii="Times New Roman" w:hAnsi="Times New Roman" w:eastAsia="宋体"/>
                <w:lang w:val="en-US" w:eastAsia="zh-CN"/>
              </w:rPr>
            </w:pPr>
            <w:r>
              <w:rPr>
                <w:rFonts w:hint="default" w:ascii="Times New Roman" w:hAnsi="Times New Roman" w:eastAsia="宋体"/>
              </w:rPr>
              <w:t>二级</w:t>
            </w:r>
          </w:p>
        </w:tc>
        <w:tc>
          <w:tcPr>
            <w:tcW w:w="4250" w:type="dxa"/>
            <w:tcBorders>
              <w:left w:val="single" w:color="auto" w:sz="4" w:space="0"/>
            </w:tcBorders>
            <w:vAlign w:val="center"/>
          </w:tcPr>
          <w:p w14:paraId="496DA0DC">
            <w:pPr>
              <w:pStyle w:val="40"/>
              <w:jc w:val="both"/>
              <w:rPr>
                <w:rFonts w:hint="eastAsia" w:ascii="Times New Roman" w:hAnsi="Times New Roman" w:eastAsia="宋体"/>
                <w:lang w:val="en-US" w:eastAsia="zh-CN"/>
              </w:rPr>
            </w:pPr>
            <w:r>
              <w:rPr>
                <w:rFonts w:hint="default" w:ascii="Times New Roman" w:hAnsi="Times New Roman" w:eastAsia="宋体"/>
              </w:rPr>
              <w:t>取水口上游 3500 米的全部山溪水域（一级保护区水域范围除外）。</w:t>
            </w:r>
          </w:p>
        </w:tc>
        <w:tc>
          <w:tcPr>
            <w:tcW w:w="3612" w:type="dxa"/>
            <w:tcBorders>
              <w:right w:val="single" w:color="auto" w:sz="4" w:space="0"/>
            </w:tcBorders>
            <w:vAlign w:val="center"/>
          </w:tcPr>
          <w:p w14:paraId="2F10B147">
            <w:pPr>
              <w:pStyle w:val="40"/>
              <w:jc w:val="both"/>
              <w:rPr>
                <w:rFonts w:hint="eastAsia" w:ascii="Times New Roman" w:hAnsi="Times New Roman" w:eastAsia="宋体"/>
                <w:lang w:val="en-US" w:eastAsia="zh-CN"/>
              </w:rPr>
            </w:pPr>
            <w:r>
              <w:rPr>
                <w:rFonts w:hint="default" w:ascii="Times New Roman" w:hAnsi="Times New Roman" w:eastAsia="宋体"/>
              </w:rPr>
              <w:t>相应一级保护区陆域及二级保护区水域两岸向陆纵深1000米的陆域，但不超过流域分水岭范围。</w:t>
            </w:r>
          </w:p>
        </w:tc>
        <w:tc>
          <w:tcPr>
            <w:tcW w:w="1001" w:type="dxa"/>
            <w:tcBorders>
              <w:left w:val="single" w:color="auto" w:sz="4" w:space="0"/>
            </w:tcBorders>
            <w:vAlign w:val="center"/>
          </w:tcPr>
          <w:p w14:paraId="00222543">
            <w:pPr>
              <w:pStyle w:val="40"/>
              <w:jc w:val="center"/>
              <w:rPr>
                <w:rFonts w:hint="eastAsia" w:ascii="Times New Roman" w:hAnsi="Times New Roman" w:eastAsia="宋体"/>
                <w:lang w:val="en-US" w:eastAsia="zh-CN"/>
              </w:rPr>
            </w:pPr>
            <w:r>
              <w:rPr>
                <w:rFonts w:hint="eastAsia" w:ascii="Times New Roman" w:hAnsi="Times New Roman" w:eastAsia="宋体"/>
              </w:rPr>
              <w:t>7.245</w:t>
            </w:r>
          </w:p>
        </w:tc>
      </w:tr>
      <w:tr w14:paraId="7A980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14:paraId="24B4C022">
            <w:pPr>
              <w:pStyle w:val="40"/>
              <w:jc w:val="center"/>
              <w:rPr>
                <w:rFonts w:ascii="Times New Roman" w:hAnsi="Times New Roman"/>
              </w:rPr>
            </w:pPr>
          </w:p>
        </w:tc>
        <w:tc>
          <w:tcPr>
            <w:tcW w:w="900" w:type="dxa"/>
            <w:vMerge w:val="continue"/>
            <w:vAlign w:val="center"/>
          </w:tcPr>
          <w:p w14:paraId="04557A75">
            <w:pPr>
              <w:pStyle w:val="40"/>
              <w:jc w:val="center"/>
              <w:rPr>
                <w:rFonts w:hint="eastAsia" w:ascii="Times New Roman" w:hAnsi="Times New Roman"/>
                <w:lang w:eastAsia="zh-CN"/>
              </w:rPr>
            </w:pPr>
          </w:p>
        </w:tc>
        <w:tc>
          <w:tcPr>
            <w:tcW w:w="1325" w:type="dxa"/>
            <w:vMerge w:val="continue"/>
            <w:vAlign w:val="center"/>
          </w:tcPr>
          <w:p w14:paraId="63D8B7D5">
            <w:pPr>
              <w:pStyle w:val="40"/>
              <w:jc w:val="center"/>
              <w:rPr>
                <w:rFonts w:hint="default" w:ascii="Times New Roman" w:hAnsi="Times New Roman" w:eastAsia="宋体"/>
              </w:rPr>
            </w:pPr>
          </w:p>
        </w:tc>
        <w:tc>
          <w:tcPr>
            <w:tcW w:w="975" w:type="dxa"/>
            <w:vAlign w:val="center"/>
          </w:tcPr>
          <w:p w14:paraId="6BD0B0C0">
            <w:pPr>
              <w:pStyle w:val="40"/>
              <w:jc w:val="center"/>
              <w:rPr>
                <w:rFonts w:hint="eastAsia" w:ascii="Times New Roman" w:hAnsi="Times New Roman" w:eastAsia="宋体"/>
                <w:lang w:val="en-US" w:eastAsia="zh-CN"/>
              </w:rPr>
            </w:pPr>
            <w:r>
              <w:rPr>
                <w:rFonts w:hint="default" w:ascii="Times New Roman" w:hAnsi="Times New Roman" w:eastAsia="宋体"/>
              </w:rPr>
              <w:t>Ⅱ类</w:t>
            </w:r>
          </w:p>
        </w:tc>
        <w:tc>
          <w:tcPr>
            <w:tcW w:w="975" w:type="dxa"/>
            <w:tcBorders>
              <w:right w:val="single" w:color="auto" w:sz="4" w:space="0"/>
            </w:tcBorders>
            <w:vAlign w:val="center"/>
          </w:tcPr>
          <w:p w14:paraId="768AEEFF">
            <w:pPr>
              <w:pStyle w:val="40"/>
              <w:jc w:val="center"/>
              <w:rPr>
                <w:rFonts w:hint="default" w:ascii="Times New Roman" w:hAnsi="Times New Roman" w:eastAsia="宋体"/>
              </w:rPr>
            </w:pPr>
            <w:r>
              <w:rPr>
                <w:rFonts w:hint="default" w:ascii="Times New Roman" w:hAnsi="Times New Roman" w:eastAsia="宋体"/>
              </w:rPr>
              <w:t>准保</w:t>
            </w:r>
          </w:p>
          <w:p w14:paraId="75CD9A18">
            <w:pPr>
              <w:pStyle w:val="40"/>
              <w:jc w:val="center"/>
              <w:rPr>
                <w:rFonts w:hint="eastAsia" w:ascii="Times New Roman" w:hAnsi="Times New Roman" w:eastAsia="宋体"/>
                <w:lang w:val="en-US" w:eastAsia="zh-CN"/>
              </w:rPr>
            </w:pPr>
            <w:r>
              <w:rPr>
                <w:rFonts w:hint="default" w:ascii="Times New Roman" w:hAnsi="Times New Roman" w:eastAsia="宋体"/>
              </w:rPr>
              <w:t>护区</w:t>
            </w:r>
          </w:p>
        </w:tc>
        <w:tc>
          <w:tcPr>
            <w:tcW w:w="4250" w:type="dxa"/>
            <w:tcBorders>
              <w:left w:val="single" w:color="auto" w:sz="4" w:space="0"/>
            </w:tcBorders>
            <w:vAlign w:val="center"/>
          </w:tcPr>
          <w:p w14:paraId="18012453">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取水口上游流域分水岭范围内的全部水域（一级、二级保护区水域范围除外）。</w:t>
            </w:r>
          </w:p>
        </w:tc>
        <w:tc>
          <w:tcPr>
            <w:tcW w:w="3612" w:type="dxa"/>
            <w:tcBorders>
              <w:right w:val="single" w:color="auto" w:sz="4" w:space="0"/>
            </w:tcBorders>
            <w:vAlign w:val="center"/>
          </w:tcPr>
          <w:p w14:paraId="6ABED3C5">
            <w:pPr>
              <w:pStyle w:val="40"/>
              <w:jc w:val="both"/>
              <w:rPr>
                <w:rFonts w:hint="eastAsia" w:ascii="Times New Roman" w:hAnsi="Times New Roman" w:eastAsia="宋体"/>
                <w:lang w:val="en-US" w:eastAsia="zh-CN"/>
              </w:rPr>
            </w:pPr>
            <w:r>
              <w:rPr>
                <w:rFonts w:hint="default" w:ascii="Times New Roman" w:hAnsi="Times New Roman" w:eastAsia="宋体"/>
              </w:rPr>
              <w:t>取水口上游流域分水岭范围内的全部陆域（一级、二级保护区陆域范围除外）。</w:t>
            </w:r>
          </w:p>
        </w:tc>
        <w:tc>
          <w:tcPr>
            <w:tcW w:w="1001" w:type="dxa"/>
            <w:tcBorders>
              <w:left w:val="single" w:color="auto" w:sz="4" w:space="0"/>
            </w:tcBorders>
            <w:vAlign w:val="center"/>
          </w:tcPr>
          <w:p w14:paraId="6A58A5C5">
            <w:pPr>
              <w:pStyle w:val="40"/>
              <w:jc w:val="center"/>
              <w:rPr>
                <w:rFonts w:hint="eastAsia" w:ascii="Times New Roman" w:hAnsi="Times New Roman" w:eastAsia="宋体"/>
                <w:lang w:val="en-US" w:eastAsia="zh-CN"/>
              </w:rPr>
            </w:pPr>
            <w:r>
              <w:rPr>
                <w:rFonts w:hint="eastAsia" w:ascii="Times New Roman" w:hAnsi="Times New Roman" w:eastAsia="宋体"/>
              </w:rPr>
              <w:t>15.329</w:t>
            </w:r>
          </w:p>
        </w:tc>
      </w:tr>
      <w:tr w14:paraId="6AC22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restart"/>
            <w:vAlign w:val="center"/>
          </w:tcPr>
          <w:p w14:paraId="325AAED2">
            <w:pPr>
              <w:pStyle w:val="40"/>
              <w:jc w:val="center"/>
              <w:rPr>
                <w:rFonts w:hint="eastAsia" w:ascii="Times New Roman" w:hAnsi="Times New Roman" w:eastAsia="宋体"/>
                <w:lang w:val="en-US" w:eastAsia="zh-CN"/>
              </w:rPr>
            </w:pPr>
            <w:r>
              <w:rPr>
                <w:rFonts w:hint="eastAsia" w:ascii="Times New Roman" w:hAnsi="Times New Roman"/>
                <w:lang w:val="en-US" w:eastAsia="zh-CN"/>
              </w:rPr>
              <w:t>9</w:t>
            </w:r>
          </w:p>
        </w:tc>
        <w:tc>
          <w:tcPr>
            <w:tcW w:w="900" w:type="dxa"/>
            <w:vMerge w:val="restart"/>
            <w:vAlign w:val="center"/>
          </w:tcPr>
          <w:p w14:paraId="7CD3188A">
            <w:pPr>
              <w:pStyle w:val="40"/>
              <w:jc w:val="center"/>
              <w:rPr>
                <w:rFonts w:hint="eastAsia" w:ascii="Times New Roman" w:hAnsi="Times New Roman"/>
                <w:lang w:eastAsia="zh-CN"/>
              </w:rPr>
            </w:pPr>
            <w:r>
              <w:rPr>
                <w:rFonts w:hint="eastAsia" w:ascii="Times New Roman" w:hAnsi="Times New Roman"/>
                <w:lang w:eastAsia="zh-CN"/>
              </w:rPr>
              <w:t>畲江镇</w:t>
            </w:r>
          </w:p>
        </w:tc>
        <w:tc>
          <w:tcPr>
            <w:tcW w:w="1325" w:type="dxa"/>
            <w:vMerge w:val="restart"/>
            <w:vAlign w:val="center"/>
          </w:tcPr>
          <w:p w14:paraId="7ED1EB75">
            <w:pPr>
              <w:pStyle w:val="40"/>
              <w:jc w:val="center"/>
              <w:rPr>
                <w:rFonts w:hint="default" w:ascii="Times New Roman" w:hAnsi="Times New Roman" w:eastAsia="宋体"/>
              </w:rPr>
            </w:pPr>
            <w:r>
              <w:rPr>
                <w:rFonts w:hint="default" w:ascii="Times New Roman" w:hAnsi="Times New Roman" w:eastAsia="宋体"/>
              </w:rPr>
              <w:t>畲江镇饮用水水源保护区</w:t>
            </w:r>
          </w:p>
        </w:tc>
        <w:tc>
          <w:tcPr>
            <w:tcW w:w="975" w:type="dxa"/>
            <w:vAlign w:val="center"/>
          </w:tcPr>
          <w:p w14:paraId="524C383C">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14:paraId="40FC28B1">
            <w:pPr>
              <w:pStyle w:val="40"/>
              <w:jc w:val="center"/>
              <w:rPr>
                <w:rFonts w:hint="default" w:ascii="Times New Roman" w:hAnsi="Times New Roman" w:eastAsia="宋体"/>
                <w:lang w:val="en-US" w:eastAsia="zh-CN"/>
              </w:rPr>
            </w:pPr>
            <w:r>
              <w:rPr>
                <w:rFonts w:hint="eastAsia" w:ascii="Times New Roman" w:hAnsi="Times New Roman" w:eastAsia="宋体"/>
              </w:rPr>
              <w:t>一级</w:t>
            </w:r>
          </w:p>
        </w:tc>
        <w:tc>
          <w:tcPr>
            <w:tcW w:w="4250" w:type="dxa"/>
            <w:tcBorders>
              <w:left w:val="single" w:color="auto" w:sz="4" w:space="0"/>
            </w:tcBorders>
            <w:vAlign w:val="center"/>
          </w:tcPr>
          <w:p w14:paraId="5E6DD62F">
            <w:pPr>
              <w:pStyle w:val="40"/>
              <w:jc w:val="both"/>
              <w:rPr>
                <w:rFonts w:hint="default" w:ascii="Times New Roman" w:hAnsi="Times New Roman" w:eastAsia="宋体"/>
                <w:lang w:val="en-US" w:eastAsia="zh-CN"/>
              </w:rPr>
            </w:pPr>
            <w:r>
              <w:rPr>
                <w:rFonts w:hint="eastAsia" w:ascii="Times New Roman" w:hAnsi="Times New Roman" w:eastAsia="宋体"/>
              </w:rPr>
              <w:t>梅江取水口上游1000米至取水口下游100米的多年平均水位对应的高程线以下的河道范围（航道除外）。</w:t>
            </w:r>
          </w:p>
        </w:tc>
        <w:tc>
          <w:tcPr>
            <w:tcW w:w="3612" w:type="dxa"/>
            <w:tcBorders>
              <w:right w:val="single" w:color="auto" w:sz="4" w:space="0"/>
            </w:tcBorders>
            <w:vAlign w:val="center"/>
          </w:tcPr>
          <w:p w14:paraId="313EBCCC">
            <w:pPr>
              <w:pStyle w:val="40"/>
              <w:jc w:val="both"/>
              <w:rPr>
                <w:rFonts w:hint="default" w:ascii="Times New Roman" w:hAnsi="Times New Roman" w:eastAsia="宋体"/>
                <w:lang w:val="en-US" w:eastAsia="zh-CN"/>
              </w:rPr>
            </w:pPr>
            <w:r>
              <w:rPr>
                <w:rFonts w:hint="eastAsia" w:ascii="Times New Roman" w:hAnsi="Times New Roman" w:eastAsia="宋体"/>
              </w:rPr>
              <w:t>相应一级保护区水域两岸向陆纵深50米的陆域，但不超过防洪堤坝、省道 S228邻水一侧路肩及乡道464邻水一侧路肩。</w:t>
            </w:r>
          </w:p>
        </w:tc>
        <w:tc>
          <w:tcPr>
            <w:tcW w:w="1001" w:type="dxa"/>
            <w:tcBorders>
              <w:left w:val="single" w:color="auto" w:sz="4" w:space="0"/>
            </w:tcBorders>
            <w:vAlign w:val="center"/>
          </w:tcPr>
          <w:p w14:paraId="4DD4FA66">
            <w:pPr>
              <w:pStyle w:val="40"/>
              <w:jc w:val="center"/>
              <w:rPr>
                <w:rFonts w:hint="eastAsia" w:ascii="Times New Roman" w:hAnsi="Times New Roman" w:eastAsia="宋体"/>
                <w:lang w:val="en-US" w:eastAsia="zh-CN"/>
              </w:rPr>
            </w:pPr>
            <w:r>
              <w:rPr>
                <w:rFonts w:hint="eastAsia" w:ascii="Times New Roman" w:hAnsi="Times New Roman" w:eastAsia="宋体"/>
              </w:rPr>
              <w:t>0.354</w:t>
            </w:r>
          </w:p>
        </w:tc>
      </w:tr>
      <w:tr w14:paraId="574512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13" w:hRule="atLeast"/>
          <w:jc w:val="center"/>
        </w:trPr>
        <w:tc>
          <w:tcPr>
            <w:tcW w:w="664" w:type="dxa"/>
            <w:vMerge w:val="continue"/>
            <w:vAlign w:val="center"/>
          </w:tcPr>
          <w:p w14:paraId="05616B17">
            <w:pPr>
              <w:pStyle w:val="40"/>
              <w:jc w:val="center"/>
              <w:rPr>
                <w:rFonts w:ascii="Times New Roman" w:hAnsi="Times New Roman"/>
              </w:rPr>
            </w:pPr>
          </w:p>
        </w:tc>
        <w:tc>
          <w:tcPr>
            <w:tcW w:w="900" w:type="dxa"/>
            <w:vMerge w:val="continue"/>
            <w:vAlign w:val="center"/>
          </w:tcPr>
          <w:p w14:paraId="386CEE95">
            <w:pPr>
              <w:pStyle w:val="40"/>
              <w:jc w:val="center"/>
              <w:rPr>
                <w:rFonts w:hint="eastAsia" w:ascii="Times New Roman" w:hAnsi="Times New Roman"/>
                <w:lang w:eastAsia="zh-CN"/>
              </w:rPr>
            </w:pPr>
          </w:p>
        </w:tc>
        <w:tc>
          <w:tcPr>
            <w:tcW w:w="1325" w:type="dxa"/>
            <w:vMerge w:val="continue"/>
            <w:vAlign w:val="center"/>
          </w:tcPr>
          <w:p w14:paraId="06108994">
            <w:pPr>
              <w:pStyle w:val="40"/>
              <w:jc w:val="center"/>
              <w:rPr>
                <w:rFonts w:hint="default" w:ascii="Times New Roman" w:hAnsi="Times New Roman" w:eastAsia="宋体"/>
              </w:rPr>
            </w:pPr>
          </w:p>
        </w:tc>
        <w:tc>
          <w:tcPr>
            <w:tcW w:w="975" w:type="dxa"/>
            <w:vAlign w:val="center"/>
          </w:tcPr>
          <w:p w14:paraId="7CE62238">
            <w:pPr>
              <w:pStyle w:val="40"/>
              <w:jc w:val="center"/>
              <w:rPr>
                <w:rFonts w:hint="default" w:ascii="Times New Roman" w:hAnsi="Times New Roman" w:eastAsia="宋体"/>
                <w:lang w:val="en-US" w:eastAsia="zh-CN"/>
              </w:rPr>
            </w:pPr>
            <w:r>
              <w:rPr>
                <w:rFonts w:hint="eastAsia" w:ascii="Times New Roman" w:hAnsi="Times New Roman" w:eastAsia="宋体"/>
              </w:rPr>
              <w:t>Ⅱ类</w:t>
            </w:r>
          </w:p>
        </w:tc>
        <w:tc>
          <w:tcPr>
            <w:tcW w:w="975" w:type="dxa"/>
            <w:tcBorders>
              <w:right w:val="single" w:color="auto" w:sz="4" w:space="0"/>
            </w:tcBorders>
            <w:vAlign w:val="center"/>
          </w:tcPr>
          <w:p w14:paraId="44106E7A">
            <w:pPr>
              <w:pStyle w:val="40"/>
              <w:jc w:val="center"/>
              <w:rPr>
                <w:rFonts w:hint="default" w:ascii="Times New Roman" w:hAnsi="Times New Roman" w:eastAsia="宋体"/>
                <w:lang w:val="en-US" w:eastAsia="zh-CN"/>
              </w:rPr>
            </w:pPr>
            <w:r>
              <w:rPr>
                <w:rFonts w:hint="eastAsia" w:ascii="Times New Roman" w:hAnsi="Times New Roman" w:eastAsia="宋体"/>
              </w:rPr>
              <w:t>二级</w:t>
            </w:r>
          </w:p>
        </w:tc>
        <w:tc>
          <w:tcPr>
            <w:tcW w:w="4250" w:type="dxa"/>
            <w:tcBorders>
              <w:left w:val="single" w:color="auto" w:sz="4" w:space="0"/>
            </w:tcBorders>
            <w:vAlign w:val="center"/>
          </w:tcPr>
          <w:p w14:paraId="67C0E224">
            <w:pPr>
              <w:pStyle w:val="40"/>
              <w:jc w:val="both"/>
              <w:rPr>
                <w:rFonts w:hint="default" w:ascii="Times New Roman" w:hAnsi="Times New Roman" w:eastAsia="宋体"/>
                <w:lang w:val="en-US" w:eastAsia="zh-CN"/>
              </w:rPr>
            </w:pPr>
            <w:r>
              <w:rPr>
                <w:rFonts w:hint="eastAsia" w:ascii="Times New Roman" w:hAnsi="Times New Roman" w:eastAsia="宋体"/>
              </w:rPr>
              <w:t>梅江取水口上游3000米至取水口下游300米的多年平均水位对应的高程线以下的河道范围（一级保护区及航道除外）。</w:t>
            </w:r>
          </w:p>
        </w:tc>
        <w:tc>
          <w:tcPr>
            <w:tcW w:w="3612" w:type="dxa"/>
            <w:tcBorders>
              <w:right w:val="single" w:color="auto" w:sz="4" w:space="0"/>
            </w:tcBorders>
            <w:vAlign w:val="center"/>
          </w:tcPr>
          <w:p w14:paraId="6CC25112">
            <w:pPr>
              <w:pStyle w:val="40"/>
              <w:jc w:val="both"/>
              <w:rPr>
                <w:rFonts w:hint="default" w:ascii="Times New Roman" w:hAnsi="Times New Roman" w:eastAsia="宋体"/>
                <w:lang w:val="en-US" w:eastAsia="zh-CN"/>
              </w:rPr>
            </w:pPr>
            <w:r>
              <w:rPr>
                <w:rFonts w:hint="eastAsia" w:ascii="Times New Roman" w:hAnsi="Times New Roman" w:eastAsia="宋体"/>
              </w:rPr>
              <w:t>相应一级保护区陆域及二级保护区水域两岸向陆纵深1000米的陆域，但不超过防洪堤坝、乡道464邻水一侧路肩及流域分水岭范围。</w:t>
            </w:r>
          </w:p>
        </w:tc>
        <w:tc>
          <w:tcPr>
            <w:tcW w:w="1001" w:type="dxa"/>
            <w:tcBorders>
              <w:left w:val="single" w:color="auto" w:sz="4" w:space="0"/>
            </w:tcBorders>
            <w:vAlign w:val="center"/>
          </w:tcPr>
          <w:p w14:paraId="37E4E68B">
            <w:pPr>
              <w:pStyle w:val="40"/>
              <w:jc w:val="center"/>
              <w:rPr>
                <w:rFonts w:hint="eastAsia" w:ascii="Times New Roman" w:hAnsi="Times New Roman" w:eastAsia="宋体"/>
                <w:lang w:val="en-US" w:eastAsia="zh-CN"/>
              </w:rPr>
            </w:pPr>
            <w:r>
              <w:rPr>
                <w:rFonts w:hint="eastAsia" w:ascii="Times New Roman" w:hAnsi="Times New Roman" w:eastAsia="宋体"/>
              </w:rPr>
              <w:t>2.903</w:t>
            </w:r>
          </w:p>
        </w:tc>
      </w:tr>
    </w:tbl>
    <w:p w14:paraId="7AC96F98">
      <w:pPr>
        <w:pStyle w:val="19"/>
        <w:widowControl/>
        <w:spacing w:before="0" w:beforeAutospacing="0" w:after="0" w:afterAutospacing="0" w:line="400" w:lineRule="exact"/>
        <w:ind w:firstLine="420"/>
        <w:jc w:val="both"/>
        <w:rPr>
          <w:rFonts w:asciiTheme="majorEastAsia" w:hAnsiTheme="majorEastAsia" w:eastAsiaTheme="majorEastAsia" w:cstheme="majorEastAsia"/>
          <w:sz w:val="21"/>
          <w:szCs w:val="21"/>
        </w:rPr>
        <w:sectPr>
          <w:pgSz w:w="16838" w:h="11906" w:orient="landscape"/>
          <w:pgMar w:top="1803" w:right="1440" w:bottom="1803" w:left="1440" w:header="851" w:footer="992" w:gutter="0"/>
          <w:cols w:space="0" w:num="1"/>
          <w:docGrid w:type="lines" w:linePitch="319" w:charSpace="0"/>
        </w:sectPr>
      </w:pPr>
      <w:r>
        <w:rPr>
          <w:rFonts w:hint="eastAsia" w:asciiTheme="majorEastAsia" w:hAnsiTheme="majorEastAsia" w:eastAsiaTheme="majorEastAsia" w:cstheme="majorEastAsia"/>
          <w:sz w:val="21"/>
          <w:szCs w:val="21"/>
        </w:rPr>
        <w:t>注：数据来源于《</w:t>
      </w:r>
      <w:r>
        <w:rPr>
          <w:rFonts w:hint="eastAsia" w:asciiTheme="majorEastAsia" w:hAnsiTheme="majorEastAsia" w:eastAsiaTheme="majorEastAsia" w:cstheme="majorEastAsia"/>
          <w:sz w:val="21"/>
          <w:szCs w:val="21"/>
          <w:lang w:eastAsia="zh-CN"/>
        </w:rPr>
        <w:t>梅州市人民政府关于引发梅州市“千吨万人”乡镇及以下饮用水水源保护区调整划定方案的通知</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梅市府函</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2020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254</w:t>
      </w:r>
      <w:r>
        <w:rPr>
          <w:rFonts w:hint="eastAsia" w:asciiTheme="majorEastAsia" w:hAnsiTheme="majorEastAsia" w:eastAsiaTheme="majorEastAsia" w:cstheme="majorEastAsia"/>
          <w:sz w:val="21"/>
          <w:szCs w:val="21"/>
        </w:rPr>
        <w:t>号）。</w:t>
      </w:r>
    </w:p>
    <w:p w14:paraId="05355350">
      <w:pPr>
        <w:bidi w:val="0"/>
      </w:pPr>
      <w:r>
        <w:rPr>
          <w:b/>
          <w:bCs/>
        </w:rPr>
        <w:t>自然保护区：</w:t>
      </w:r>
      <w:r>
        <w:t>梅县区目前共有各级自然保护区10个，各保护区基本情况及批复文件见表3。</w:t>
      </w:r>
    </w:p>
    <w:p w14:paraId="06469F00">
      <w:pPr>
        <w:pStyle w:val="41"/>
        <w:bidi w:val="0"/>
        <w:rPr>
          <w:rFonts w:hint="default"/>
        </w:rPr>
      </w:pPr>
      <w:r>
        <w:t>表3 梅县区各级自然保护区情况统计表</w:t>
      </w:r>
    </w:p>
    <w:tbl>
      <w:tblPr>
        <w:tblStyle w:val="22"/>
        <w:tblW w:w="4988" w:type="pct"/>
        <w:tblInd w:w="0" w:type="dxa"/>
        <w:tblLayout w:type="autofit"/>
        <w:tblCellMar>
          <w:top w:w="0" w:type="dxa"/>
          <w:left w:w="108" w:type="dxa"/>
          <w:bottom w:w="0" w:type="dxa"/>
          <w:right w:w="108" w:type="dxa"/>
        </w:tblCellMar>
      </w:tblPr>
      <w:tblGrid>
        <w:gridCol w:w="471"/>
        <w:gridCol w:w="1866"/>
        <w:gridCol w:w="471"/>
        <w:gridCol w:w="724"/>
        <w:gridCol w:w="726"/>
        <w:gridCol w:w="726"/>
        <w:gridCol w:w="1231"/>
        <w:gridCol w:w="1581"/>
        <w:gridCol w:w="726"/>
      </w:tblGrid>
      <w:tr w14:paraId="4415F01D">
        <w:tblPrEx>
          <w:tblCellMar>
            <w:top w:w="0" w:type="dxa"/>
            <w:left w:w="108" w:type="dxa"/>
            <w:bottom w:w="0" w:type="dxa"/>
            <w:right w:w="108" w:type="dxa"/>
          </w:tblCellMar>
        </w:tblPrEx>
        <w:trPr>
          <w:trHeight w:val="440" w:hRule="atLeast"/>
        </w:trPr>
        <w:tc>
          <w:tcPr>
            <w:tcW w:w="2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5E0174">
            <w:pPr>
              <w:pStyle w:val="40"/>
              <w:rPr>
                <w:rFonts w:hint="default" w:ascii="Times New Roman" w:hAnsi="Times New Roman"/>
                <w:b/>
                <w:bCs/>
              </w:rPr>
            </w:pPr>
            <w:r>
              <w:rPr>
                <w:rFonts w:ascii="Times New Roman" w:hAnsi="Times New Roman"/>
                <w:b/>
                <w:bCs/>
              </w:rPr>
              <w:t>序号</w:t>
            </w:r>
          </w:p>
        </w:tc>
        <w:tc>
          <w:tcPr>
            <w:tcW w:w="112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04F6562">
            <w:pPr>
              <w:pStyle w:val="40"/>
              <w:rPr>
                <w:rFonts w:hint="default" w:ascii="Times New Roman" w:hAnsi="Times New Roman"/>
                <w:b/>
                <w:bCs/>
              </w:rPr>
            </w:pPr>
            <w:r>
              <w:rPr>
                <w:rFonts w:ascii="Times New Roman" w:hAnsi="Times New Roman"/>
                <w:b/>
                <w:bCs/>
              </w:rPr>
              <w:t>自然保护区名称</w:t>
            </w:r>
          </w:p>
        </w:tc>
        <w:tc>
          <w:tcPr>
            <w:tcW w:w="28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FB3C22">
            <w:pPr>
              <w:pStyle w:val="40"/>
              <w:rPr>
                <w:rFonts w:hint="default" w:ascii="Times New Roman" w:hAnsi="Times New Roman"/>
                <w:b/>
                <w:bCs/>
              </w:rPr>
            </w:pPr>
            <w:r>
              <w:rPr>
                <w:rFonts w:ascii="Times New Roman" w:hAnsi="Times New Roman"/>
                <w:b/>
                <w:bCs/>
              </w:rPr>
              <w:t>级别</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AEE267">
            <w:pPr>
              <w:pStyle w:val="40"/>
              <w:rPr>
                <w:rFonts w:hint="default" w:ascii="Times New Roman" w:hAnsi="Times New Roman"/>
                <w:b/>
                <w:bCs/>
              </w:rPr>
            </w:pPr>
            <w:r>
              <w:rPr>
                <w:rFonts w:ascii="Times New Roman" w:hAnsi="Times New Roman"/>
                <w:b/>
                <w:bCs/>
              </w:rPr>
              <w:t>类型</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D30E43">
            <w:pPr>
              <w:pStyle w:val="40"/>
              <w:rPr>
                <w:rFonts w:hint="default" w:ascii="Times New Roman" w:hAnsi="Times New Roman"/>
                <w:b/>
                <w:bCs/>
              </w:rPr>
            </w:pPr>
            <w:r>
              <w:rPr>
                <w:rFonts w:ascii="Times New Roman" w:hAnsi="Times New Roman"/>
                <w:b/>
                <w:bCs/>
              </w:rPr>
              <w:t>行政区域</w:t>
            </w:r>
          </w:p>
        </w:tc>
        <w:tc>
          <w:tcPr>
            <w:tcW w:w="433" w:type="pct"/>
            <w:tcBorders>
              <w:top w:val="single" w:color="auto" w:sz="4" w:space="0"/>
              <w:left w:val="nil"/>
              <w:bottom w:val="single" w:color="auto" w:sz="4" w:space="0"/>
              <w:right w:val="single" w:color="auto" w:sz="4" w:space="0"/>
            </w:tcBorders>
            <w:shd w:val="clear" w:color="auto" w:fill="auto"/>
            <w:noWrap/>
            <w:vAlign w:val="center"/>
          </w:tcPr>
          <w:p w14:paraId="04EDE479">
            <w:pPr>
              <w:pStyle w:val="40"/>
              <w:rPr>
                <w:rFonts w:hint="default" w:ascii="Times New Roman" w:hAnsi="Times New Roman"/>
                <w:b/>
                <w:bCs/>
              </w:rPr>
            </w:pPr>
            <w:r>
              <w:rPr>
                <w:rFonts w:ascii="Times New Roman" w:hAnsi="Times New Roman"/>
                <w:b/>
                <w:bCs/>
              </w:rPr>
              <w:t>面积</w:t>
            </w:r>
          </w:p>
        </w:tc>
        <w:tc>
          <w:tcPr>
            <w:tcW w:w="7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43D3C6">
            <w:pPr>
              <w:pStyle w:val="40"/>
              <w:rPr>
                <w:rFonts w:hint="default" w:ascii="Times New Roman" w:hAnsi="Times New Roman"/>
                <w:b/>
                <w:bCs/>
              </w:rPr>
            </w:pPr>
            <w:r>
              <w:rPr>
                <w:rFonts w:ascii="Times New Roman" w:hAnsi="Times New Roman"/>
                <w:b/>
                <w:bCs/>
              </w:rPr>
              <w:t>主要保护对象</w:t>
            </w:r>
          </w:p>
        </w:tc>
        <w:tc>
          <w:tcPr>
            <w:tcW w:w="8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746BA56">
            <w:pPr>
              <w:pStyle w:val="40"/>
              <w:rPr>
                <w:rFonts w:hint="default" w:ascii="Times New Roman" w:hAnsi="Times New Roman"/>
                <w:b/>
                <w:bCs/>
              </w:rPr>
            </w:pPr>
            <w:r>
              <w:rPr>
                <w:rFonts w:ascii="Times New Roman" w:hAnsi="Times New Roman"/>
                <w:b/>
                <w:bCs/>
              </w:rPr>
              <w:t>批准文号</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4B934C">
            <w:pPr>
              <w:pStyle w:val="40"/>
              <w:rPr>
                <w:rFonts w:hint="default" w:ascii="Times New Roman" w:hAnsi="Times New Roman"/>
                <w:b/>
                <w:bCs/>
              </w:rPr>
            </w:pPr>
            <w:r>
              <w:rPr>
                <w:rFonts w:ascii="Times New Roman" w:hAnsi="Times New Roman"/>
                <w:b/>
                <w:bCs/>
              </w:rPr>
              <w:t>建立时间</w:t>
            </w:r>
          </w:p>
        </w:tc>
      </w:tr>
      <w:tr w14:paraId="2DF55065">
        <w:tblPrEx>
          <w:tblCellMar>
            <w:top w:w="0" w:type="dxa"/>
            <w:left w:w="108" w:type="dxa"/>
            <w:bottom w:w="0" w:type="dxa"/>
            <w:right w:w="108" w:type="dxa"/>
          </w:tblCellMar>
        </w:tblPrEx>
        <w:trPr>
          <w:trHeight w:val="857" w:hRule="atLeast"/>
        </w:trPr>
        <w:tc>
          <w:tcPr>
            <w:tcW w:w="280" w:type="pct"/>
            <w:vMerge w:val="continue"/>
            <w:tcBorders>
              <w:top w:val="single" w:color="auto" w:sz="4" w:space="0"/>
              <w:left w:val="single" w:color="auto" w:sz="4" w:space="0"/>
              <w:bottom w:val="single" w:color="auto" w:sz="4" w:space="0"/>
              <w:right w:val="single" w:color="auto" w:sz="4" w:space="0"/>
            </w:tcBorders>
            <w:vAlign w:val="center"/>
          </w:tcPr>
          <w:p w14:paraId="097DE926">
            <w:pPr>
              <w:pStyle w:val="40"/>
              <w:rPr>
                <w:rFonts w:hint="default" w:ascii="Times New Roman" w:hAnsi="Times New Roman"/>
              </w:rPr>
            </w:pPr>
          </w:p>
        </w:tc>
        <w:tc>
          <w:tcPr>
            <w:tcW w:w="1120" w:type="pct"/>
            <w:vMerge w:val="continue"/>
            <w:tcBorders>
              <w:top w:val="single" w:color="auto" w:sz="4" w:space="0"/>
              <w:left w:val="single" w:color="auto" w:sz="4" w:space="0"/>
              <w:bottom w:val="single" w:color="auto" w:sz="4" w:space="0"/>
              <w:right w:val="single" w:color="auto" w:sz="4" w:space="0"/>
            </w:tcBorders>
            <w:vAlign w:val="center"/>
          </w:tcPr>
          <w:p w14:paraId="26EE036E">
            <w:pPr>
              <w:pStyle w:val="40"/>
              <w:rPr>
                <w:rFonts w:hint="default" w:ascii="Times New Roman" w:hAnsi="Times New Roman"/>
              </w:rPr>
            </w:pPr>
          </w:p>
        </w:tc>
        <w:tc>
          <w:tcPr>
            <w:tcW w:w="280" w:type="pct"/>
            <w:vMerge w:val="continue"/>
            <w:tcBorders>
              <w:top w:val="single" w:color="auto" w:sz="4" w:space="0"/>
              <w:left w:val="single" w:color="auto" w:sz="4" w:space="0"/>
              <w:bottom w:val="single" w:color="auto" w:sz="4" w:space="0"/>
              <w:right w:val="single" w:color="auto" w:sz="4" w:space="0"/>
            </w:tcBorders>
            <w:vAlign w:val="center"/>
          </w:tcPr>
          <w:p w14:paraId="627A8904">
            <w:pPr>
              <w:pStyle w:val="40"/>
              <w:rPr>
                <w:rFonts w:hint="default" w:ascii="Times New Roman" w:hAnsi="Times New Roman"/>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304CB014">
            <w:pPr>
              <w:pStyle w:val="40"/>
              <w:rPr>
                <w:rFonts w:hint="default" w:ascii="Times New Roman" w:hAnsi="Times New Roman"/>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3AD74678">
            <w:pPr>
              <w:pStyle w:val="40"/>
              <w:rPr>
                <w:rFonts w:hint="default" w:ascii="Times New Roman" w:hAnsi="Times New Roman"/>
                <w:b/>
                <w:bCs/>
              </w:rPr>
            </w:pPr>
          </w:p>
        </w:tc>
        <w:tc>
          <w:tcPr>
            <w:tcW w:w="433" w:type="pct"/>
            <w:tcBorders>
              <w:top w:val="nil"/>
              <w:left w:val="nil"/>
              <w:bottom w:val="single" w:color="auto" w:sz="4" w:space="0"/>
              <w:right w:val="single" w:color="auto" w:sz="4" w:space="0"/>
            </w:tcBorders>
            <w:shd w:val="clear" w:color="auto" w:fill="auto"/>
            <w:noWrap/>
            <w:vAlign w:val="center"/>
          </w:tcPr>
          <w:p w14:paraId="010EA962">
            <w:pPr>
              <w:pStyle w:val="40"/>
              <w:rPr>
                <w:rFonts w:hint="default" w:ascii="Times New Roman" w:hAnsi="Times New Roman"/>
                <w:b/>
                <w:bCs/>
              </w:rPr>
            </w:pPr>
            <w:r>
              <w:rPr>
                <w:rFonts w:ascii="Times New Roman" w:hAnsi="Times New Roman"/>
                <w:b/>
                <w:bCs/>
              </w:rPr>
              <w:t>（公顷）</w:t>
            </w:r>
          </w:p>
        </w:tc>
        <w:tc>
          <w:tcPr>
            <w:tcW w:w="737" w:type="pct"/>
            <w:vMerge w:val="continue"/>
            <w:tcBorders>
              <w:top w:val="single" w:color="auto" w:sz="4" w:space="0"/>
              <w:left w:val="single" w:color="auto" w:sz="4" w:space="0"/>
              <w:bottom w:val="single" w:color="auto" w:sz="4" w:space="0"/>
              <w:right w:val="single" w:color="auto" w:sz="4" w:space="0"/>
            </w:tcBorders>
            <w:vAlign w:val="center"/>
          </w:tcPr>
          <w:p w14:paraId="43A08C7A">
            <w:pPr>
              <w:pStyle w:val="40"/>
              <w:rPr>
                <w:rFonts w:hint="default" w:ascii="Times New Roman" w:hAnsi="Times New Roman"/>
              </w:rPr>
            </w:pPr>
          </w:p>
        </w:tc>
        <w:tc>
          <w:tcPr>
            <w:tcW w:w="846" w:type="pct"/>
            <w:vMerge w:val="continue"/>
            <w:tcBorders>
              <w:top w:val="single" w:color="auto" w:sz="4" w:space="0"/>
              <w:left w:val="single" w:color="auto" w:sz="4" w:space="0"/>
              <w:bottom w:val="single" w:color="auto" w:sz="4" w:space="0"/>
              <w:right w:val="single" w:color="auto" w:sz="4" w:space="0"/>
            </w:tcBorders>
            <w:vAlign w:val="center"/>
          </w:tcPr>
          <w:p w14:paraId="54A9AFF5">
            <w:pPr>
              <w:pStyle w:val="40"/>
              <w:rPr>
                <w:rFonts w:hint="default" w:ascii="Times New Roman" w:hAnsi="Times New Roman"/>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273403D7">
            <w:pPr>
              <w:pStyle w:val="40"/>
              <w:rPr>
                <w:rFonts w:hint="default" w:ascii="Times New Roman" w:hAnsi="Times New Roman"/>
              </w:rPr>
            </w:pPr>
          </w:p>
        </w:tc>
      </w:tr>
      <w:tr w14:paraId="2D32D484">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000000" w:fill="FFFFFF"/>
            <w:noWrap/>
            <w:vAlign w:val="center"/>
          </w:tcPr>
          <w:p w14:paraId="46E0E54D">
            <w:pPr>
              <w:pStyle w:val="40"/>
              <w:rPr>
                <w:rFonts w:hint="default" w:ascii="Times New Roman" w:hAnsi="Times New Roman"/>
              </w:rPr>
            </w:pPr>
            <w:r>
              <w:rPr>
                <w:rFonts w:ascii="Times New Roman" w:hAnsi="Times New Roman"/>
              </w:rPr>
              <w:t>1</w:t>
            </w:r>
          </w:p>
        </w:tc>
        <w:tc>
          <w:tcPr>
            <w:tcW w:w="1120" w:type="pct"/>
            <w:tcBorders>
              <w:top w:val="nil"/>
              <w:left w:val="nil"/>
              <w:bottom w:val="single" w:color="auto" w:sz="4" w:space="0"/>
              <w:right w:val="single" w:color="auto" w:sz="4" w:space="0"/>
            </w:tcBorders>
            <w:shd w:val="clear" w:color="000000" w:fill="FFFFFF"/>
            <w:noWrap/>
            <w:vAlign w:val="center"/>
          </w:tcPr>
          <w:p w14:paraId="6561C1B2">
            <w:pPr>
              <w:pStyle w:val="40"/>
              <w:rPr>
                <w:rFonts w:hint="default" w:ascii="Times New Roman" w:hAnsi="Times New Roman"/>
              </w:rPr>
            </w:pPr>
            <w:r>
              <w:rPr>
                <w:rFonts w:ascii="Times New Roman" w:hAnsi="Times New Roman"/>
              </w:rPr>
              <w:t>广东阴那山省级自然保护区</w:t>
            </w:r>
          </w:p>
        </w:tc>
        <w:tc>
          <w:tcPr>
            <w:tcW w:w="280" w:type="pct"/>
            <w:tcBorders>
              <w:top w:val="nil"/>
              <w:left w:val="nil"/>
              <w:bottom w:val="single" w:color="auto" w:sz="4" w:space="0"/>
              <w:right w:val="single" w:color="auto" w:sz="4" w:space="0"/>
            </w:tcBorders>
            <w:shd w:val="clear" w:color="000000" w:fill="FFFFFF"/>
            <w:noWrap/>
            <w:vAlign w:val="center"/>
          </w:tcPr>
          <w:p w14:paraId="66923526">
            <w:pPr>
              <w:pStyle w:val="40"/>
              <w:rPr>
                <w:rFonts w:hint="default" w:ascii="Times New Roman" w:hAnsi="Times New Roman"/>
              </w:rPr>
            </w:pPr>
            <w:r>
              <w:rPr>
                <w:rFonts w:ascii="Times New Roman" w:hAnsi="Times New Roman"/>
              </w:rPr>
              <w:t>省级</w:t>
            </w:r>
          </w:p>
        </w:tc>
        <w:tc>
          <w:tcPr>
            <w:tcW w:w="432" w:type="pct"/>
            <w:tcBorders>
              <w:top w:val="nil"/>
              <w:left w:val="nil"/>
              <w:bottom w:val="single" w:color="auto" w:sz="4" w:space="0"/>
              <w:right w:val="single" w:color="auto" w:sz="4" w:space="0"/>
            </w:tcBorders>
            <w:shd w:val="clear" w:color="000000" w:fill="FFFFFF"/>
            <w:noWrap/>
            <w:vAlign w:val="center"/>
          </w:tcPr>
          <w:p w14:paraId="66AA00A3">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000000" w:fill="FFFFFF"/>
            <w:noWrap/>
            <w:vAlign w:val="center"/>
          </w:tcPr>
          <w:p w14:paraId="06E7F5E4">
            <w:pPr>
              <w:pStyle w:val="40"/>
              <w:rPr>
                <w:rFonts w:hint="default" w:ascii="Times New Roman" w:hAnsi="Times New Roman"/>
              </w:rPr>
            </w:pPr>
            <w:r>
              <w:rPr>
                <w:rFonts w:ascii="Times New Roman" w:hAnsi="Times New Roman"/>
              </w:rPr>
              <w:t>梅县雁洋</w:t>
            </w:r>
          </w:p>
        </w:tc>
        <w:tc>
          <w:tcPr>
            <w:tcW w:w="433" w:type="pct"/>
            <w:tcBorders>
              <w:top w:val="nil"/>
              <w:left w:val="nil"/>
              <w:bottom w:val="single" w:color="auto" w:sz="4" w:space="0"/>
              <w:right w:val="single" w:color="auto" w:sz="4" w:space="0"/>
            </w:tcBorders>
            <w:shd w:val="clear" w:color="000000" w:fill="FFFFFF"/>
            <w:noWrap/>
            <w:vAlign w:val="center"/>
          </w:tcPr>
          <w:p w14:paraId="39409B3A">
            <w:pPr>
              <w:pStyle w:val="40"/>
              <w:rPr>
                <w:rFonts w:hint="default" w:ascii="Times New Roman" w:hAnsi="Times New Roman"/>
              </w:rPr>
            </w:pPr>
            <w:r>
              <w:rPr>
                <w:rFonts w:ascii="Times New Roman" w:hAnsi="Times New Roman"/>
              </w:rPr>
              <w:t>2566</w:t>
            </w:r>
          </w:p>
        </w:tc>
        <w:tc>
          <w:tcPr>
            <w:tcW w:w="737" w:type="pct"/>
            <w:tcBorders>
              <w:top w:val="nil"/>
              <w:left w:val="nil"/>
              <w:bottom w:val="single" w:color="auto" w:sz="4" w:space="0"/>
              <w:right w:val="single" w:color="auto" w:sz="4" w:space="0"/>
            </w:tcBorders>
            <w:shd w:val="clear" w:color="000000" w:fill="FFFFFF"/>
            <w:noWrap/>
            <w:vAlign w:val="center"/>
          </w:tcPr>
          <w:p w14:paraId="717632AC">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000000" w:fill="FFFFFF"/>
            <w:noWrap/>
            <w:vAlign w:val="center"/>
          </w:tcPr>
          <w:p w14:paraId="6E4296AA">
            <w:pPr>
              <w:pStyle w:val="40"/>
              <w:rPr>
                <w:rFonts w:hint="default" w:ascii="Times New Roman" w:hAnsi="Times New Roman"/>
              </w:rPr>
            </w:pPr>
            <w:r>
              <w:rPr>
                <w:rFonts w:ascii="Times New Roman" w:hAnsi="Times New Roman"/>
              </w:rPr>
              <w:t>粤府办函〔1985〕495号</w:t>
            </w:r>
          </w:p>
        </w:tc>
        <w:tc>
          <w:tcPr>
            <w:tcW w:w="433" w:type="pct"/>
            <w:tcBorders>
              <w:top w:val="nil"/>
              <w:left w:val="nil"/>
              <w:bottom w:val="single" w:color="auto" w:sz="4" w:space="0"/>
              <w:right w:val="single" w:color="auto" w:sz="4" w:space="0"/>
            </w:tcBorders>
            <w:shd w:val="clear" w:color="000000" w:fill="FFFFFF"/>
            <w:noWrap/>
            <w:vAlign w:val="center"/>
          </w:tcPr>
          <w:p w14:paraId="3397A6F9">
            <w:pPr>
              <w:pStyle w:val="40"/>
              <w:rPr>
                <w:rFonts w:hint="default" w:ascii="Times New Roman" w:hAnsi="Times New Roman"/>
              </w:rPr>
            </w:pPr>
            <w:r>
              <w:rPr>
                <w:rFonts w:ascii="Times New Roman" w:hAnsi="Times New Roman"/>
              </w:rPr>
              <w:t>1985</w:t>
            </w:r>
          </w:p>
        </w:tc>
      </w:tr>
      <w:tr w14:paraId="0325E6A0">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176BD866">
            <w:pPr>
              <w:pStyle w:val="40"/>
              <w:rPr>
                <w:rFonts w:hint="default" w:ascii="Times New Roman" w:hAnsi="Times New Roman"/>
              </w:rPr>
            </w:pPr>
            <w:r>
              <w:rPr>
                <w:rFonts w:ascii="Times New Roman" w:hAnsi="Times New Roman"/>
              </w:rPr>
              <w:t>2</w:t>
            </w:r>
          </w:p>
        </w:tc>
        <w:tc>
          <w:tcPr>
            <w:tcW w:w="1120" w:type="pct"/>
            <w:tcBorders>
              <w:top w:val="nil"/>
              <w:left w:val="nil"/>
              <w:bottom w:val="single" w:color="auto" w:sz="4" w:space="0"/>
              <w:right w:val="single" w:color="auto" w:sz="4" w:space="0"/>
            </w:tcBorders>
            <w:shd w:val="clear" w:color="auto" w:fill="auto"/>
            <w:noWrap/>
            <w:vAlign w:val="center"/>
          </w:tcPr>
          <w:p w14:paraId="43A54B69">
            <w:pPr>
              <w:pStyle w:val="40"/>
              <w:rPr>
                <w:rFonts w:hint="default" w:ascii="Times New Roman" w:hAnsi="Times New Roman"/>
              </w:rPr>
            </w:pPr>
            <w:r>
              <w:rPr>
                <w:rFonts w:ascii="Times New Roman" w:hAnsi="Times New Roman"/>
              </w:rPr>
              <w:t>梅县尖石笔自然保护区</w:t>
            </w:r>
          </w:p>
        </w:tc>
        <w:tc>
          <w:tcPr>
            <w:tcW w:w="280" w:type="pct"/>
            <w:tcBorders>
              <w:top w:val="nil"/>
              <w:left w:val="nil"/>
              <w:bottom w:val="single" w:color="auto" w:sz="4" w:space="0"/>
              <w:right w:val="single" w:color="auto" w:sz="4" w:space="0"/>
            </w:tcBorders>
            <w:shd w:val="clear" w:color="auto" w:fill="auto"/>
            <w:noWrap/>
            <w:vAlign w:val="center"/>
          </w:tcPr>
          <w:p w14:paraId="434AF76B">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14:paraId="41C03438">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733F1AB0">
            <w:pPr>
              <w:pStyle w:val="40"/>
              <w:rPr>
                <w:rFonts w:hint="default" w:ascii="Times New Roman" w:hAnsi="Times New Roman"/>
              </w:rPr>
            </w:pPr>
            <w:r>
              <w:rPr>
                <w:rFonts w:ascii="Times New Roman" w:hAnsi="Times New Roman"/>
              </w:rPr>
              <w:t>梅县大坪</w:t>
            </w:r>
          </w:p>
        </w:tc>
        <w:tc>
          <w:tcPr>
            <w:tcW w:w="433" w:type="pct"/>
            <w:tcBorders>
              <w:top w:val="nil"/>
              <w:left w:val="nil"/>
              <w:bottom w:val="single" w:color="auto" w:sz="4" w:space="0"/>
              <w:right w:val="single" w:color="auto" w:sz="4" w:space="0"/>
            </w:tcBorders>
            <w:shd w:val="clear" w:color="auto" w:fill="auto"/>
            <w:noWrap/>
            <w:vAlign w:val="center"/>
          </w:tcPr>
          <w:p w14:paraId="3F9F5732">
            <w:pPr>
              <w:pStyle w:val="40"/>
              <w:rPr>
                <w:rFonts w:hint="default" w:ascii="Times New Roman" w:hAnsi="Times New Roman"/>
              </w:rPr>
            </w:pPr>
            <w:r>
              <w:rPr>
                <w:rFonts w:ascii="Times New Roman" w:hAnsi="Times New Roman"/>
              </w:rPr>
              <w:t>633</w:t>
            </w:r>
          </w:p>
        </w:tc>
        <w:tc>
          <w:tcPr>
            <w:tcW w:w="737" w:type="pct"/>
            <w:tcBorders>
              <w:top w:val="nil"/>
              <w:left w:val="nil"/>
              <w:bottom w:val="single" w:color="auto" w:sz="4" w:space="0"/>
              <w:right w:val="single" w:color="auto" w:sz="4" w:space="0"/>
            </w:tcBorders>
            <w:shd w:val="clear" w:color="auto" w:fill="auto"/>
            <w:noWrap/>
            <w:vAlign w:val="center"/>
          </w:tcPr>
          <w:p w14:paraId="281FDC1F">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14:paraId="4002EE3D">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14:paraId="40EE1DA7">
            <w:pPr>
              <w:pStyle w:val="40"/>
              <w:rPr>
                <w:rFonts w:hint="default" w:ascii="Times New Roman" w:hAnsi="Times New Roman"/>
              </w:rPr>
            </w:pPr>
            <w:r>
              <w:rPr>
                <w:rFonts w:ascii="Times New Roman" w:hAnsi="Times New Roman"/>
              </w:rPr>
              <w:t>2000</w:t>
            </w:r>
          </w:p>
        </w:tc>
      </w:tr>
      <w:tr w14:paraId="687454EC">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41577165">
            <w:pPr>
              <w:pStyle w:val="40"/>
              <w:rPr>
                <w:rFonts w:hint="default" w:ascii="Times New Roman" w:hAnsi="Times New Roman"/>
              </w:rPr>
            </w:pPr>
            <w:r>
              <w:rPr>
                <w:rFonts w:ascii="Times New Roman" w:hAnsi="Times New Roman"/>
              </w:rPr>
              <w:t>3</w:t>
            </w:r>
          </w:p>
        </w:tc>
        <w:tc>
          <w:tcPr>
            <w:tcW w:w="1120" w:type="pct"/>
            <w:tcBorders>
              <w:top w:val="nil"/>
              <w:left w:val="nil"/>
              <w:bottom w:val="single" w:color="auto" w:sz="4" w:space="0"/>
              <w:right w:val="single" w:color="auto" w:sz="4" w:space="0"/>
            </w:tcBorders>
            <w:shd w:val="clear" w:color="auto" w:fill="auto"/>
            <w:noWrap/>
            <w:vAlign w:val="center"/>
          </w:tcPr>
          <w:p w14:paraId="2BC134E9">
            <w:pPr>
              <w:pStyle w:val="40"/>
              <w:rPr>
                <w:rFonts w:hint="default" w:ascii="Times New Roman" w:hAnsi="Times New Roman"/>
              </w:rPr>
            </w:pPr>
            <w:r>
              <w:rPr>
                <w:rFonts w:ascii="Times New Roman" w:hAnsi="Times New Roman"/>
              </w:rPr>
              <w:t>梅县王寿山自然保护区</w:t>
            </w:r>
          </w:p>
        </w:tc>
        <w:tc>
          <w:tcPr>
            <w:tcW w:w="280" w:type="pct"/>
            <w:tcBorders>
              <w:top w:val="nil"/>
              <w:left w:val="nil"/>
              <w:bottom w:val="single" w:color="auto" w:sz="4" w:space="0"/>
              <w:right w:val="single" w:color="auto" w:sz="4" w:space="0"/>
            </w:tcBorders>
            <w:shd w:val="clear" w:color="auto" w:fill="auto"/>
            <w:noWrap/>
            <w:vAlign w:val="center"/>
          </w:tcPr>
          <w:p w14:paraId="3139A5F7">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14:paraId="77C0D2AC">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1677E219">
            <w:pPr>
              <w:pStyle w:val="40"/>
              <w:rPr>
                <w:rFonts w:hint="default" w:ascii="Times New Roman" w:hAnsi="Times New Roman"/>
              </w:rPr>
            </w:pPr>
            <w:r>
              <w:rPr>
                <w:rFonts w:ascii="Times New Roman" w:hAnsi="Times New Roman"/>
              </w:rPr>
              <w:t>梅县桃尧</w:t>
            </w:r>
          </w:p>
        </w:tc>
        <w:tc>
          <w:tcPr>
            <w:tcW w:w="433" w:type="pct"/>
            <w:tcBorders>
              <w:top w:val="nil"/>
              <w:left w:val="nil"/>
              <w:bottom w:val="single" w:color="auto" w:sz="4" w:space="0"/>
              <w:right w:val="single" w:color="auto" w:sz="4" w:space="0"/>
            </w:tcBorders>
            <w:shd w:val="clear" w:color="auto" w:fill="auto"/>
            <w:noWrap/>
            <w:vAlign w:val="center"/>
          </w:tcPr>
          <w:p w14:paraId="6300A2FB">
            <w:pPr>
              <w:pStyle w:val="40"/>
              <w:rPr>
                <w:rFonts w:hint="default" w:ascii="Times New Roman" w:hAnsi="Times New Roman"/>
              </w:rPr>
            </w:pPr>
            <w:r>
              <w:rPr>
                <w:rFonts w:ascii="Times New Roman" w:hAnsi="Times New Roman"/>
              </w:rPr>
              <w:t>707</w:t>
            </w:r>
          </w:p>
        </w:tc>
        <w:tc>
          <w:tcPr>
            <w:tcW w:w="737" w:type="pct"/>
            <w:tcBorders>
              <w:top w:val="nil"/>
              <w:left w:val="nil"/>
              <w:bottom w:val="single" w:color="auto" w:sz="4" w:space="0"/>
              <w:right w:val="single" w:color="auto" w:sz="4" w:space="0"/>
            </w:tcBorders>
            <w:shd w:val="clear" w:color="auto" w:fill="auto"/>
            <w:noWrap/>
            <w:vAlign w:val="center"/>
          </w:tcPr>
          <w:p w14:paraId="0E27B7FA">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14:paraId="020AFABF">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14:paraId="5060B47E">
            <w:pPr>
              <w:pStyle w:val="40"/>
              <w:rPr>
                <w:rFonts w:hint="default" w:ascii="Times New Roman" w:hAnsi="Times New Roman"/>
              </w:rPr>
            </w:pPr>
            <w:r>
              <w:rPr>
                <w:rFonts w:ascii="Times New Roman" w:hAnsi="Times New Roman"/>
              </w:rPr>
              <w:t>2000</w:t>
            </w:r>
          </w:p>
        </w:tc>
      </w:tr>
      <w:tr w14:paraId="19CA4CF3">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7CF51B09">
            <w:pPr>
              <w:pStyle w:val="40"/>
              <w:rPr>
                <w:rFonts w:hint="default" w:ascii="Times New Roman" w:hAnsi="Times New Roman"/>
              </w:rPr>
            </w:pPr>
            <w:r>
              <w:rPr>
                <w:rFonts w:ascii="Times New Roman" w:hAnsi="Times New Roman"/>
              </w:rPr>
              <w:t>4</w:t>
            </w:r>
          </w:p>
        </w:tc>
        <w:tc>
          <w:tcPr>
            <w:tcW w:w="1120" w:type="pct"/>
            <w:tcBorders>
              <w:top w:val="nil"/>
              <w:left w:val="nil"/>
              <w:bottom w:val="single" w:color="auto" w:sz="4" w:space="0"/>
              <w:right w:val="single" w:color="auto" w:sz="4" w:space="0"/>
            </w:tcBorders>
            <w:shd w:val="clear" w:color="auto" w:fill="auto"/>
            <w:noWrap/>
            <w:vAlign w:val="center"/>
          </w:tcPr>
          <w:p w14:paraId="7BE59E12">
            <w:pPr>
              <w:pStyle w:val="40"/>
              <w:rPr>
                <w:rFonts w:hint="default" w:ascii="Times New Roman" w:hAnsi="Times New Roman"/>
              </w:rPr>
            </w:pPr>
            <w:r>
              <w:rPr>
                <w:rFonts w:ascii="Times New Roman" w:hAnsi="Times New Roman"/>
              </w:rPr>
              <w:t>梅县佛子高自然保护区</w:t>
            </w:r>
          </w:p>
        </w:tc>
        <w:tc>
          <w:tcPr>
            <w:tcW w:w="280" w:type="pct"/>
            <w:tcBorders>
              <w:top w:val="nil"/>
              <w:left w:val="nil"/>
              <w:bottom w:val="single" w:color="auto" w:sz="4" w:space="0"/>
              <w:right w:val="single" w:color="auto" w:sz="4" w:space="0"/>
            </w:tcBorders>
            <w:shd w:val="clear" w:color="auto" w:fill="auto"/>
            <w:noWrap/>
            <w:vAlign w:val="center"/>
          </w:tcPr>
          <w:p w14:paraId="41CDBCCD">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14:paraId="6D37FCEC">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2F7BD948">
            <w:pPr>
              <w:pStyle w:val="40"/>
              <w:rPr>
                <w:rFonts w:hint="default" w:ascii="Times New Roman" w:hAnsi="Times New Roman"/>
              </w:rPr>
            </w:pPr>
            <w:r>
              <w:rPr>
                <w:rFonts w:ascii="Times New Roman" w:hAnsi="Times New Roman"/>
              </w:rPr>
              <w:t>梅县城东</w:t>
            </w:r>
          </w:p>
        </w:tc>
        <w:tc>
          <w:tcPr>
            <w:tcW w:w="433" w:type="pct"/>
            <w:tcBorders>
              <w:top w:val="nil"/>
              <w:left w:val="nil"/>
              <w:bottom w:val="single" w:color="auto" w:sz="4" w:space="0"/>
              <w:right w:val="single" w:color="auto" w:sz="4" w:space="0"/>
            </w:tcBorders>
            <w:shd w:val="clear" w:color="auto" w:fill="auto"/>
            <w:noWrap/>
            <w:vAlign w:val="center"/>
          </w:tcPr>
          <w:p w14:paraId="41B9E44F">
            <w:pPr>
              <w:pStyle w:val="40"/>
              <w:rPr>
                <w:rFonts w:hint="default" w:ascii="Times New Roman" w:hAnsi="Times New Roman"/>
              </w:rPr>
            </w:pPr>
            <w:r>
              <w:rPr>
                <w:rFonts w:ascii="Times New Roman" w:hAnsi="Times New Roman"/>
              </w:rPr>
              <w:t>1740</w:t>
            </w:r>
          </w:p>
        </w:tc>
        <w:tc>
          <w:tcPr>
            <w:tcW w:w="737" w:type="pct"/>
            <w:tcBorders>
              <w:top w:val="nil"/>
              <w:left w:val="nil"/>
              <w:bottom w:val="single" w:color="auto" w:sz="4" w:space="0"/>
              <w:right w:val="single" w:color="auto" w:sz="4" w:space="0"/>
            </w:tcBorders>
            <w:shd w:val="clear" w:color="auto" w:fill="auto"/>
            <w:noWrap/>
            <w:vAlign w:val="center"/>
          </w:tcPr>
          <w:p w14:paraId="49C75F8A">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14:paraId="5669F720">
            <w:pPr>
              <w:pStyle w:val="40"/>
              <w:rPr>
                <w:rFonts w:hint="default" w:ascii="Times New Roman" w:hAnsi="Times New Roman"/>
              </w:rPr>
            </w:pPr>
            <w:r>
              <w:rPr>
                <w:rFonts w:ascii="Times New Roman" w:hAnsi="Times New Roman"/>
              </w:rPr>
              <w:t>梅市府函〔2000〕6号</w:t>
            </w:r>
          </w:p>
        </w:tc>
        <w:tc>
          <w:tcPr>
            <w:tcW w:w="433" w:type="pct"/>
            <w:tcBorders>
              <w:top w:val="nil"/>
              <w:left w:val="nil"/>
              <w:bottom w:val="single" w:color="auto" w:sz="4" w:space="0"/>
              <w:right w:val="single" w:color="auto" w:sz="4" w:space="0"/>
            </w:tcBorders>
            <w:shd w:val="clear" w:color="auto" w:fill="auto"/>
            <w:noWrap/>
            <w:vAlign w:val="center"/>
          </w:tcPr>
          <w:p w14:paraId="23DF5AF7">
            <w:pPr>
              <w:pStyle w:val="40"/>
              <w:rPr>
                <w:rFonts w:hint="default" w:ascii="Times New Roman" w:hAnsi="Times New Roman"/>
              </w:rPr>
            </w:pPr>
            <w:r>
              <w:rPr>
                <w:rFonts w:ascii="Times New Roman" w:hAnsi="Times New Roman"/>
              </w:rPr>
              <w:t>2000</w:t>
            </w:r>
          </w:p>
        </w:tc>
      </w:tr>
      <w:tr w14:paraId="19E9D115">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3B50ED56">
            <w:pPr>
              <w:pStyle w:val="40"/>
              <w:rPr>
                <w:rFonts w:hint="default" w:ascii="Times New Roman" w:hAnsi="Times New Roman"/>
              </w:rPr>
            </w:pPr>
            <w:r>
              <w:rPr>
                <w:rFonts w:ascii="Times New Roman" w:hAnsi="Times New Roman"/>
              </w:rPr>
              <w:t>5</w:t>
            </w:r>
          </w:p>
        </w:tc>
        <w:tc>
          <w:tcPr>
            <w:tcW w:w="1120" w:type="pct"/>
            <w:tcBorders>
              <w:top w:val="nil"/>
              <w:left w:val="nil"/>
              <w:bottom w:val="single" w:color="auto" w:sz="4" w:space="0"/>
              <w:right w:val="single" w:color="auto" w:sz="4" w:space="0"/>
            </w:tcBorders>
            <w:shd w:val="clear" w:color="auto" w:fill="auto"/>
            <w:noWrap/>
            <w:vAlign w:val="center"/>
          </w:tcPr>
          <w:p w14:paraId="5A8D1B3B">
            <w:pPr>
              <w:pStyle w:val="40"/>
              <w:rPr>
                <w:rFonts w:hint="default" w:ascii="Times New Roman" w:hAnsi="Times New Roman"/>
              </w:rPr>
            </w:pPr>
            <w:r>
              <w:rPr>
                <w:rFonts w:ascii="Times New Roman" w:hAnsi="Times New Roman"/>
              </w:rPr>
              <w:t>梅州市九龙嶂市级自然保护区</w:t>
            </w:r>
          </w:p>
        </w:tc>
        <w:tc>
          <w:tcPr>
            <w:tcW w:w="280" w:type="pct"/>
            <w:tcBorders>
              <w:top w:val="nil"/>
              <w:left w:val="nil"/>
              <w:bottom w:val="single" w:color="auto" w:sz="4" w:space="0"/>
              <w:right w:val="single" w:color="auto" w:sz="4" w:space="0"/>
            </w:tcBorders>
            <w:shd w:val="clear" w:color="auto" w:fill="auto"/>
            <w:noWrap/>
            <w:vAlign w:val="center"/>
          </w:tcPr>
          <w:p w14:paraId="44F0CA5E">
            <w:pPr>
              <w:pStyle w:val="40"/>
              <w:rPr>
                <w:rFonts w:hint="default" w:ascii="Times New Roman" w:hAnsi="Times New Roman"/>
              </w:rPr>
            </w:pPr>
            <w:r>
              <w:rPr>
                <w:rFonts w:ascii="Times New Roman" w:hAnsi="Times New Roman"/>
              </w:rPr>
              <w:t>市级</w:t>
            </w:r>
          </w:p>
        </w:tc>
        <w:tc>
          <w:tcPr>
            <w:tcW w:w="432" w:type="pct"/>
            <w:tcBorders>
              <w:top w:val="nil"/>
              <w:left w:val="nil"/>
              <w:bottom w:val="single" w:color="auto" w:sz="4" w:space="0"/>
              <w:right w:val="single" w:color="auto" w:sz="4" w:space="0"/>
            </w:tcBorders>
            <w:shd w:val="clear" w:color="auto" w:fill="auto"/>
            <w:noWrap/>
            <w:vAlign w:val="center"/>
          </w:tcPr>
          <w:p w14:paraId="667E73D0">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353E7CA7">
            <w:pPr>
              <w:pStyle w:val="40"/>
              <w:rPr>
                <w:rFonts w:hint="default" w:ascii="Times New Roman" w:hAnsi="Times New Roman"/>
              </w:rPr>
            </w:pPr>
            <w:r>
              <w:rPr>
                <w:rFonts w:ascii="Times New Roman" w:hAnsi="Times New Roman"/>
              </w:rPr>
              <w:t>梅南</w:t>
            </w:r>
          </w:p>
        </w:tc>
        <w:tc>
          <w:tcPr>
            <w:tcW w:w="433" w:type="pct"/>
            <w:tcBorders>
              <w:top w:val="nil"/>
              <w:left w:val="nil"/>
              <w:bottom w:val="single" w:color="auto" w:sz="4" w:space="0"/>
              <w:right w:val="single" w:color="auto" w:sz="4" w:space="0"/>
            </w:tcBorders>
            <w:shd w:val="clear" w:color="auto" w:fill="auto"/>
            <w:noWrap/>
            <w:vAlign w:val="center"/>
          </w:tcPr>
          <w:p w14:paraId="2E518D19">
            <w:pPr>
              <w:pStyle w:val="40"/>
              <w:rPr>
                <w:rFonts w:hint="default" w:ascii="Times New Roman" w:hAnsi="Times New Roman"/>
              </w:rPr>
            </w:pPr>
            <w:r>
              <w:rPr>
                <w:rFonts w:ascii="Times New Roman" w:hAnsi="Times New Roman"/>
              </w:rPr>
              <w:t>1000</w:t>
            </w:r>
          </w:p>
        </w:tc>
        <w:tc>
          <w:tcPr>
            <w:tcW w:w="737" w:type="pct"/>
            <w:tcBorders>
              <w:top w:val="nil"/>
              <w:left w:val="nil"/>
              <w:bottom w:val="single" w:color="auto" w:sz="4" w:space="0"/>
              <w:right w:val="single" w:color="auto" w:sz="4" w:space="0"/>
            </w:tcBorders>
            <w:shd w:val="clear" w:color="auto" w:fill="auto"/>
            <w:noWrap/>
            <w:vAlign w:val="center"/>
          </w:tcPr>
          <w:p w14:paraId="511E81B8">
            <w:pPr>
              <w:pStyle w:val="40"/>
              <w:rPr>
                <w:rFonts w:hint="default" w:ascii="Times New Roman" w:hAnsi="Times New Roman"/>
              </w:rPr>
            </w:pPr>
            <w:r>
              <w:rPr>
                <w:rFonts w:ascii="Times New Roman" w:hAnsi="Times New Roman"/>
              </w:rPr>
              <w:t>森林、野生动植物</w:t>
            </w:r>
          </w:p>
        </w:tc>
        <w:tc>
          <w:tcPr>
            <w:tcW w:w="846" w:type="pct"/>
            <w:tcBorders>
              <w:top w:val="nil"/>
              <w:left w:val="nil"/>
              <w:bottom w:val="single" w:color="auto" w:sz="4" w:space="0"/>
              <w:right w:val="single" w:color="auto" w:sz="4" w:space="0"/>
            </w:tcBorders>
            <w:shd w:val="clear" w:color="auto" w:fill="auto"/>
            <w:noWrap/>
            <w:vAlign w:val="center"/>
          </w:tcPr>
          <w:p w14:paraId="6D8C70BE">
            <w:pPr>
              <w:pStyle w:val="40"/>
              <w:rPr>
                <w:rFonts w:hint="default" w:ascii="Times New Roman" w:hAnsi="Times New Roman"/>
              </w:rPr>
            </w:pPr>
            <w:r>
              <w:rPr>
                <w:rFonts w:ascii="Times New Roman" w:hAnsi="Times New Roman"/>
              </w:rPr>
              <w:t>梅市府函〔1999〕125号</w:t>
            </w:r>
          </w:p>
        </w:tc>
        <w:tc>
          <w:tcPr>
            <w:tcW w:w="433" w:type="pct"/>
            <w:tcBorders>
              <w:top w:val="nil"/>
              <w:left w:val="nil"/>
              <w:bottom w:val="single" w:color="auto" w:sz="4" w:space="0"/>
              <w:right w:val="single" w:color="auto" w:sz="4" w:space="0"/>
            </w:tcBorders>
            <w:shd w:val="clear" w:color="auto" w:fill="auto"/>
            <w:noWrap/>
            <w:vAlign w:val="center"/>
          </w:tcPr>
          <w:p w14:paraId="3E7AFD0D">
            <w:pPr>
              <w:pStyle w:val="40"/>
              <w:rPr>
                <w:rFonts w:hint="default" w:ascii="Times New Roman" w:hAnsi="Times New Roman"/>
              </w:rPr>
            </w:pPr>
            <w:r>
              <w:rPr>
                <w:rFonts w:ascii="Times New Roman" w:hAnsi="Times New Roman"/>
              </w:rPr>
              <w:t>1999</w:t>
            </w:r>
          </w:p>
        </w:tc>
      </w:tr>
      <w:tr w14:paraId="271874E8">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760D856C">
            <w:pPr>
              <w:pStyle w:val="40"/>
              <w:rPr>
                <w:rFonts w:hint="default" w:ascii="Times New Roman" w:hAnsi="Times New Roman"/>
              </w:rPr>
            </w:pPr>
            <w:r>
              <w:rPr>
                <w:rFonts w:ascii="Times New Roman" w:hAnsi="Times New Roman"/>
              </w:rPr>
              <w:t>6</w:t>
            </w:r>
          </w:p>
        </w:tc>
        <w:tc>
          <w:tcPr>
            <w:tcW w:w="1120" w:type="pct"/>
            <w:tcBorders>
              <w:top w:val="nil"/>
              <w:left w:val="nil"/>
              <w:bottom w:val="single" w:color="auto" w:sz="4" w:space="0"/>
              <w:right w:val="single" w:color="auto" w:sz="4" w:space="0"/>
            </w:tcBorders>
            <w:shd w:val="clear" w:color="auto" w:fill="auto"/>
            <w:noWrap/>
            <w:vAlign w:val="center"/>
          </w:tcPr>
          <w:p w14:paraId="285CBEB4">
            <w:pPr>
              <w:pStyle w:val="40"/>
              <w:rPr>
                <w:rFonts w:hint="default" w:ascii="Times New Roman" w:hAnsi="Times New Roman"/>
              </w:rPr>
            </w:pPr>
            <w:r>
              <w:rPr>
                <w:rFonts w:ascii="Times New Roman" w:hAnsi="Times New Roman"/>
              </w:rPr>
              <w:t>梅县蕉坑县级自然保护区</w:t>
            </w:r>
          </w:p>
        </w:tc>
        <w:tc>
          <w:tcPr>
            <w:tcW w:w="280" w:type="pct"/>
            <w:tcBorders>
              <w:top w:val="nil"/>
              <w:left w:val="nil"/>
              <w:bottom w:val="single" w:color="auto" w:sz="4" w:space="0"/>
              <w:right w:val="single" w:color="auto" w:sz="4" w:space="0"/>
            </w:tcBorders>
            <w:shd w:val="clear" w:color="auto" w:fill="auto"/>
            <w:noWrap/>
            <w:vAlign w:val="center"/>
          </w:tcPr>
          <w:p w14:paraId="52238B22">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14:paraId="109F7CD3">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7A6FE23B">
            <w:pPr>
              <w:pStyle w:val="40"/>
              <w:rPr>
                <w:rFonts w:hint="default" w:ascii="Times New Roman" w:hAnsi="Times New Roman"/>
              </w:rPr>
            </w:pPr>
            <w:r>
              <w:rPr>
                <w:rFonts w:ascii="Times New Roman" w:hAnsi="Times New Roman"/>
              </w:rPr>
              <w:t>梅州梅县</w:t>
            </w:r>
          </w:p>
        </w:tc>
        <w:tc>
          <w:tcPr>
            <w:tcW w:w="433" w:type="pct"/>
            <w:tcBorders>
              <w:top w:val="nil"/>
              <w:left w:val="nil"/>
              <w:bottom w:val="single" w:color="auto" w:sz="4" w:space="0"/>
              <w:right w:val="single" w:color="auto" w:sz="4" w:space="0"/>
            </w:tcBorders>
            <w:shd w:val="clear" w:color="auto" w:fill="auto"/>
            <w:noWrap/>
            <w:vAlign w:val="center"/>
          </w:tcPr>
          <w:p w14:paraId="18D82EEB">
            <w:pPr>
              <w:pStyle w:val="40"/>
              <w:rPr>
                <w:rFonts w:hint="default" w:ascii="Times New Roman" w:hAnsi="Times New Roman"/>
              </w:rPr>
            </w:pPr>
            <w:r>
              <w:rPr>
                <w:rFonts w:ascii="Times New Roman" w:hAnsi="Times New Roman"/>
              </w:rPr>
              <w:t>600</w:t>
            </w:r>
          </w:p>
        </w:tc>
        <w:tc>
          <w:tcPr>
            <w:tcW w:w="737" w:type="pct"/>
            <w:tcBorders>
              <w:top w:val="nil"/>
              <w:left w:val="nil"/>
              <w:bottom w:val="single" w:color="auto" w:sz="4" w:space="0"/>
              <w:right w:val="single" w:color="auto" w:sz="4" w:space="0"/>
            </w:tcBorders>
            <w:shd w:val="clear" w:color="auto" w:fill="auto"/>
            <w:noWrap/>
            <w:vAlign w:val="center"/>
          </w:tcPr>
          <w:p w14:paraId="0916ED8E">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14:paraId="3B55ED64">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14:paraId="6058BF06">
            <w:pPr>
              <w:pStyle w:val="40"/>
              <w:rPr>
                <w:rFonts w:hint="default" w:ascii="Times New Roman" w:hAnsi="Times New Roman"/>
              </w:rPr>
            </w:pPr>
            <w:r>
              <w:rPr>
                <w:rFonts w:ascii="Times New Roman" w:hAnsi="Times New Roman"/>
              </w:rPr>
              <w:t>2002</w:t>
            </w:r>
          </w:p>
        </w:tc>
      </w:tr>
      <w:tr w14:paraId="0A4529C8">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11F1FFE0">
            <w:pPr>
              <w:pStyle w:val="40"/>
              <w:rPr>
                <w:rFonts w:hint="default" w:ascii="Times New Roman" w:hAnsi="Times New Roman"/>
              </w:rPr>
            </w:pPr>
            <w:r>
              <w:rPr>
                <w:rFonts w:ascii="Times New Roman" w:hAnsi="Times New Roman"/>
              </w:rPr>
              <w:t>7</w:t>
            </w:r>
          </w:p>
        </w:tc>
        <w:tc>
          <w:tcPr>
            <w:tcW w:w="1120" w:type="pct"/>
            <w:tcBorders>
              <w:top w:val="nil"/>
              <w:left w:val="nil"/>
              <w:bottom w:val="single" w:color="auto" w:sz="4" w:space="0"/>
              <w:right w:val="single" w:color="auto" w:sz="4" w:space="0"/>
            </w:tcBorders>
            <w:shd w:val="clear" w:color="auto" w:fill="auto"/>
            <w:noWrap/>
            <w:vAlign w:val="center"/>
          </w:tcPr>
          <w:p w14:paraId="4B8DC805">
            <w:pPr>
              <w:pStyle w:val="40"/>
              <w:rPr>
                <w:rFonts w:hint="default" w:ascii="Times New Roman" w:hAnsi="Times New Roman"/>
              </w:rPr>
            </w:pPr>
            <w:r>
              <w:rPr>
                <w:rFonts w:ascii="Times New Roman" w:hAnsi="Times New Roman"/>
              </w:rPr>
              <w:t>梅县大连县级自然保护区</w:t>
            </w:r>
          </w:p>
        </w:tc>
        <w:tc>
          <w:tcPr>
            <w:tcW w:w="280" w:type="pct"/>
            <w:tcBorders>
              <w:top w:val="nil"/>
              <w:left w:val="nil"/>
              <w:bottom w:val="single" w:color="auto" w:sz="4" w:space="0"/>
              <w:right w:val="single" w:color="auto" w:sz="4" w:space="0"/>
            </w:tcBorders>
            <w:shd w:val="clear" w:color="auto" w:fill="auto"/>
            <w:noWrap/>
            <w:vAlign w:val="center"/>
          </w:tcPr>
          <w:p w14:paraId="7B1D7283">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14:paraId="26B3C57C">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2DB91D2E">
            <w:pPr>
              <w:pStyle w:val="40"/>
              <w:rPr>
                <w:rFonts w:hint="default" w:ascii="Times New Roman" w:hAnsi="Times New Roman"/>
              </w:rPr>
            </w:pPr>
            <w:r>
              <w:rPr>
                <w:rFonts w:ascii="Times New Roman" w:hAnsi="Times New Roman"/>
              </w:rPr>
              <w:t>梅州梅县</w:t>
            </w:r>
          </w:p>
        </w:tc>
        <w:tc>
          <w:tcPr>
            <w:tcW w:w="433" w:type="pct"/>
            <w:tcBorders>
              <w:top w:val="nil"/>
              <w:left w:val="nil"/>
              <w:bottom w:val="single" w:color="auto" w:sz="4" w:space="0"/>
              <w:right w:val="single" w:color="auto" w:sz="4" w:space="0"/>
            </w:tcBorders>
            <w:shd w:val="clear" w:color="auto" w:fill="auto"/>
            <w:noWrap/>
            <w:vAlign w:val="center"/>
          </w:tcPr>
          <w:p w14:paraId="3FBD026F">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14:paraId="3DAC0AF7">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14:paraId="64B8DC62">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14:paraId="61498189">
            <w:pPr>
              <w:pStyle w:val="40"/>
              <w:rPr>
                <w:rFonts w:hint="default" w:ascii="Times New Roman" w:hAnsi="Times New Roman"/>
              </w:rPr>
            </w:pPr>
            <w:r>
              <w:rPr>
                <w:rFonts w:ascii="Times New Roman" w:hAnsi="Times New Roman"/>
              </w:rPr>
              <w:t>2002</w:t>
            </w:r>
          </w:p>
        </w:tc>
      </w:tr>
      <w:tr w14:paraId="41C190D5">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6D6EFF24">
            <w:pPr>
              <w:pStyle w:val="40"/>
              <w:rPr>
                <w:rFonts w:hint="default" w:ascii="Times New Roman" w:hAnsi="Times New Roman"/>
              </w:rPr>
            </w:pPr>
            <w:r>
              <w:rPr>
                <w:rFonts w:ascii="Times New Roman" w:hAnsi="Times New Roman"/>
              </w:rPr>
              <w:t>8</w:t>
            </w:r>
          </w:p>
        </w:tc>
        <w:tc>
          <w:tcPr>
            <w:tcW w:w="1120" w:type="pct"/>
            <w:tcBorders>
              <w:top w:val="nil"/>
              <w:left w:val="nil"/>
              <w:bottom w:val="single" w:color="auto" w:sz="4" w:space="0"/>
              <w:right w:val="single" w:color="auto" w:sz="4" w:space="0"/>
            </w:tcBorders>
            <w:shd w:val="clear" w:color="auto" w:fill="auto"/>
            <w:noWrap/>
            <w:vAlign w:val="center"/>
          </w:tcPr>
          <w:p w14:paraId="5EBCC1C1">
            <w:pPr>
              <w:pStyle w:val="40"/>
              <w:rPr>
                <w:rFonts w:hint="default" w:ascii="Times New Roman" w:hAnsi="Times New Roman"/>
              </w:rPr>
            </w:pPr>
            <w:r>
              <w:rPr>
                <w:rFonts w:ascii="Times New Roman" w:hAnsi="Times New Roman"/>
              </w:rPr>
              <w:t>梅县乌泥坑县级自然保护区</w:t>
            </w:r>
          </w:p>
        </w:tc>
        <w:tc>
          <w:tcPr>
            <w:tcW w:w="280" w:type="pct"/>
            <w:tcBorders>
              <w:top w:val="nil"/>
              <w:left w:val="nil"/>
              <w:bottom w:val="single" w:color="auto" w:sz="4" w:space="0"/>
              <w:right w:val="single" w:color="auto" w:sz="4" w:space="0"/>
            </w:tcBorders>
            <w:shd w:val="clear" w:color="auto" w:fill="auto"/>
            <w:noWrap/>
            <w:vAlign w:val="center"/>
          </w:tcPr>
          <w:p w14:paraId="3495CFEA">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14:paraId="2DD2A749">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5D1FFB85">
            <w:pPr>
              <w:pStyle w:val="40"/>
              <w:rPr>
                <w:rFonts w:hint="default" w:ascii="Times New Roman" w:hAnsi="Times New Roman"/>
              </w:rPr>
            </w:pPr>
            <w:r>
              <w:rPr>
                <w:rFonts w:ascii="Times New Roman" w:hAnsi="Times New Roman"/>
              </w:rPr>
              <w:t>梅县松源</w:t>
            </w:r>
          </w:p>
        </w:tc>
        <w:tc>
          <w:tcPr>
            <w:tcW w:w="433" w:type="pct"/>
            <w:tcBorders>
              <w:top w:val="nil"/>
              <w:left w:val="nil"/>
              <w:bottom w:val="single" w:color="auto" w:sz="4" w:space="0"/>
              <w:right w:val="single" w:color="auto" w:sz="4" w:space="0"/>
            </w:tcBorders>
            <w:shd w:val="clear" w:color="auto" w:fill="auto"/>
            <w:noWrap/>
            <w:vAlign w:val="center"/>
          </w:tcPr>
          <w:p w14:paraId="2EFD1797">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14:paraId="6F03811F">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14:paraId="278DA4E6">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14:paraId="1E1E3951">
            <w:pPr>
              <w:pStyle w:val="40"/>
              <w:rPr>
                <w:rFonts w:hint="default" w:ascii="Times New Roman" w:hAnsi="Times New Roman"/>
              </w:rPr>
            </w:pPr>
            <w:r>
              <w:rPr>
                <w:rFonts w:ascii="Times New Roman" w:hAnsi="Times New Roman"/>
              </w:rPr>
              <w:t>2002</w:t>
            </w:r>
          </w:p>
        </w:tc>
      </w:tr>
      <w:tr w14:paraId="2AF382DC">
        <w:tblPrEx>
          <w:tblCellMar>
            <w:top w:w="0" w:type="dxa"/>
            <w:left w:w="108" w:type="dxa"/>
            <w:bottom w:w="0" w:type="dxa"/>
            <w:right w:w="108" w:type="dxa"/>
          </w:tblCellMar>
        </w:tblPrEx>
        <w:trPr>
          <w:trHeight w:val="857"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16DDE078">
            <w:pPr>
              <w:pStyle w:val="40"/>
              <w:rPr>
                <w:rFonts w:hint="default" w:ascii="Times New Roman" w:hAnsi="Times New Roman"/>
              </w:rPr>
            </w:pPr>
            <w:r>
              <w:rPr>
                <w:rFonts w:ascii="Times New Roman" w:hAnsi="Times New Roman"/>
              </w:rPr>
              <w:t>9</w:t>
            </w:r>
          </w:p>
        </w:tc>
        <w:tc>
          <w:tcPr>
            <w:tcW w:w="1120" w:type="pct"/>
            <w:tcBorders>
              <w:top w:val="nil"/>
              <w:left w:val="nil"/>
              <w:bottom w:val="single" w:color="auto" w:sz="4" w:space="0"/>
              <w:right w:val="single" w:color="auto" w:sz="4" w:space="0"/>
            </w:tcBorders>
            <w:shd w:val="clear" w:color="auto" w:fill="auto"/>
            <w:noWrap/>
            <w:vAlign w:val="center"/>
          </w:tcPr>
          <w:p w14:paraId="65010F31">
            <w:pPr>
              <w:pStyle w:val="40"/>
              <w:rPr>
                <w:rFonts w:hint="default" w:ascii="Times New Roman" w:hAnsi="Times New Roman"/>
              </w:rPr>
            </w:pPr>
            <w:r>
              <w:rPr>
                <w:rFonts w:ascii="Times New Roman" w:hAnsi="Times New Roman"/>
              </w:rPr>
              <w:t>梅县上官塘县级自然保护区</w:t>
            </w:r>
          </w:p>
        </w:tc>
        <w:tc>
          <w:tcPr>
            <w:tcW w:w="280" w:type="pct"/>
            <w:tcBorders>
              <w:top w:val="nil"/>
              <w:left w:val="nil"/>
              <w:bottom w:val="single" w:color="auto" w:sz="4" w:space="0"/>
              <w:right w:val="single" w:color="auto" w:sz="4" w:space="0"/>
            </w:tcBorders>
            <w:shd w:val="clear" w:color="auto" w:fill="auto"/>
            <w:noWrap/>
            <w:vAlign w:val="center"/>
          </w:tcPr>
          <w:p w14:paraId="638F29BB">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14:paraId="4DFB07ED">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7819DBC9">
            <w:pPr>
              <w:pStyle w:val="40"/>
              <w:rPr>
                <w:rFonts w:hint="default" w:ascii="Times New Roman" w:hAnsi="Times New Roman"/>
              </w:rPr>
            </w:pPr>
            <w:r>
              <w:rPr>
                <w:rFonts w:ascii="Times New Roman" w:hAnsi="Times New Roman"/>
              </w:rPr>
              <w:t>梅县大坪</w:t>
            </w:r>
          </w:p>
        </w:tc>
        <w:tc>
          <w:tcPr>
            <w:tcW w:w="433" w:type="pct"/>
            <w:tcBorders>
              <w:top w:val="nil"/>
              <w:left w:val="nil"/>
              <w:bottom w:val="single" w:color="auto" w:sz="4" w:space="0"/>
              <w:right w:val="single" w:color="auto" w:sz="4" w:space="0"/>
            </w:tcBorders>
            <w:shd w:val="clear" w:color="auto" w:fill="auto"/>
            <w:noWrap/>
            <w:vAlign w:val="center"/>
          </w:tcPr>
          <w:p w14:paraId="157C9725">
            <w:pPr>
              <w:pStyle w:val="40"/>
              <w:rPr>
                <w:rFonts w:hint="default" w:ascii="Times New Roman" w:hAnsi="Times New Roman"/>
              </w:rPr>
            </w:pPr>
            <w:r>
              <w:rPr>
                <w:rFonts w:ascii="Times New Roman" w:hAnsi="Times New Roman"/>
              </w:rPr>
              <w:t>667</w:t>
            </w:r>
          </w:p>
        </w:tc>
        <w:tc>
          <w:tcPr>
            <w:tcW w:w="737" w:type="pct"/>
            <w:tcBorders>
              <w:top w:val="nil"/>
              <w:left w:val="nil"/>
              <w:bottom w:val="single" w:color="auto" w:sz="4" w:space="0"/>
              <w:right w:val="single" w:color="auto" w:sz="4" w:space="0"/>
            </w:tcBorders>
            <w:shd w:val="clear" w:color="auto" w:fill="auto"/>
            <w:noWrap/>
            <w:vAlign w:val="center"/>
          </w:tcPr>
          <w:p w14:paraId="2D0A35CA">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14:paraId="62030EB8">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14:paraId="32C12E09">
            <w:pPr>
              <w:pStyle w:val="40"/>
              <w:rPr>
                <w:rFonts w:hint="default" w:ascii="Times New Roman" w:hAnsi="Times New Roman"/>
              </w:rPr>
            </w:pPr>
            <w:r>
              <w:rPr>
                <w:rFonts w:ascii="Times New Roman" w:hAnsi="Times New Roman"/>
              </w:rPr>
              <w:t>2002</w:t>
            </w:r>
          </w:p>
        </w:tc>
      </w:tr>
      <w:tr w14:paraId="735EB6A8">
        <w:tblPrEx>
          <w:tblCellMar>
            <w:top w:w="0" w:type="dxa"/>
            <w:left w:w="108" w:type="dxa"/>
            <w:bottom w:w="0" w:type="dxa"/>
            <w:right w:w="108" w:type="dxa"/>
          </w:tblCellMar>
        </w:tblPrEx>
        <w:trPr>
          <w:trHeight w:val="882" w:hRule="atLeast"/>
        </w:trPr>
        <w:tc>
          <w:tcPr>
            <w:tcW w:w="280" w:type="pct"/>
            <w:tcBorders>
              <w:top w:val="nil"/>
              <w:left w:val="single" w:color="auto" w:sz="4" w:space="0"/>
              <w:bottom w:val="single" w:color="auto" w:sz="4" w:space="0"/>
              <w:right w:val="single" w:color="auto" w:sz="4" w:space="0"/>
            </w:tcBorders>
            <w:shd w:val="clear" w:color="auto" w:fill="auto"/>
            <w:noWrap/>
            <w:vAlign w:val="center"/>
          </w:tcPr>
          <w:p w14:paraId="624052B5">
            <w:pPr>
              <w:pStyle w:val="40"/>
              <w:rPr>
                <w:rFonts w:hint="default" w:ascii="Times New Roman" w:hAnsi="Times New Roman"/>
              </w:rPr>
            </w:pPr>
            <w:r>
              <w:rPr>
                <w:rFonts w:ascii="Times New Roman" w:hAnsi="Times New Roman"/>
              </w:rPr>
              <w:t>10</w:t>
            </w:r>
          </w:p>
        </w:tc>
        <w:tc>
          <w:tcPr>
            <w:tcW w:w="1120" w:type="pct"/>
            <w:tcBorders>
              <w:top w:val="nil"/>
              <w:left w:val="nil"/>
              <w:bottom w:val="single" w:color="auto" w:sz="4" w:space="0"/>
              <w:right w:val="single" w:color="auto" w:sz="4" w:space="0"/>
            </w:tcBorders>
            <w:shd w:val="clear" w:color="auto" w:fill="auto"/>
            <w:noWrap/>
            <w:vAlign w:val="center"/>
          </w:tcPr>
          <w:p w14:paraId="5BD8069E">
            <w:pPr>
              <w:pStyle w:val="40"/>
              <w:rPr>
                <w:rFonts w:hint="default" w:ascii="Times New Roman" w:hAnsi="Times New Roman"/>
              </w:rPr>
            </w:pPr>
            <w:r>
              <w:rPr>
                <w:rFonts w:ascii="Times New Roman" w:hAnsi="Times New Roman"/>
              </w:rPr>
              <w:t>梅县九龙县级自然保护区</w:t>
            </w:r>
          </w:p>
        </w:tc>
        <w:tc>
          <w:tcPr>
            <w:tcW w:w="280" w:type="pct"/>
            <w:tcBorders>
              <w:top w:val="nil"/>
              <w:left w:val="nil"/>
              <w:bottom w:val="single" w:color="auto" w:sz="4" w:space="0"/>
              <w:right w:val="single" w:color="auto" w:sz="4" w:space="0"/>
            </w:tcBorders>
            <w:shd w:val="clear" w:color="auto" w:fill="auto"/>
            <w:noWrap/>
            <w:vAlign w:val="center"/>
          </w:tcPr>
          <w:p w14:paraId="632F8030">
            <w:pPr>
              <w:pStyle w:val="40"/>
              <w:rPr>
                <w:rFonts w:hint="default" w:ascii="Times New Roman" w:hAnsi="Times New Roman"/>
              </w:rPr>
            </w:pPr>
            <w:r>
              <w:rPr>
                <w:rFonts w:ascii="Times New Roman" w:hAnsi="Times New Roman"/>
              </w:rPr>
              <w:t>县级</w:t>
            </w:r>
          </w:p>
        </w:tc>
        <w:tc>
          <w:tcPr>
            <w:tcW w:w="432" w:type="pct"/>
            <w:tcBorders>
              <w:top w:val="nil"/>
              <w:left w:val="nil"/>
              <w:bottom w:val="single" w:color="auto" w:sz="4" w:space="0"/>
              <w:right w:val="single" w:color="auto" w:sz="4" w:space="0"/>
            </w:tcBorders>
            <w:shd w:val="clear" w:color="auto" w:fill="auto"/>
            <w:noWrap/>
            <w:vAlign w:val="center"/>
          </w:tcPr>
          <w:p w14:paraId="44FF10D6">
            <w:pPr>
              <w:pStyle w:val="40"/>
              <w:rPr>
                <w:rFonts w:hint="default" w:ascii="Times New Roman" w:hAnsi="Times New Roman"/>
              </w:rPr>
            </w:pPr>
            <w:r>
              <w:rPr>
                <w:rFonts w:ascii="Times New Roman" w:hAnsi="Times New Roman"/>
              </w:rPr>
              <w:t>森林生态</w:t>
            </w:r>
          </w:p>
        </w:tc>
        <w:tc>
          <w:tcPr>
            <w:tcW w:w="433" w:type="pct"/>
            <w:tcBorders>
              <w:top w:val="nil"/>
              <w:left w:val="nil"/>
              <w:bottom w:val="single" w:color="auto" w:sz="4" w:space="0"/>
              <w:right w:val="single" w:color="auto" w:sz="4" w:space="0"/>
            </w:tcBorders>
            <w:shd w:val="clear" w:color="auto" w:fill="auto"/>
            <w:noWrap/>
            <w:vAlign w:val="center"/>
          </w:tcPr>
          <w:p w14:paraId="32B23DB0">
            <w:pPr>
              <w:pStyle w:val="40"/>
              <w:rPr>
                <w:rFonts w:hint="default" w:ascii="Times New Roman" w:hAnsi="Times New Roman"/>
              </w:rPr>
            </w:pPr>
            <w:r>
              <w:rPr>
                <w:rFonts w:ascii="Times New Roman" w:hAnsi="Times New Roman"/>
              </w:rPr>
              <w:t>梅县梅南</w:t>
            </w:r>
          </w:p>
        </w:tc>
        <w:tc>
          <w:tcPr>
            <w:tcW w:w="433" w:type="pct"/>
            <w:tcBorders>
              <w:top w:val="nil"/>
              <w:left w:val="nil"/>
              <w:bottom w:val="single" w:color="auto" w:sz="4" w:space="0"/>
              <w:right w:val="single" w:color="auto" w:sz="4" w:space="0"/>
            </w:tcBorders>
            <w:shd w:val="clear" w:color="auto" w:fill="auto"/>
            <w:noWrap/>
            <w:vAlign w:val="center"/>
          </w:tcPr>
          <w:p w14:paraId="0DB7F4B9">
            <w:pPr>
              <w:pStyle w:val="40"/>
              <w:rPr>
                <w:rFonts w:hint="default" w:ascii="Times New Roman" w:hAnsi="Times New Roman"/>
              </w:rPr>
            </w:pPr>
            <w:r>
              <w:rPr>
                <w:rFonts w:ascii="Times New Roman" w:hAnsi="Times New Roman"/>
              </w:rPr>
              <w:t>2000</w:t>
            </w:r>
          </w:p>
        </w:tc>
        <w:tc>
          <w:tcPr>
            <w:tcW w:w="737" w:type="pct"/>
            <w:tcBorders>
              <w:top w:val="nil"/>
              <w:left w:val="nil"/>
              <w:bottom w:val="single" w:color="auto" w:sz="4" w:space="0"/>
              <w:right w:val="single" w:color="auto" w:sz="4" w:space="0"/>
            </w:tcBorders>
            <w:shd w:val="clear" w:color="auto" w:fill="auto"/>
            <w:noWrap/>
            <w:vAlign w:val="center"/>
          </w:tcPr>
          <w:p w14:paraId="7F0FBB6C">
            <w:pPr>
              <w:pStyle w:val="40"/>
              <w:rPr>
                <w:rFonts w:hint="default" w:ascii="Times New Roman" w:hAnsi="Times New Roman"/>
              </w:rPr>
            </w:pPr>
            <w:r>
              <w:rPr>
                <w:rFonts w:ascii="Times New Roman" w:hAnsi="Times New Roman"/>
              </w:rPr>
              <w:t>陆生野生动、植物</w:t>
            </w:r>
          </w:p>
        </w:tc>
        <w:tc>
          <w:tcPr>
            <w:tcW w:w="846" w:type="pct"/>
            <w:tcBorders>
              <w:top w:val="nil"/>
              <w:left w:val="nil"/>
              <w:bottom w:val="single" w:color="auto" w:sz="4" w:space="0"/>
              <w:right w:val="single" w:color="auto" w:sz="4" w:space="0"/>
            </w:tcBorders>
            <w:shd w:val="clear" w:color="auto" w:fill="auto"/>
            <w:noWrap/>
            <w:vAlign w:val="center"/>
          </w:tcPr>
          <w:p w14:paraId="225D58C9">
            <w:pPr>
              <w:pStyle w:val="40"/>
              <w:rPr>
                <w:rFonts w:hint="default" w:ascii="Times New Roman" w:hAnsi="Times New Roman"/>
              </w:rPr>
            </w:pPr>
            <w:r>
              <w:rPr>
                <w:rFonts w:ascii="Times New Roman" w:hAnsi="Times New Roman"/>
              </w:rPr>
              <w:t>梅府函〔2002〕23号</w:t>
            </w:r>
          </w:p>
        </w:tc>
        <w:tc>
          <w:tcPr>
            <w:tcW w:w="433" w:type="pct"/>
            <w:tcBorders>
              <w:top w:val="nil"/>
              <w:left w:val="nil"/>
              <w:bottom w:val="single" w:color="auto" w:sz="4" w:space="0"/>
              <w:right w:val="single" w:color="auto" w:sz="4" w:space="0"/>
            </w:tcBorders>
            <w:shd w:val="clear" w:color="auto" w:fill="auto"/>
            <w:noWrap/>
            <w:vAlign w:val="center"/>
          </w:tcPr>
          <w:p w14:paraId="55B963F5">
            <w:pPr>
              <w:pStyle w:val="40"/>
              <w:rPr>
                <w:rFonts w:hint="default" w:ascii="Times New Roman" w:hAnsi="Times New Roman"/>
              </w:rPr>
            </w:pPr>
            <w:r>
              <w:rPr>
                <w:rFonts w:ascii="Times New Roman" w:hAnsi="Times New Roman"/>
              </w:rPr>
              <w:t>2002</w:t>
            </w:r>
          </w:p>
        </w:tc>
      </w:tr>
    </w:tbl>
    <w:p w14:paraId="4F5D6DC4">
      <w:pPr>
        <w:spacing w:line="600" w:lineRule="exact"/>
        <w:ind w:firstLine="0" w:firstLineChars="0"/>
        <w:rPr>
          <w:rFonts w:ascii="Times New Roman" w:hAnsi="Times New Roman"/>
          <w:b/>
          <w:bCs/>
        </w:rPr>
      </w:pPr>
      <w:r>
        <w:rPr>
          <w:rFonts w:hint="eastAsia" w:asciiTheme="majorEastAsia" w:hAnsiTheme="majorEastAsia" w:eastAsiaTheme="majorEastAsia" w:cstheme="majorEastAsia"/>
          <w:sz w:val="21"/>
          <w:szCs w:val="21"/>
        </w:rPr>
        <w:t>注：数据来源于2018年《梅州市梅县区畜禽养殖区划分修订方案研究报告》。</w:t>
      </w:r>
    </w:p>
    <w:p w14:paraId="5D77079B">
      <w:pPr>
        <w:bidi w:val="0"/>
      </w:pPr>
      <w:r>
        <w:rPr>
          <w:b/>
          <w:bCs/>
        </w:rPr>
        <w:t>风景名胜区：</w:t>
      </w:r>
      <w:r>
        <w:t>梅县区</w:t>
      </w:r>
      <w:r>
        <w:rPr>
          <w:rFonts w:hint="eastAsia"/>
        </w:rPr>
        <w:t>共</w:t>
      </w:r>
      <w:r>
        <w:t>有一处省级风景名胜区，包含在广东阴那山省级自然保护区内，基本情况见表4。</w:t>
      </w:r>
    </w:p>
    <w:p w14:paraId="1D3634F3">
      <w:pPr>
        <w:pStyle w:val="41"/>
        <w:rPr>
          <w:rFonts w:hint="default" w:ascii="Times New Roman" w:hAnsi="Times New Roman"/>
        </w:rPr>
      </w:pPr>
    </w:p>
    <w:p w14:paraId="782E9BDD">
      <w:pPr>
        <w:pStyle w:val="41"/>
        <w:bidi w:val="0"/>
        <w:rPr>
          <w:rFonts w:hint="default"/>
        </w:rPr>
      </w:pPr>
      <w:r>
        <w:t>表4 梅县区风景名胜区名单</w:t>
      </w:r>
    </w:p>
    <w:tbl>
      <w:tblPr>
        <w:tblStyle w:val="22"/>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63"/>
        <w:gridCol w:w="1543"/>
        <w:gridCol w:w="2017"/>
        <w:gridCol w:w="1618"/>
      </w:tblGrid>
      <w:tr w14:paraId="3513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477" w:type="pct"/>
            <w:vAlign w:val="center"/>
          </w:tcPr>
          <w:p w14:paraId="25D44823">
            <w:pPr>
              <w:pStyle w:val="40"/>
              <w:rPr>
                <w:rFonts w:hint="default" w:ascii="Times New Roman" w:hAnsi="Times New Roman"/>
                <w:b/>
                <w:bCs/>
              </w:rPr>
            </w:pPr>
            <w:r>
              <w:rPr>
                <w:rFonts w:ascii="Times New Roman" w:hAnsi="Times New Roman"/>
                <w:b/>
                <w:bCs/>
              </w:rPr>
              <w:t>序号</w:t>
            </w:r>
          </w:p>
        </w:tc>
        <w:tc>
          <w:tcPr>
            <w:tcW w:w="1497" w:type="pct"/>
            <w:vAlign w:val="center"/>
          </w:tcPr>
          <w:p w14:paraId="3EC74B57">
            <w:pPr>
              <w:pStyle w:val="40"/>
              <w:rPr>
                <w:rFonts w:hint="default" w:ascii="Times New Roman" w:hAnsi="Times New Roman"/>
                <w:b/>
                <w:bCs/>
              </w:rPr>
            </w:pPr>
            <w:r>
              <w:rPr>
                <w:rFonts w:ascii="Times New Roman" w:hAnsi="Times New Roman"/>
                <w:b/>
                <w:bCs/>
              </w:rPr>
              <w:t>保护区名称</w:t>
            </w:r>
          </w:p>
        </w:tc>
        <w:tc>
          <w:tcPr>
            <w:tcW w:w="901" w:type="pct"/>
            <w:vAlign w:val="center"/>
          </w:tcPr>
          <w:p w14:paraId="193181F3">
            <w:pPr>
              <w:pStyle w:val="40"/>
              <w:rPr>
                <w:rFonts w:hint="default" w:ascii="Times New Roman" w:hAnsi="Times New Roman"/>
                <w:b/>
                <w:bCs/>
              </w:rPr>
            </w:pPr>
            <w:r>
              <w:rPr>
                <w:rFonts w:ascii="Times New Roman" w:hAnsi="Times New Roman"/>
                <w:b/>
                <w:bCs/>
              </w:rPr>
              <w:t>位置</w:t>
            </w:r>
          </w:p>
        </w:tc>
        <w:tc>
          <w:tcPr>
            <w:tcW w:w="1178" w:type="pct"/>
            <w:vAlign w:val="center"/>
          </w:tcPr>
          <w:p w14:paraId="43A19DEE">
            <w:pPr>
              <w:pStyle w:val="40"/>
              <w:rPr>
                <w:rFonts w:hint="default" w:ascii="Times New Roman" w:hAnsi="Times New Roman"/>
                <w:b/>
                <w:bCs/>
              </w:rPr>
            </w:pPr>
            <w:r>
              <w:rPr>
                <w:rFonts w:ascii="Times New Roman" w:hAnsi="Times New Roman"/>
                <w:b/>
                <w:bCs/>
              </w:rPr>
              <w:t>面积（平方公里）</w:t>
            </w:r>
          </w:p>
        </w:tc>
        <w:tc>
          <w:tcPr>
            <w:tcW w:w="945" w:type="pct"/>
            <w:vAlign w:val="center"/>
          </w:tcPr>
          <w:p w14:paraId="23A81814">
            <w:pPr>
              <w:pStyle w:val="40"/>
              <w:rPr>
                <w:rFonts w:hint="default" w:ascii="Times New Roman" w:hAnsi="Times New Roman"/>
                <w:b/>
                <w:bCs/>
              </w:rPr>
            </w:pPr>
            <w:r>
              <w:rPr>
                <w:rFonts w:ascii="Times New Roman" w:hAnsi="Times New Roman"/>
                <w:b/>
                <w:bCs/>
              </w:rPr>
              <w:t>级别</w:t>
            </w:r>
          </w:p>
        </w:tc>
      </w:tr>
      <w:tr w14:paraId="029C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77" w:type="pct"/>
            <w:vAlign w:val="center"/>
          </w:tcPr>
          <w:p w14:paraId="0A063A6E">
            <w:pPr>
              <w:pStyle w:val="40"/>
              <w:rPr>
                <w:rFonts w:hint="default" w:ascii="Times New Roman" w:hAnsi="Times New Roman"/>
              </w:rPr>
            </w:pPr>
            <w:r>
              <w:rPr>
                <w:rFonts w:ascii="Times New Roman" w:hAnsi="Times New Roman"/>
              </w:rPr>
              <w:t>1</w:t>
            </w:r>
          </w:p>
        </w:tc>
        <w:tc>
          <w:tcPr>
            <w:tcW w:w="1497" w:type="pct"/>
            <w:vAlign w:val="center"/>
          </w:tcPr>
          <w:p w14:paraId="64AB9765">
            <w:pPr>
              <w:pStyle w:val="40"/>
              <w:rPr>
                <w:rFonts w:hint="default" w:ascii="Times New Roman" w:hAnsi="Times New Roman"/>
              </w:rPr>
            </w:pPr>
            <w:r>
              <w:rPr>
                <w:rFonts w:ascii="Times New Roman" w:hAnsi="Times New Roman"/>
              </w:rPr>
              <w:t>阴那山风景名胜区</w:t>
            </w:r>
          </w:p>
        </w:tc>
        <w:tc>
          <w:tcPr>
            <w:tcW w:w="901" w:type="pct"/>
            <w:vAlign w:val="center"/>
          </w:tcPr>
          <w:p w14:paraId="60172FE6">
            <w:pPr>
              <w:pStyle w:val="40"/>
              <w:rPr>
                <w:rFonts w:hint="default" w:ascii="Times New Roman" w:hAnsi="Times New Roman"/>
              </w:rPr>
            </w:pPr>
            <w:r>
              <w:rPr>
                <w:rFonts w:ascii="Times New Roman" w:hAnsi="Times New Roman"/>
              </w:rPr>
              <w:t>梅县区雁洋镇</w:t>
            </w:r>
          </w:p>
        </w:tc>
        <w:tc>
          <w:tcPr>
            <w:tcW w:w="1178" w:type="pct"/>
            <w:vAlign w:val="center"/>
          </w:tcPr>
          <w:p w14:paraId="7D2848B5">
            <w:pPr>
              <w:pStyle w:val="40"/>
              <w:rPr>
                <w:rFonts w:hint="default" w:ascii="Times New Roman" w:hAnsi="Times New Roman"/>
              </w:rPr>
            </w:pPr>
            <w:r>
              <w:rPr>
                <w:rFonts w:ascii="Times New Roman" w:hAnsi="Times New Roman"/>
              </w:rPr>
              <w:t>6.6</w:t>
            </w:r>
          </w:p>
        </w:tc>
        <w:tc>
          <w:tcPr>
            <w:tcW w:w="945" w:type="pct"/>
            <w:vAlign w:val="center"/>
          </w:tcPr>
          <w:p w14:paraId="68831EDC">
            <w:pPr>
              <w:pStyle w:val="40"/>
              <w:rPr>
                <w:rFonts w:hint="default" w:ascii="Times New Roman" w:hAnsi="Times New Roman"/>
              </w:rPr>
            </w:pPr>
            <w:r>
              <w:rPr>
                <w:rFonts w:ascii="Times New Roman" w:hAnsi="Times New Roman"/>
              </w:rPr>
              <w:t>省级</w:t>
            </w:r>
          </w:p>
        </w:tc>
      </w:tr>
    </w:tbl>
    <w:p w14:paraId="427CAC18">
      <w:pPr>
        <w:spacing w:line="600" w:lineRule="exact"/>
        <w:ind w:firstLine="0" w:firstLineChars="0"/>
        <w:rPr>
          <w:rFonts w:ascii="Times New Roman" w:hAnsi="Times New Roman"/>
          <w:sz w:val="24"/>
        </w:rPr>
      </w:pPr>
      <w:r>
        <w:rPr>
          <w:rFonts w:hint="eastAsia" w:asciiTheme="majorEastAsia" w:hAnsiTheme="majorEastAsia" w:eastAsiaTheme="majorEastAsia" w:cstheme="majorEastAsia"/>
          <w:sz w:val="21"/>
          <w:szCs w:val="21"/>
        </w:rPr>
        <w:t>注：数据来源于2018年《梅州市梅县区畜禽养殖区划分修订方案研究报告》。</w:t>
      </w:r>
    </w:p>
    <w:p w14:paraId="3217C280">
      <w:pPr>
        <w:pStyle w:val="19"/>
        <w:widowControl/>
        <w:spacing w:before="0" w:beforeAutospacing="0" w:after="0" w:afterAutospacing="0" w:line="600" w:lineRule="exact"/>
        <w:ind w:firstLine="640"/>
        <w:jc w:val="both"/>
        <w:rPr>
          <w:rFonts w:ascii="Times New Roman" w:hAnsi="Times New Roman" w:eastAsia="文星楷体"/>
          <w:sz w:val="32"/>
          <w:szCs w:val="32"/>
        </w:rPr>
      </w:pPr>
    </w:p>
    <w:p w14:paraId="292CC54E">
      <w:pPr>
        <w:pStyle w:val="3"/>
        <w:bidi w:val="0"/>
      </w:pPr>
      <w:bookmarkStart w:id="32" w:name="_Toc29905"/>
      <w:bookmarkStart w:id="33" w:name="_Toc363"/>
      <w:r>
        <w:rPr>
          <w:rFonts w:hint="eastAsia"/>
        </w:rPr>
        <w:t>（二）社会经济状况及发展水平</w:t>
      </w:r>
      <w:bookmarkEnd w:id="30"/>
      <w:r>
        <w:rPr>
          <w:rStyle w:val="29"/>
          <w:rFonts w:hint="eastAsia" w:ascii="Times New Roman" w:hAnsi="Times New Roman" w:eastAsia="黑体" w:cs="黑体"/>
        </w:rPr>
        <w:footnoteReference w:id="4"/>
      </w:r>
      <w:bookmarkEnd w:id="32"/>
      <w:bookmarkEnd w:id="33"/>
    </w:p>
    <w:p w14:paraId="211A2574">
      <w:pPr>
        <w:bidi w:val="0"/>
      </w:pPr>
      <w:r>
        <w:t>根据梅州市地区生产总值统一核算结果，2022年梅县区生产总值为238.26亿元，同比增长0.1%。其中，第一产业增加值为59.96亿元，同比增长4.3%</w:t>
      </w:r>
      <w:r>
        <w:rPr>
          <w:rFonts w:hint="eastAsia"/>
        </w:rPr>
        <w:t>，</w:t>
      </w:r>
      <w:r>
        <w:t>对地区生产总值增长的贡献率为17.5%；第二产业增加值为78.62亿元，同比下降4.7%</w:t>
      </w:r>
      <w:r>
        <w:rPr>
          <w:rFonts w:hint="eastAsia"/>
        </w:rPr>
        <w:t>，</w:t>
      </w:r>
      <w:r>
        <w:t>对地区生产总值增长的贡献率为</w:t>
      </w:r>
      <w:r>
        <w:rPr>
          <w:rFonts w:hint="eastAsia"/>
        </w:rPr>
        <w:t>-</w:t>
      </w:r>
      <w:r>
        <w:t>26.1%；第三产业增加值为99.68亿元，同比增长1.4%</w:t>
      </w:r>
      <w:r>
        <w:rPr>
          <w:rFonts w:hint="eastAsia"/>
        </w:rPr>
        <w:t>，</w:t>
      </w:r>
      <w:r>
        <w:t>对地区生产总值增长的贡献率为9.5%。三产结构比为25</w:t>
      </w:r>
      <w:r>
        <w:rPr>
          <w:rFonts w:hint="eastAsia"/>
          <w:lang w:val="en-US" w:eastAsia="zh-CN"/>
        </w:rPr>
        <w:t>.</w:t>
      </w:r>
      <w:r>
        <w:t>2</w:t>
      </w:r>
      <w:r>
        <w:rPr>
          <w:rFonts w:hint="eastAsia"/>
          <w:lang w:eastAsia="zh-CN"/>
        </w:rPr>
        <w:t>：</w:t>
      </w:r>
      <w:r>
        <w:t>33</w:t>
      </w:r>
      <w:r>
        <w:rPr>
          <w:rFonts w:hint="eastAsia"/>
          <w:lang w:val="en-US" w:eastAsia="zh-CN"/>
        </w:rPr>
        <w:t>.</w:t>
      </w:r>
      <w:r>
        <w:t>0</w:t>
      </w:r>
      <w:r>
        <w:rPr>
          <w:rFonts w:hint="eastAsia"/>
          <w:lang w:eastAsia="zh-CN"/>
        </w:rPr>
        <w:t>：</w:t>
      </w:r>
      <w:r>
        <w:t>41</w:t>
      </w:r>
      <w:r>
        <w:rPr>
          <w:rFonts w:hint="eastAsia"/>
          <w:lang w:val="en-US" w:eastAsia="zh-CN"/>
        </w:rPr>
        <w:t>.</w:t>
      </w:r>
      <w:r>
        <w:t>8。人均地区生产总值42844元，同比增长0.4%。</w:t>
      </w:r>
    </w:p>
    <w:p w14:paraId="1ACF8CFF">
      <w:pPr>
        <w:pStyle w:val="4"/>
        <w:bidi w:val="0"/>
      </w:pPr>
      <w:bookmarkStart w:id="34" w:name="_Toc19959"/>
      <w:r>
        <w:rPr>
          <w:rFonts w:hint="eastAsia"/>
        </w:rPr>
        <w:t>1、农业</w:t>
      </w:r>
      <w:bookmarkEnd w:id="34"/>
    </w:p>
    <w:p w14:paraId="11236811">
      <w:pPr>
        <w:bidi w:val="0"/>
      </w:pPr>
      <w:r>
        <w:t>2022年，农林牧渔业总产值94.97亿元，同比增长4.5%；实现农林牧渔业增加值60.51亿元，同比增长4.4%。2022年，粮食作物播种面积36.14万亩，比上年减少6.6%；稻谷种植面积31.68万亩，比上年减少7.5%；甘蔗种植面积0.26万亩，比上年略减；油料种植面积3.77万亩，比上年略减；蔬菜种植面积17.02万亩，增长1.7%；园林水果种植面积39.26万亩，增长1.7%；茶叶种植面积2.1万亩，与上年持平</w:t>
      </w:r>
      <w:r>
        <w:rPr>
          <w:rFonts w:hint="eastAsia"/>
        </w:rPr>
        <w:t>。</w:t>
      </w:r>
      <w:r>
        <w:t>2022年，粮食产量16.18万吨，比上年减少7.8%，其中，稻谷产量15.05万吨，减少7.5%；甘蔗产量0.7万吨，比上年略减；油料产量0.87万吨，增长1.2%；蔬菜产量52.0万吨，增长3.8%；水果产量83.66万吨，增长4.5%；茶叶产量1474吨，增长1.7%。2022年，肉类总产量</w:t>
      </w:r>
      <w:r>
        <w:rPr>
          <w:rFonts w:hint="eastAsia"/>
          <w:lang w:val="en-US" w:eastAsia="zh-CN"/>
        </w:rPr>
        <w:t>4.05</w:t>
      </w:r>
      <w:r>
        <w:t>万吨，比上年下降2.8%；全年水产品产量3.1万吨，增长3.3%。</w:t>
      </w:r>
    </w:p>
    <w:p w14:paraId="01434A57">
      <w:pPr>
        <w:pStyle w:val="4"/>
        <w:bidi w:val="0"/>
      </w:pPr>
      <w:bookmarkStart w:id="35" w:name="_Toc19753"/>
      <w:r>
        <w:rPr>
          <w:rFonts w:hint="eastAsia"/>
        </w:rPr>
        <w:t>2、工业和建筑业</w:t>
      </w:r>
      <w:bookmarkEnd w:id="35"/>
    </w:p>
    <w:p w14:paraId="555552EE">
      <w:pPr>
        <w:bidi w:val="0"/>
      </w:pPr>
      <w:r>
        <w:t>2022年，全区100家规模以上工业企业实现产值190.46亿元，同比下降1.5%；全区规上工业企业实现工业增加值53.1亿元，同比下降5.4%。畲江园区规上工业企业实现工业总产值29.06亿元，同比下降5.5%。2022年，规模以上工业产值按经济类型分：国有企业产值12754万元，同比下降2.3%；集体企业产值5586万元，同比下降14.1%；股份合作企业产值9634万元，同比下降4.6%；股份制企业产值1641560万元，同比增长3.6%；外商及港澳台投资企业产值222651万元，同比下降27.2%；其他经济类型企业产值12448万元，同比下降13.4%。2022年，全区建筑业增加值10.66亿元，同比下降7.9%；全区60家资质等级以上建筑业企业，共完成建筑业总产值28.2亿元，同比下降6.1%；建筑施工企业房屋建筑施工面积256.24万平方米，同比下降24.3%。</w:t>
      </w:r>
    </w:p>
    <w:p w14:paraId="590302EE">
      <w:pPr>
        <w:pStyle w:val="4"/>
        <w:bidi w:val="0"/>
      </w:pPr>
      <w:bookmarkStart w:id="36" w:name="_Toc4227"/>
      <w:r>
        <w:rPr>
          <w:rFonts w:hint="eastAsia"/>
        </w:rPr>
        <w:t>3、固定资产投资</w:t>
      </w:r>
      <w:bookmarkEnd w:id="36"/>
    </w:p>
    <w:p w14:paraId="3D17A95C">
      <w:pPr>
        <w:bidi w:val="0"/>
      </w:pPr>
      <w:r>
        <w:t>2022年，全区固定资产投资同比增长7.5%，其中，项目投资同比增长37.6%，房地产投资同比下降40.3%。在项目投资中，工业投资同比增长18.1%（其中：技改投资同比增长29.2%）。分产业看，第一产业投资同比增长127.4%，第二产业投资同比增长18.1%，第三产业投资同比下降1.5%。</w:t>
      </w:r>
      <w:bookmarkStart w:id="37" w:name="_Toc658023685_WPSOffice_Level2"/>
    </w:p>
    <w:p w14:paraId="38392485">
      <w:pPr>
        <w:pStyle w:val="3"/>
        <w:bidi w:val="0"/>
      </w:pPr>
      <w:bookmarkStart w:id="38" w:name="_Toc30036"/>
      <w:bookmarkStart w:id="39" w:name="_Toc3789"/>
      <w:r>
        <w:t>（三）梅县区畜牧业发展现状</w:t>
      </w:r>
      <w:bookmarkEnd w:id="37"/>
      <w:bookmarkEnd w:id="38"/>
      <w:bookmarkEnd w:id="39"/>
    </w:p>
    <w:p w14:paraId="12234EEE">
      <w:pPr>
        <w:pStyle w:val="4"/>
        <w:bidi w:val="0"/>
      </w:pPr>
      <w:bookmarkStart w:id="40" w:name="_Toc9528"/>
      <w:bookmarkStart w:id="41" w:name="_Toc1034194223_WPSOffice_Level3"/>
      <w:r>
        <w:rPr>
          <w:rFonts w:hint="eastAsia"/>
        </w:rPr>
        <w:t>1、畜牧业总体情况</w:t>
      </w:r>
      <w:bookmarkEnd w:id="40"/>
      <w:bookmarkEnd w:id="41"/>
    </w:p>
    <w:p w14:paraId="798BA41C">
      <w:pPr>
        <w:spacing w:before="0" w:after="0" w:line="360" w:lineRule="auto"/>
        <w:ind w:left="0" w:right="0" w:firstLine="640"/>
        <w:jc w:val="both"/>
        <w:rPr>
          <w:rFonts w:ascii="仿宋_GB2312" w:hAnsi="仿宋_GB2312" w:eastAsia="仿宋_GB2312" w:cs="仿宋_GB2312"/>
          <w:color w:val="auto"/>
          <w:spacing w:val="0"/>
          <w:position w:val="0"/>
          <w:sz w:val="32"/>
          <w:shd w:val="clear" w:fill="auto"/>
        </w:rPr>
      </w:pPr>
      <w:bookmarkStart w:id="42" w:name="_Toc457172390_WPSOffice_Level3"/>
      <w:r>
        <w:rPr>
          <w:rFonts w:hint="eastAsia" w:ascii="仿宋_GB2312" w:hAnsi="仿宋_GB2312" w:eastAsia="仿宋_GB2312" w:cs="仿宋_GB2312"/>
          <w:color w:val="auto"/>
          <w:spacing w:val="0"/>
          <w:position w:val="0"/>
          <w:sz w:val="32"/>
          <w:shd w:val="clear" w:fill="auto"/>
        </w:rPr>
        <w:t>据2022年梅</w:t>
      </w:r>
      <w:r>
        <w:rPr>
          <w:rFonts w:hint="eastAsia" w:ascii="仿宋_GB2312" w:hAnsi="仿宋_GB2312" w:eastAsia="仿宋_GB2312" w:cs="仿宋_GB2312"/>
          <w:color w:val="auto"/>
          <w:spacing w:val="0"/>
          <w:position w:val="0"/>
          <w:sz w:val="32"/>
          <w:shd w:val="clear" w:fill="auto"/>
          <w:lang w:val="en-US" w:eastAsia="zh-CN"/>
        </w:rPr>
        <w:t>县</w:t>
      </w:r>
      <w:r>
        <w:rPr>
          <w:rFonts w:hint="eastAsia" w:ascii="仿宋_GB2312" w:hAnsi="仿宋_GB2312" w:eastAsia="仿宋_GB2312" w:cs="仿宋_GB2312"/>
          <w:color w:val="auto"/>
          <w:spacing w:val="0"/>
          <w:position w:val="0"/>
          <w:sz w:val="32"/>
          <w:shd w:val="clear" w:fill="auto"/>
        </w:rPr>
        <w:t>统计</w:t>
      </w:r>
      <w:r>
        <w:rPr>
          <w:rFonts w:hint="eastAsia" w:ascii="仿宋_GB2312" w:hAnsi="仿宋_GB2312" w:eastAsia="仿宋_GB2312" w:cs="仿宋_GB2312"/>
          <w:color w:val="auto"/>
          <w:spacing w:val="0"/>
          <w:position w:val="0"/>
          <w:sz w:val="32"/>
          <w:shd w:val="clear" w:fill="auto"/>
          <w:lang w:val="en-US" w:eastAsia="zh-CN"/>
        </w:rPr>
        <w:t>数据</w:t>
      </w:r>
      <w:r>
        <w:rPr>
          <w:rFonts w:hint="eastAsia" w:ascii="仿宋_GB2312" w:hAnsi="仿宋_GB2312" w:eastAsia="仿宋_GB2312" w:cs="仿宋_GB2312"/>
          <w:color w:val="auto"/>
          <w:spacing w:val="0"/>
          <w:position w:val="0"/>
          <w:sz w:val="32"/>
          <w:shd w:val="clear" w:fill="auto"/>
        </w:rPr>
        <w:t>，梅县区农林牧渔总产值9</w:t>
      </w:r>
      <w:r>
        <w:rPr>
          <w:rFonts w:hint="eastAsia" w:ascii="仿宋_GB2312" w:hAnsi="仿宋_GB2312" w:eastAsia="仿宋_GB2312" w:cs="仿宋_GB2312"/>
          <w:color w:val="auto"/>
          <w:spacing w:val="0"/>
          <w:position w:val="0"/>
          <w:sz w:val="32"/>
          <w:shd w:val="clear" w:fill="auto"/>
          <w:lang w:val="en-US" w:eastAsia="zh-CN"/>
        </w:rPr>
        <w:t>47</w:t>
      </w:r>
      <w:r>
        <w:rPr>
          <w:rFonts w:hint="eastAsia" w:ascii="仿宋_GB2312" w:hAnsi="仿宋_GB2312" w:eastAsia="仿宋_GB2312" w:cs="仿宋_GB2312"/>
          <w:color w:val="auto"/>
          <w:spacing w:val="0"/>
          <w:position w:val="0"/>
          <w:sz w:val="32"/>
          <w:shd w:val="clear" w:fill="auto"/>
        </w:rPr>
        <w:t>9</w:t>
      </w:r>
      <w:r>
        <w:rPr>
          <w:rFonts w:hint="eastAsia" w:ascii="仿宋_GB2312" w:hAnsi="仿宋_GB2312" w:eastAsia="仿宋_GB2312" w:cs="仿宋_GB2312"/>
          <w:color w:val="auto"/>
          <w:spacing w:val="0"/>
          <w:position w:val="0"/>
          <w:sz w:val="32"/>
          <w:shd w:val="clear" w:fill="auto"/>
          <w:lang w:val="en-US" w:eastAsia="zh-CN"/>
        </w:rPr>
        <w:t>85</w:t>
      </w:r>
      <w:r>
        <w:rPr>
          <w:rFonts w:hint="eastAsia" w:ascii="仿宋_GB2312" w:hAnsi="仿宋_GB2312" w:eastAsia="仿宋_GB2312" w:cs="仿宋_GB2312"/>
          <w:color w:val="auto"/>
          <w:spacing w:val="0"/>
          <w:position w:val="0"/>
          <w:sz w:val="32"/>
          <w:shd w:val="clear" w:fill="auto"/>
        </w:rPr>
        <w:t>万元，其中畜牧业产值14</w:t>
      </w:r>
      <w:r>
        <w:rPr>
          <w:rFonts w:hint="eastAsia" w:ascii="仿宋_GB2312" w:hAnsi="仿宋_GB2312" w:eastAsia="仿宋_GB2312" w:cs="仿宋_GB2312"/>
          <w:color w:val="auto"/>
          <w:spacing w:val="0"/>
          <w:position w:val="0"/>
          <w:sz w:val="32"/>
          <w:shd w:val="clear" w:fill="auto"/>
          <w:lang w:val="en-US" w:eastAsia="zh-CN"/>
        </w:rPr>
        <w:t>03</w:t>
      </w:r>
      <w:r>
        <w:rPr>
          <w:rFonts w:hint="eastAsia" w:ascii="仿宋_GB2312" w:hAnsi="仿宋_GB2312" w:eastAsia="仿宋_GB2312" w:cs="仿宋_GB2312"/>
          <w:color w:val="auto"/>
          <w:spacing w:val="0"/>
          <w:position w:val="0"/>
          <w:sz w:val="32"/>
          <w:shd w:val="clear" w:fill="auto"/>
        </w:rPr>
        <w:t>61万元，占比约1</w:t>
      </w:r>
      <w:r>
        <w:rPr>
          <w:rFonts w:hint="eastAsia" w:ascii="仿宋_GB2312" w:hAnsi="仿宋_GB2312" w:eastAsia="仿宋_GB2312" w:cs="仿宋_GB2312"/>
          <w:color w:val="auto"/>
          <w:spacing w:val="0"/>
          <w:position w:val="0"/>
          <w:sz w:val="32"/>
          <w:shd w:val="clear" w:fill="auto"/>
          <w:lang w:val="en-US" w:eastAsia="zh-CN"/>
        </w:rPr>
        <w:t>4</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val="en-US" w:eastAsia="zh-CN"/>
        </w:rPr>
        <w:t>81</w:t>
      </w:r>
      <w:r>
        <w:rPr>
          <w:rFonts w:hint="eastAsia" w:ascii="仿宋_GB2312" w:hAnsi="仿宋_GB2312" w:eastAsia="仿宋_GB2312" w:cs="仿宋_GB2312"/>
          <w:color w:val="auto"/>
          <w:spacing w:val="0"/>
          <w:position w:val="0"/>
          <w:sz w:val="32"/>
          <w:shd w:val="clear" w:fill="auto"/>
        </w:rPr>
        <w:t>%。全区出栏猪、禽、牛、羊分别为30.95万头，815.57万只，0.27万头，2.88万只；肉类总产量3.94万吨，其中猪肉产量2.49万吨、牛肉产量0.03万吨、羊肉产量0.05万吨，禽肉产量1.21万吨、禽蛋产量0.39万吨，奶类产量0.015万吨；能繁母猪存栏1.6026万头、生猪存栏20.28万头、家禽存栏233.39万只、奶牛存栏0.01万头。</w:t>
      </w:r>
    </w:p>
    <w:p w14:paraId="3C830B57">
      <w:pPr>
        <w:ind w:firstLine="643"/>
        <w:rPr>
          <w:rFonts w:hint="eastAsia" w:ascii="Times New Roman" w:hAnsi="Times New Roman" w:eastAsia="楷体" w:cs="楷体"/>
          <w:b/>
          <w:bCs/>
        </w:rPr>
      </w:pPr>
    </w:p>
    <w:p w14:paraId="654F6EF3">
      <w:pPr>
        <w:pStyle w:val="4"/>
        <w:bidi w:val="0"/>
      </w:pPr>
      <w:bookmarkStart w:id="43" w:name="_Toc31161"/>
      <w:r>
        <w:rPr>
          <w:rFonts w:hint="eastAsia"/>
        </w:rPr>
        <w:t>2、规模养殖场的基本情况</w:t>
      </w:r>
      <w:bookmarkEnd w:id="43"/>
    </w:p>
    <w:p w14:paraId="7BD93F1B">
      <w:pPr>
        <w:bidi w:val="0"/>
      </w:pPr>
      <w:r>
        <w:rPr>
          <w:rFonts w:hint="eastAsia"/>
        </w:rPr>
        <w:t>2022年，全区年出栏生猪500头以上的规模猪场49个，年出栏5万只以上的肉鸡养殖场10个；年出栏1万只以上养鸽场有3家，年出栏约150万只。建设有1个国家级畜禽养殖标准化示范场、8个省级畜禽养殖标准化示范场，建立了1个国家级生猪产能调控基地、4个省级生猪产能调控基地。</w:t>
      </w:r>
    </w:p>
    <w:p w14:paraId="3FED3C73">
      <w:pPr>
        <w:pStyle w:val="4"/>
        <w:bidi w:val="0"/>
      </w:pPr>
      <w:bookmarkStart w:id="44" w:name="_Toc4635"/>
      <w:r>
        <w:rPr>
          <w:rFonts w:hint="eastAsia"/>
        </w:rPr>
        <w:t>3、畜禽产业发展存在的主要问题</w:t>
      </w:r>
      <w:bookmarkEnd w:id="42"/>
      <w:bookmarkEnd w:id="44"/>
    </w:p>
    <w:p w14:paraId="19DA544D">
      <w:pPr>
        <w:bidi w:val="0"/>
      </w:pPr>
      <w:r>
        <w:rPr>
          <w:rFonts w:hint="eastAsia"/>
          <w:b/>
          <w:bCs/>
        </w:rPr>
        <w:t>（1）</w:t>
      </w:r>
      <w:r>
        <w:rPr>
          <w:b/>
          <w:bCs/>
        </w:rPr>
        <w:t>规模化</w:t>
      </w:r>
      <w:r>
        <w:rPr>
          <w:rFonts w:hint="eastAsia"/>
          <w:b/>
          <w:bCs/>
        </w:rPr>
        <w:t>程度</w:t>
      </w:r>
      <w:r>
        <w:rPr>
          <w:b/>
          <w:bCs/>
        </w:rPr>
        <w:t>较低。</w:t>
      </w:r>
      <w:r>
        <w:t>2022年梅县区生猪年出栏量约</w:t>
      </w:r>
      <w:r>
        <w:rPr>
          <w:rFonts w:hint="eastAsia"/>
          <w:lang w:val="en-US" w:eastAsia="zh-CN"/>
        </w:rPr>
        <w:t>31</w:t>
      </w:r>
      <w:r>
        <w:t>万头，全区生猪养殖场1700多家，</w:t>
      </w:r>
      <w:r>
        <w:rPr>
          <w:rFonts w:hint="eastAsia"/>
        </w:rPr>
        <w:t>年出栏500头以上的</w:t>
      </w:r>
      <w:r>
        <w:t>仅49家；</w:t>
      </w:r>
      <w:r>
        <w:rPr>
          <w:rFonts w:hint="eastAsia"/>
        </w:rPr>
        <w:t>商品猪出栏占比不足4</w:t>
      </w:r>
      <w:r>
        <w:t>0</w:t>
      </w:r>
      <w:r>
        <w:rPr>
          <w:rFonts w:hint="eastAsia"/>
        </w:rPr>
        <w:t>%</w:t>
      </w:r>
      <w:r>
        <w:t>；</w:t>
      </w:r>
      <w:r>
        <w:rPr>
          <w:rFonts w:hint="eastAsia"/>
        </w:rPr>
        <w:t>具有备案的生猪规模养殖场仍有5家未养殖，空置率占8.</w:t>
      </w:r>
      <w:r>
        <w:t>6</w:t>
      </w:r>
      <w:r>
        <w:rPr>
          <w:rFonts w:hint="eastAsia"/>
        </w:rPr>
        <w:t>%；</w:t>
      </w:r>
      <w:r>
        <w:t>全区有肉鸡养殖场1072家，其中年出栏1万只以上的仅有66家，大部分为中小型养殖专业户，规模化养殖水平相对较低。</w:t>
      </w:r>
    </w:p>
    <w:p w14:paraId="095F83A0">
      <w:pPr>
        <w:bidi w:val="0"/>
      </w:pPr>
      <w:r>
        <w:rPr>
          <w:b/>
          <w:bCs/>
        </w:rPr>
        <w:t>（2）</w:t>
      </w:r>
      <w:r>
        <w:rPr>
          <w:rFonts w:hint="eastAsia"/>
          <w:b/>
          <w:bCs/>
        </w:rPr>
        <w:t>畜牧产业链延伸不足</w:t>
      </w:r>
      <w:r>
        <w:rPr>
          <w:b/>
          <w:bCs/>
        </w:rPr>
        <w:t>。</w:t>
      </w:r>
      <w:r>
        <w:t>梅县区畜牧业通过多年的发展取得了一定成就，也突破了以往单纯养殖出售活体的销售模式，不断延伸产业链，加强畜牧养殖产品的精深加工，从而增加养殖产品附加值，提高生产效益。但是大部分养殖产品仍然是以传统销售活体的方式进入初级市场，产品没有实现效益最大化，经济效益不明显。</w:t>
      </w:r>
    </w:p>
    <w:p w14:paraId="752A078A">
      <w:pPr>
        <w:bidi w:val="0"/>
      </w:pPr>
      <w:r>
        <w:rPr>
          <w:b/>
          <w:bCs/>
        </w:rPr>
        <w:t>（3）畜牧业发展专业技术人才</w:t>
      </w:r>
      <w:r>
        <w:rPr>
          <w:rFonts w:hint="eastAsia"/>
          <w:b/>
          <w:bCs/>
        </w:rPr>
        <w:t>缺乏</w:t>
      </w:r>
      <w:r>
        <w:rPr>
          <w:b/>
          <w:bCs/>
        </w:rPr>
        <w:t>。</w:t>
      </w:r>
      <w:r>
        <w:t>目前从事畜牧业生产的人员普遍专业水平较低。随着现代畜牧产业不断发展，对专业技术人员的需求也日趋</w:t>
      </w:r>
      <w:r>
        <w:rPr>
          <w:rFonts w:hint="eastAsia"/>
        </w:rPr>
        <w:t>凸显</w:t>
      </w:r>
      <w:r>
        <w:t>。新品种、新技术的应用与推广，先进设施设备的运行，管理理念及水平提升，需要大量懂技术、会管理的现代专业技术人才来完成，因此加快培养畜牧业专业技术人才显得十分迫切。</w:t>
      </w:r>
    </w:p>
    <w:p w14:paraId="45C9C0D1">
      <w:pPr>
        <w:bidi w:val="0"/>
      </w:pPr>
      <w:r>
        <w:rPr>
          <w:b/>
          <w:bCs/>
        </w:rPr>
        <w:t>（4）畜禽粪污资源化利用有待进一步加强。</w:t>
      </w:r>
      <w:r>
        <w:t>主要是规模养殖场治污设施配套有待进一步完善，全区规模养殖场虽然均建设有雨污分流、沼气池、厌氧池、氧化池、粪便堆放场等污染治理设施，但按环保标准要求配套治污设施仍有差距。此外</w:t>
      </w:r>
      <w:r>
        <w:rPr>
          <w:rFonts w:hint="eastAsia"/>
        </w:rPr>
        <w:t>，</w:t>
      </w:r>
      <w:r>
        <w:t>部分散养户环保意识较淡薄，监管难度较大。</w:t>
      </w:r>
    </w:p>
    <w:p w14:paraId="46056285">
      <w:pPr>
        <w:pStyle w:val="4"/>
        <w:bidi w:val="0"/>
      </w:pPr>
      <w:bookmarkStart w:id="45" w:name="_Toc32754"/>
      <w:r>
        <w:rPr>
          <w:rFonts w:hint="eastAsia"/>
        </w:rPr>
        <w:t>4、畜禽产业发展的对策和建议</w:t>
      </w:r>
      <w:bookmarkEnd w:id="45"/>
    </w:p>
    <w:p w14:paraId="66F494B8">
      <w:pPr>
        <w:bidi w:val="0"/>
      </w:pPr>
      <w:r>
        <w:rPr>
          <w:rFonts w:hint="eastAsia"/>
          <w:b/>
          <w:bCs/>
        </w:rPr>
        <w:t>（</w:t>
      </w:r>
      <w:r>
        <w:rPr>
          <w:b/>
          <w:bCs/>
        </w:rPr>
        <w:t>1</w:t>
      </w:r>
      <w:r>
        <w:rPr>
          <w:rFonts w:hint="eastAsia"/>
          <w:b/>
          <w:bCs/>
        </w:rPr>
        <w:t>）加大扶持力度。</w:t>
      </w:r>
      <w:r>
        <w:rPr>
          <w:rFonts w:hint="eastAsia"/>
        </w:rPr>
        <w:t>积极引进有实力企业合作或承租空置的规模场，充分利用闲置资源，加强对中小养殖场户的指导帮扶，引导鼓励大型规模养殖场开展兼并重组，带动中小养殖场基础设施条件升级改造，提升标准化养殖水平，加快规模产能扩张。</w:t>
      </w:r>
    </w:p>
    <w:p w14:paraId="729F4576">
      <w:pPr>
        <w:bidi w:val="0"/>
      </w:pPr>
      <w:r>
        <w:rPr>
          <w:rFonts w:hint="eastAsia"/>
          <w:b/>
          <w:bCs/>
        </w:rPr>
        <w:t>（</w:t>
      </w:r>
      <w:r>
        <w:rPr>
          <w:b/>
          <w:bCs/>
        </w:rPr>
        <w:t>2</w:t>
      </w:r>
      <w:r>
        <w:rPr>
          <w:rFonts w:hint="eastAsia"/>
          <w:b/>
          <w:bCs/>
        </w:rPr>
        <w:t>）强化政策支持。</w:t>
      </w:r>
      <w:r>
        <w:rPr>
          <w:rFonts w:hint="eastAsia"/>
        </w:rPr>
        <w:t>引导银行机构和保险机构全力支持生猪养殖企业发展，积极推动生猪“保险+期货”等产品落地，为企业解决门槛高、贷款融资难等实际问题，进一步推进企业提升机械化、自动化、智能化水平。认真落实国家畜牧业用地、用水、用电、农机补贴等有关规定，在养殖基地优先配套新农村建设和循环农业发展有关项目。</w:t>
      </w:r>
    </w:p>
    <w:p w14:paraId="6A3BB2B7">
      <w:pPr>
        <w:bidi w:val="0"/>
      </w:pPr>
      <w:r>
        <w:rPr>
          <w:rFonts w:hint="eastAsia"/>
          <w:b/>
          <w:bCs/>
        </w:rPr>
        <w:t>（3）引导金融服务。</w:t>
      </w:r>
      <w:r>
        <w:rPr>
          <w:rFonts w:hint="eastAsia"/>
        </w:rPr>
        <w:t>引导金融资本配置到畜牧业生产经营的特色优势产业和重点领域以及薄弱环节。引导和鼓励县域银行业金融机构将新增存款优先满足涉牧经济项目融资需求。鼓励有条件的地方法人金融机构发行专项金融债，扩大畜牧业发展资金来源。深化农村信用体系建设，总结推广畜牧业金融服务成功经验，提高养殖场户贷款可得性。</w:t>
      </w:r>
    </w:p>
    <w:p w14:paraId="48A9445F">
      <w:pPr>
        <w:bidi w:val="0"/>
      </w:pPr>
      <w:r>
        <w:rPr>
          <w:rFonts w:hint="eastAsia"/>
          <w:b/>
          <w:bCs/>
        </w:rPr>
        <w:t>（4）加强部门联动。</w:t>
      </w:r>
      <w:r>
        <w:rPr>
          <w:rFonts w:hint="eastAsia"/>
        </w:rPr>
        <w:t>畜牧业务部门要加强和各镇联系，熟悉本辖区内生猪养殖情况，加大调查摸底和行业指导力度，引导、督促企业努力做到育肥商品猪有序上市，不压栏、不惜售、保供给、稳产能。</w:t>
      </w:r>
    </w:p>
    <w:p w14:paraId="5365CEA1">
      <w:pPr>
        <w:bidi w:val="0"/>
      </w:pPr>
      <w:r>
        <w:rPr>
          <w:rFonts w:hint="eastAsia"/>
          <w:b/>
          <w:bCs/>
        </w:rPr>
        <w:t>（5）发展循环经济。</w:t>
      </w:r>
      <w:r>
        <w:rPr>
          <w:rFonts w:hint="eastAsia"/>
        </w:rPr>
        <w:t>大力发展以畜牧养殖业为纽带的循环经济，积极推广“牛一沼一菌”、“猪一沼一菌”等多种循环经济模式，延长畜牧产业链条，增加养殖效益，减少环境污染，创建“无公害养殖企业”。为规模养殖可持续发展创造有利条件。</w:t>
      </w:r>
    </w:p>
    <w:p w14:paraId="19E2C315">
      <w:pPr>
        <w:bidi w:val="0"/>
      </w:pPr>
      <w:r>
        <w:rPr>
          <w:rFonts w:hint="eastAsia"/>
          <w:b/>
          <w:bCs/>
        </w:rPr>
        <w:t>（6）狠抓监督管理。</w:t>
      </w:r>
      <w:r>
        <w:rPr>
          <w:rFonts w:hint="eastAsia"/>
        </w:rPr>
        <w:t>各相关部门要加强对全</w:t>
      </w:r>
      <w:r>
        <w:rPr>
          <w:rFonts w:hint="eastAsia"/>
          <w:lang w:val="en-US" w:eastAsia="zh-CN"/>
        </w:rPr>
        <w:t>区</w:t>
      </w:r>
      <w:r>
        <w:rPr>
          <w:rFonts w:hint="eastAsia"/>
        </w:rPr>
        <w:t>畜禽养殖场污染治理情况的监督检查，及时掌握工作进度情况，对检查、巡查发现的畜禽养殖环境污染行为，及时制止并向环保部门报告，对不按规定处理病死动物和畜禽养殖档案不全的违法行为依法进行严肃处理。</w:t>
      </w:r>
    </w:p>
    <w:p w14:paraId="1F8C9A8D">
      <w:pPr>
        <w:ind w:firstLine="640"/>
        <w:rPr>
          <w:rFonts w:ascii="Times New Roman" w:hAnsi="Times New Roman" w:eastAsia="文星黑体"/>
          <w:szCs w:val="32"/>
        </w:rPr>
      </w:pPr>
      <w:bookmarkStart w:id="46" w:name="_Toc698"/>
      <w:bookmarkStart w:id="47" w:name="_Toc25832"/>
      <w:r>
        <w:rPr>
          <w:rFonts w:ascii="Times New Roman" w:hAnsi="Times New Roman" w:eastAsia="文星黑体"/>
          <w:szCs w:val="32"/>
        </w:rPr>
        <w:br w:type="page"/>
      </w:r>
    </w:p>
    <w:bookmarkEnd w:id="46"/>
    <w:bookmarkEnd w:id="47"/>
    <w:p w14:paraId="3EE31C23">
      <w:pPr>
        <w:pStyle w:val="2"/>
        <w:bidi w:val="0"/>
        <w:rPr>
          <w:rFonts w:hint="eastAsia"/>
        </w:rPr>
      </w:pPr>
      <w:bookmarkStart w:id="48" w:name="_Toc31630"/>
      <w:bookmarkStart w:id="49" w:name="_Toc26470"/>
      <w:r>
        <w:rPr>
          <w:rFonts w:hint="eastAsia"/>
        </w:rPr>
        <w:t>三、发展思路和目标</w:t>
      </w:r>
      <w:bookmarkEnd w:id="48"/>
      <w:bookmarkEnd w:id="49"/>
    </w:p>
    <w:p w14:paraId="0AB8B4CE">
      <w:pPr>
        <w:pStyle w:val="3"/>
        <w:bidi w:val="0"/>
      </w:pPr>
      <w:bookmarkStart w:id="50" w:name="_Toc2004718958_WPSOffice_Level2"/>
      <w:bookmarkStart w:id="51" w:name="_Toc27810"/>
      <w:bookmarkStart w:id="52" w:name="_Toc23630"/>
      <w:r>
        <w:rPr>
          <w:rFonts w:hint="eastAsia"/>
        </w:rPr>
        <w:t>（一）发展思路</w:t>
      </w:r>
      <w:bookmarkEnd w:id="50"/>
      <w:bookmarkEnd w:id="51"/>
      <w:bookmarkEnd w:id="52"/>
    </w:p>
    <w:p w14:paraId="6FA05644">
      <w:pPr>
        <w:bidi w:val="0"/>
      </w:pPr>
      <w:r>
        <w:rPr>
          <w:rFonts w:hint="eastAsia"/>
        </w:rPr>
        <w:t>以习近平新时代中国特色社会主义思想为指导思想，紧紧围绕实施乡村振兴战略，加强前瞻性思考、全局性谋划、区域性布局、整体性推进。按照“绿色兴牧、质量立牧、补链强牧、依法治牧”的总体要求和“致力于畜牧业‘五新’推广，做到生猪产业平稳发展，做强家禽产业，加快发展草食动物”的工作思路，以高质量发展、绿色发展、高效发展、美丽发展、特色发展为主线，围绕梅州市畜牧业发展指导方针，高质量推进畜牧业绿色发展与特色发展，高水平保障畜禽产品安全有效供给，高标准构建畜牧全产业链模式。建立以布局区域化、养殖规模化、生产标准化、经营产业化、服务社会化为基本特征的现代畜牧业生产体系，不断提高畜牧业综合生产能力和市场竞争力，促进畜牧业可持续发展。建立以布局区域化、养殖规模化、生产标准化、经营产业化、服务社会化为基本特征的现代畜牧业生产体系，不断提高畜牧业综合生产能力和市场竞争力，促进畜牧业可持续发展。</w:t>
      </w:r>
    </w:p>
    <w:p w14:paraId="79D9D246">
      <w:pPr>
        <w:pStyle w:val="3"/>
        <w:bidi w:val="0"/>
      </w:pPr>
      <w:bookmarkStart w:id="53" w:name="_Toc32016"/>
      <w:bookmarkStart w:id="54" w:name="_Toc317"/>
      <w:bookmarkStart w:id="55" w:name="_Toc1341023542_WPSOffice_Level2"/>
      <w:r>
        <w:rPr>
          <w:rFonts w:hint="eastAsia"/>
        </w:rPr>
        <w:t>（二）规划原则</w:t>
      </w:r>
      <w:bookmarkEnd w:id="53"/>
      <w:bookmarkEnd w:id="54"/>
      <w:bookmarkEnd w:id="55"/>
    </w:p>
    <w:p w14:paraId="4DEEB440">
      <w:pPr>
        <w:bidi w:val="0"/>
      </w:pPr>
      <w:r>
        <w:rPr>
          <w:rFonts w:hint="eastAsia"/>
          <w:b/>
          <w:bCs/>
        </w:rPr>
        <w:t>（1）坚持市场导向，提效增收。</w:t>
      </w:r>
      <w:r>
        <w:rPr>
          <w:rFonts w:hint="eastAsia"/>
        </w:rPr>
        <w:t>坚持依法治牧和政策引导，充分发挥市场在资源配置中的决定性作用，着力调动农民、企业和社会各方面积极性，积极引导鼓励各类社会资源向现代畜牧业聚集，增强畜牧业发展活力。大力培育新型畜牧业主体和产业龙头，重点提升畜产品加工业能力水平，提升畜牧业集约化、规模化、专业化、组织化、社会化水平，构建畜牧业全产业链。</w:t>
      </w:r>
    </w:p>
    <w:p w14:paraId="63D24DE9">
      <w:pPr>
        <w:bidi w:val="0"/>
      </w:pPr>
      <w:r>
        <w:rPr>
          <w:rFonts w:hint="eastAsia"/>
          <w:b/>
          <w:bCs/>
        </w:rPr>
        <w:t>（2）坚持特色发展，品牌强牧。</w:t>
      </w:r>
      <w:r>
        <w:rPr>
          <w:rFonts w:hint="eastAsia"/>
        </w:rPr>
        <w:t>根据区位优势、成长环境等因素，充分尊重各区域的自然（品种）资源、社会经济生态条件和产业发展基础等现实状况，规划产业发展和区域布局，积极发展规模养殖和良种繁育。调</w:t>
      </w:r>
      <w:r>
        <w:rPr>
          <w:rFonts w:hint="eastAsia"/>
          <w:lang w:val="en-US" w:eastAsia="zh-CN"/>
        </w:rPr>
        <w:t>整</w:t>
      </w:r>
      <w:r>
        <w:rPr>
          <w:rFonts w:hint="eastAsia"/>
        </w:rPr>
        <w:t>优</w:t>
      </w:r>
      <w:r>
        <w:rPr>
          <w:rFonts w:hint="eastAsia"/>
          <w:lang w:val="en-US" w:eastAsia="zh-CN"/>
        </w:rPr>
        <w:t>化</w:t>
      </w:r>
      <w:r>
        <w:rPr>
          <w:rFonts w:hint="eastAsia"/>
        </w:rPr>
        <w:t>畜牧业产业结构，强化品牌建设，打造一批区域公用品牌、企业品牌、产品品牌，创新品牌营销推介，讲好品牌故事，叫响梅县区畜</w:t>
      </w:r>
      <w:r>
        <w:rPr>
          <w:rFonts w:hint="eastAsia"/>
          <w:lang w:val="en-US" w:eastAsia="zh-CN"/>
        </w:rPr>
        <w:t>禽</w:t>
      </w:r>
      <w:r>
        <w:rPr>
          <w:rFonts w:hint="eastAsia"/>
        </w:rPr>
        <w:t>产品品牌。实现现代优质畜禽产业的特色化、规模化、科技化、产业化、品牌化发展。</w:t>
      </w:r>
    </w:p>
    <w:p w14:paraId="4B549CE0">
      <w:pPr>
        <w:bidi w:val="0"/>
      </w:pPr>
      <w:r>
        <w:rPr>
          <w:rFonts w:hint="eastAsia"/>
          <w:b/>
          <w:bCs/>
        </w:rPr>
        <w:t>（3）坚持绿色兴牧，防控优先。</w:t>
      </w:r>
      <w:r>
        <w:rPr>
          <w:rFonts w:hint="eastAsia"/>
        </w:rPr>
        <w:t>转变畜牧业发展方式，把保护生态环境摆在优先位置，优化现代畜牧产业布局。因地制宜，分区施策，妥善处理好养殖业生产与环境治理、生态保护的关系。完善畜牧业资源环境与生态保护法律法规体系，促进现代畜牧业绿色可持续发展。将动物疫病防控作为防范畜牧业产业风险和防治人畜共患病的第一道防线，着力加强防疫队伍和能力建设，强化政府监管，落实企业防疫主体责任，形成防控合力。</w:t>
      </w:r>
    </w:p>
    <w:p w14:paraId="36DF01BD">
      <w:pPr>
        <w:bidi w:val="0"/>
      </w:pPr>
      <w:r>
        <w:rPr>
          <w:rFonts w:hint="eastAsia"/>
          <w:b/>
          <w:bCs/>
        </w:rPr>
        <w:t>（4）坚持科技创新，融合发展。</w:t>
      </w:r>
      <w:r>
        <w:rPr>
          <w:rFonts w:hint="eastAsia"/>
        </w:rPr>
        <w:t>依靠科技创新、技术进步、专业人才，提升梅县区畜禽良种化、养殖设施智能化、疫情防控精准化和生产管理信息化水平，推动梅县区畜牧业现代化、高科技发展。围绕“补短板，强弱项”，推进现代畜牧业“三链联通”，延伸产业链、提升价值链、打造供应链，实现一二三产业融合发展。</w:t>
      </w:r>
      <w:bookmarkStart w:id="56" w:name="_Toc364673560_WPSOffice_Level2"/>
    </w:p>
    <w:p w14:paraId="050AF6A5">
      <w:pPr>
        <w:pStyle w:val="3"/>
        <w:bidi w:val="0"/>
      </w:pPr>
      <w:bookmarkStart w:id="57" w:name="_Toc14121"/>
      <w:bookmarkStart w:id="58" w:name="_Toc17330"/>
      <w:r>
        <w:rPr>
          <w:rFonts w:hint="eastAsia"/>
        </w:rPr>
        <w:t>（三）发展目标</w:t>
      </w:r>
      <w:bookmarkEnd w:id="56"/>
      <w:bookmarkEnd w:id="57"/>
      <w:bookmarkEnd w:id="58"/>
    </w:p>
    <w:p w14:paraId="22DBAF85">
      <w:pPr>
        <w:bidi w:val="0"/>
      </w:pPr>
      <w:r>
        <w:rPr>
          <w:rFonts w:hint="eastAsia"/>
        </w:rPr>
        <w:t>遵循“科技强牧、机械强牧、绿色发展、安全生产、品牌化营销”的发展理念。合理布局，划定三区、实现禁养区规模化养殖场全部清退，推进非禁养区养殖场逐步完善粪污处理设施和废弃物资源化利用设施，突出以生态高效建设和适度集聚发展为重点，加速科技创新和成果转化，转变畜牧业发展模式，提升畜产品质量和市场竞争力，不断完善畜牧防疫体系、生态环境保护体系、畜产品质量安全追溯体系、科学技术支撑体系、畜牧业信息服务体系、畜牧队伍建设体系、畜牧社会化服务体系，最终实现现代畜牧业的规模、高效、安全、可持续发展要求。打响梅县区畜牧业品牌，提升梅县区畜牧业整体竞争力。</w:t>
      </w:r>
    </w:p>
    <w:p w14:paraId="69A3EC40">
      <w:pPr>
        <w:bidi w:val="0"/>
      </w:pPr>
      <w:r>
        <w:rPr>
          <w:rFonts w:hint="eastAsia"/>
          <w:b/>
          <w:bCs/>
        </w:rPr>
        <w:t>（1）种业水平进一步提升。</w:t>
      </w:r>
      <w:r>
        <w:rPr>
          <w:rFonts w:hint="eastAsia"/>
        </w:rPr>
        <w:t>围绕“陆丰牛”、“五华三黄鸡”保种场以及地方特色畜禽资源，提升种业发展水平，改良丰富区域畜禽良种，引进种质资源，提高优质畜产品产出率，逐步形成“保种优先、以用惠保、以用促保”的良性保种机制。以保种场为依托，支持发展创新要素有效集聚、市场机制充分发挥的联合育种实体；强化企业主体，支持畜禽种业企业做强做大、做专做精。</w:t>
      </w:r>
    </w:p>
    <w:p w14:paraId="60C29B34">
      <w:pPr>
        <w:bidi w:val="0"/>
        <w:rPr>
          <w:rFonts w:hint="eastAsia"/>
        </w:rPr>
      </w:pPr>
      <w:r>
        <w:rPr>
          <w:rFonts w:hint="eastAsia"/>
          <w:b/>
          <w:bCs/>
        </w:rPr>
        <w:t>（2）生产能力进一步增强。</w:t>
      </w:r>
      <w:r>
        <w:rPr>
          <w:rFonts w:hint="eastAsia"/>
        </w:rPr>
        <w:t>大力发展规模养殖和特色养殖。畜牧业综合生产能力稳步提升，肉类、禽类等主要畜</w:t>
      </w:r>
      <w:r>
        <w:rPr>
          <w:rFonts w:hint="eastAsia"/>
          <w:lang w:val="en-US" w:eastAsia="zh-CN"/>
        </w:rPr>
        <w:t>禽</w:t>
      </w:r>
      <w:r>
        <w:rPr>
          <w:rFonts w:hint="eastAsia"/>
        </w:rPr>
        <w:t>产品生产供应量稳定增长。到2028年，全区年生猪饲养量保持在6</w:t>
      </w:r>
      <w:r>
        <w:rPr>
          <w:rFonts w:hint="eastAsia"/>
          <w:lang w:val="en-US" w:eastAsia="zh-CN"/>
        </w:rPr>
        <w:t>5</w:t>
      </w:r>
      <w:r>
        <w:rPr>
          <w:rFonts w:hint="eastAsia"/>
        </w:rPr>
        <w:t>万头左右，家禽饲养量1300万羽左右。使梅县区成为粤港澳大湾区绿色、特色畜产品生产加工供应基地。</w:t>
      </w:r>
    </w:p>
    <w:p w14:paraId="63404697">
      <w:pPr>
        <w:bidi w:val="0"/>
      </w:pPr>
      <w:r>
        <w:rPr>
          <w:rFonts w:hint="eastAsia"/>
          <w:b/>
          <w:bCs/>
        </w:rPr>
        <w:t>（3）经济效益进一步增长。</w:t>
      </w:r>
      <w:r>
        <w:rPr>
          <w:rFonts w:hint="eastAsia"/>
        </w:rPr>
        <w:t>围绕“陆丰牛”、“五华三黄鸡”保种场以及地方特色畜禽资源，打造一二三产业融合发展的全产业链，集养殖、种植、加工、物流运输、销售、科普观光、培训为一体</w:t>
      </w:r>
      <w:r>
        <w:rPr>
          <w:rFonts w:hint="eastAsia"/>
          <w:lang w:val="en-US" w:eastAsia="zh-CN"/>
        </w:rPr>
        <w:t>的产业链，</w:t>
      </w:r>
      <w:r>
        <w:rPr>
          <w:rFonts w:hint="eastAsia"/>
        </w:rPr>
        <w:t>经济效益得到显著提升。</w:t>
      </w:r>
    </w:p>
    <w:p w14:paraId="3E763DEB">
      <w:pPr>
        <w:bidi w:val="0"/>
      </w:pPr>
      <w:r>
        <w:rPr>
          <w:rFonts w:hint="eastAsia"/>
          <w:b/>
          <w:bCs/>
        </w:rPr>
        <w:t>（4）现代化水平显著提高。</w:t>
      </w:r>
      <w:r>
        <w:rPr>
          <w:rFonts w:hint="eastAsia"/>
        </w:rPr>
        <w:t>到2028年，全区畜牧业区域布局更加优化，技术装备更加先进，畜牧业科技创新能力显著提升，人才队伍不断完善，科技成果转化成效明显，加快新品种、新技术、新模式、新工艺和新设备的集成配套和示范推广，提升畜牧产业核心竞争力，不断提升高科技对畜牧业的贡献率，实现全区畜牧业机械化水平显著提高。</w:t>
      </w:r>
    </w:p>
    <w:p w14:paraId="524459BA">
      <w:pPr>
        <w:bidi w:val="0"/>
      </w:pPr>
      <w:r>
        <w:rPr>
          <w:rFonts w:hint="eastAsia"/>
          <w:b/>
          <w:bCs/>
        </w:rPr>
        <w:t>（5）防疫体系进一步完善。</w:t>
      </w:r>
      <w:r>
        <w:rPr>
          <w:rFonts w:hint="eastAsia"/>
        </w:rPr>
        <w:t>到2028年，全区病死畜禽无害化处理长效机制、重大动物疫病防控机制、动物产品质量安全检测体系全面建立，满足养殖户防范非洲猪瘟等重大疾病的迫切需要，维护人民群众身体健康和动物产品质量安全，促进全区畜牧业持续健康发展。</w:t>
      </w:r>
    </w:p>
    <w:p w14:paraId="08CA59AC">
      <w:pPr>
        <w:bidi w:val="0"/>
        <w:rPr>
          <w:rFonts w:hint="default"/>
        </w:rPr>
      </w:pPr>
      <w:bookmarkStart w:id="59" w:name="_Toc1567832167"/>
      <w:bookmarkStart w:id="60" w:name="_Toc992451284"/>
      <w:r>
        <w:rPr>
          <w:b/>
          <w:bCs/>
        </w:rPr>
        <w:t>（6）生态环境进一步优化。</w:t>
      </w:r>
      <w:r>
        <w:t>到2028年，梅县区畜禽粪污综合利用率达到90%以上，规模养殖场粪污处理设施装备配套率达到100%。畜牧业持续快速健康发展，区域生态进一步优化。畜禽养殖废弃物资源化利用持续推进，形成种养结合、农牧循环的绿色发展方式，基本建立科学规范、权责清晰、约束有力的畜禽粪污资源化利用制度，基本形成种养结合循环发展机制，全区畜禽粪污基本实现资源化利用。</w:t>
      </w:r>
      <w:bookmarkEnd w:id="59"/>
      <w:bookmarkEnd w:id="60"/>
    </w:p>
    <w:p w14:paraId="70BB4835">
      <w:pPr>
        <w:bidi w:val="0"/>
      </w:pPr>
      <w:r>
        <w:rPr>
          <w:rFonts w:hint="eastAsia"/>
        </w:rPr>
        <w:br w:type="page"/>
      </w:r>
    </w:p>
    <w:p w14:paraId="20CAB586">
      <w:pPr>
        <w:pStyle w:val="2"/>
        <w:bidi w:val="0"/>
        <w:rPr>
          <w:rFonts w:hint="default"/>
        </w:rPr>
      </w:pPr>
      <w:bookmarkStart w:id="61" w:name="_Toc22574"/>
      <w:bookmarkStart w:id="62" w:name="_Toc24376"/>
      <w:r>
        <w:rPr>
          <w:rFonts w:hint="default"/>
        </w:rPr>
        <w:t>四、重点建设任务</w:t>
      </w:r>
      <w:bookmarkEnd w:id="61"/>
      <w:bookmarkEnd w:id="62"/>
    </w:p>
    <w:p w14:paraId="7CF33B47">
      <w:pPr>
        <w:pStyle w:val="3"/>
        <w:bidi w:val="0"/>
      </w:pPr>
      <w:bookmarkStart w:id="63" w:name="_Toc30930"/>
      <w:bookmarkStart w:id="64" w:name="_Toc23026"/>
      <w:r>
        <w:rPr>
          <w:rFonts w:hint="eastAsia"/>
        </w:rPr>
        <w:t>（一）优化畜禽养殖空间布局</w:t>
      </w:r>
      <w:bookmarkEnd w:id="63"/>
      <w:bookmarkEnd w:id="64"/>
    </w:p>
    <w:p w14:paraId="039D1B96">
      <w:pPr>
        <w:bidi w:val="0"/>
      </w:pPr>
      <w:r>
        <w:rPr>
          <w:rFonts w:hint="eastAsia"/>
        </w:rPr>
        <w:t>立足于梅县区生态环境和养殖业发展统筹安排种养发展空间，进一步优化畜牧业区域布局。依据生态循环理念，充分利用闲杂地、荒山荒坡、山垅等空间和土地资源，从事林下种植、养殖等立体复合生产经营。积极推广“种养结合，生态循环”模式，按照土地承载能力和有机肥需求、畜禽产品保供能力，精准规划引导畜牧业发展。严格落实《梅州市梅县区人民政府关于调整梅县区畜禽养殖区范围的公告》（梅县区府通〔2018〕</w:t>
      </w:r>
      <w:r>
        <w:rPr>
          <w:rFonts w:hint="eastAsia"/>
          <w:lang w:val="en-US" w:eastAsia="zh-CN"/>
        </w:rPr>
        <w:t>2号</w:t>
      </w:r>
      <w:r>
        <w:rPr>
          <w:rFonts w:hint="eastAsia"/>
        </w:rPr>
        <w:t>），实施梅县区禁养区、非禁养区畜禽养殖业清理整治，关停、搬迁禁养区内的规模化养殖场户，严格控制和规范禁养区散养行为；非规模化养殖户须严格配备规范的粪污储存设施和与养殖规模匹配的粪污消纳土地，确保粪污全部进行资源化利用。</w:t>
      </w:r>
    </w:p>
    <w:p w14:paraId="7A3C41ED">
      <w:pPr>
        <w:ind w:firstLine="480"/>
        <w:rPr>
          <w:rFonts w:ascii="Times New Roman" w:hAnsi="Times New Roman"/>
          <w:color w:val="FF0000"/>
          <w:sz w:val="24"/>
        </w:rPr>
      </w:pPr>
    </w:p>
    <w:p w14:paraId="4E5AC4BA">
      <w:pPr>
        <w:pStyle w:val="3"/>
        <w:bidi w:val="0"/>
      </w:pPr>
      <w:bookmarkStart w:id="65" w:name="_Toc71027842"/>
      <w:bookmarkStart w:id="66" w:name="_Toc110979222"/>
      <w:bookmarkStart w:id="67" w:name="_Toc28673"/>
      <w:bookmarkStart w:id="68" w:name="_Toc108367425"/>
      <w:bookmarkStart w:id="69" w:name="_Toc30769"/>
      <w:bookmarkStart w:id="70" w:name="_Toc24219"/>
      <w:r>
        <w:rPr>
          <w:rFonts w:hint="eastAsia"/>
        </w:rPr>
        <w:t>（二）</w:t>
      </w:r>
      <w:bookmarkEnd w:id="65"/>
      <w:r>
        <w:rPr>
          <w:rFonts w:hint="eastAsia"/>
        </w:rPr>
        <w:t>提升现代畜禽种业竞争力</w:t>
      </w:r>
      <w:bookmarkEnd w:id="66"/>
      <w:bookmarkEnd w:id="67"/>
      <w:bookmarkEnd w:id="68"/>
      <w:bookmarkEnd w:id="69"/>
      <w:bookmarkEnd w:id="70"/>
    </w:p>
    <w:p w14:paraId="510FCD96">
      <w:pPr>
        <w:pStyle w:val="4"/>
        <w:bidi w:val="0"/>
      </w:pPr>
      <w:bookmarkStart w:id="71" w:name="_Toc18798"/>
      <w:r>
        <w:rPr>
          <w:rFonts w:hint="eastAsia"/>
        </w:rPr>
        <w:t>1.推进优势特色畜禽种业发展</w:t>
      </w:r>
      <w:bookmarkEnd w:id="71"/>
    </w:p>
    <w:p w14:paraId="29599E44">
      <w:pPr>
        <w:bidi w:val="0"/>
      </w:pPr>
      <w:r>
        <w:rPr>
          <w:rFonts w:hint="eastAsia"/>
        </w:rPr>
        <w:t>充分发挥梅县区域优势，重点培育1</w:t>
      </w:r>
      <w:r>
        <w:rPr>
          <w:rFonts w:hint="eastAsia"/>
          <w:lang w:val="en-US" w:eastAsia="zh-CN"/>
        </w:rPr>
        <w:t>-</w:t>
      </w:r>
      <w:r>
        <w:rPr>
          <w:rFonts w:hint="eastAsia"/>
        </w:rPr>
        <w:t>2个具有市场潜力的优势畜禽主导产品，大力发展特色畜禽专业化生产，逐步形成特色鲜明、规模适度、优势突出、效益良好的畜禽主导产品；突出梅县区畜禽资源特色，提高供种保障能力和企业竞争实力，加快构建以产业为主导、企业为主体、基地为依托、探索产学研相结合的现代畜禽种业体系，扶持地方保护品种开展新品系的培育与推广。强化畜禽种质资源保护，根据当前梅县区畜牧业生产现状和现代化畜牧业生产的内在要求，因地制宜、合理布局、积极推进草食动物产业区域化，优化畜牧业内部结构。</w:t>
      </w:r>
    </w:p>
    <w:p w14:paraId="7B00EFD8">
      <w:pPr>
        <w:pStyle w:val="4"/>
        <w:bidi w:val="0"/>
      </w:pPr>
      <w:bookmarkStart w:id="72" w:name="_Toc6778"/>
      <w:r>
        <w:rPr>
          <w:rFonts w:hint="eastAsia"/>
        </w:rPr>
        <w:t>2.强化龙头企业和种业集群建设</w:t>
      </w:r>
      <w:bookmarkEnd w:id="72"/>
    </w:p>
    <w:p w14:paraId="05A9FA4F">
      <w:pPr>
        <w:bidi w:val="0"/>
      </w:pPr>
      <w:r>
        <w:rPr>
          <w:rFonts w:hint="eastAsia"/>
        </w:rPr>
        <w:t>发挥正大康地核心种猪育种（梅州）有限公司、梅州生原现代农业有限公司、梅州市梅县区丰都综合养禽场、梅州市广顺海食品有限公司、梅州市众乐农业生态有限公司等一批有实力的大型养殖企业集团等龙头企业优势，通过引进合作企业、项目政策支持等方式，积极扩大产能，开拓市场，积极建设标准化生产及原料基地，延伸农产品产地初加工中心、冷链物流、产品营销和服务网络，扩大生产规模，打造全产业链产业龙头。鼓励龙头企业与农民专业合作社、家庭农场、农户建立紧密利益联结机制，牵头农民专业合作社、家庭农场等联合成立农业产业化联合体，带动小农户发展现代农业。推进龙头企业开展质量管理体系、“三品一标”认证、龙头企业人才培训，提高龙头企业人才队伍素质，打造知名品牌，增强市场竞争力。以畜禽原种场为建设平台，扶持建设一批具有较大影响力的畜禽种业集团，加快培育一批辐射面广、带动力强的龙头企业，形成与区域生产布局相适应的畜禽良种繁育体系，促进区域畜牧业结构进一步调优、做强做大。</w:t>
      </w:r>
    </w:p>
    <w:p w14:paraId="79618EB0">
      <w:pPr>
        <w:pStyle w:val="3"/>
        <w:bidi w:val="0"/>
      </w:pPr>
      <w:bookmarkStart w:id="73" w:name="_Toc28357"/>
      <w:bookmarkStart w:id="74" w:name="_Toc108367426"/>
      <w:bookmarkStart w:id="75" w:name="_Toc110979223"/>
      <w:bookmarkStart w:id="76" w:name="_Toc16119"/>
      <w:bookmarkStart w:id="77" w:name="_Toc9091"/>
      <w:r>
        <w:rPr>
          <w:rFonts w:hint="eastAsia"/>
        </w:rPr>
        <w:t>（三）</w:t>
      </w:r>
      <w:bookmarkEnd w:id="73"/>
      <w:bookmarkEnd w:id="74"/>
      <w:bookmarkEnd w:id="75"/>
      <w:r>
        <w:rPr>
          <w:rFonts w:hint="eastAsia"/>
        </w:rPr>
        <w:t>保障生猪市场供给能力</w:t>
      </w:r>
      <w:bookmarkEnd w:id="76"/>
      <w:bookmarkEnd w:id="77"/>
    </w:p>
    <w:p w14:paraId="00443C02">
      <w:pPr>
        <w:pStyle w:val="4"/>
        <w:bidi w:val="0"/>
      </w:pPr>
      <w:bookmarkStart w:id="78" w:name="_Toc26129"/>
      <w:r>
        <w:rPr>
          <w:rFonts w:hint="eastAsia"/>
        </w:rPr>
        <w:t>1.全面保障生猪市场供应能力</w:t>
      </w:r>
      <w:bookmarkEnd w:id="78"/>
    </w:p>
    <w:p w14:paraId="3F05F4C3">
      <w:pPr>
        <w:bidi w:val="0"/>
      </w:pPr>
      <w:r>
        <w:rPr>
          <w:rFonts w:hint="eastAsia"/>
        </w:rPr>
        <w:t>深入实施重要农产品保障战略，根据划定的畜禽养殖禁养区、限养区范围和我区土地承载能力，落实“以地定养、农牧循环”要求，持续推动生猪产业布局优化，以能繁母猪存栏量变化率为核心调控指标，坚持预警为主、调控兜底、及时介入、精准施策的原则，分阶段实施调控措施，构建生猪生产逆周期调控机制，切实稳固生猪基础生产能力，着力加强生猪产业现代化建设，到2028年，保持备案生猪规模养殖场30个以上，其中大型生猪规模养殖场20个以上，全区生猪规模养殖场数量比例提升到</w:t>
      </w:r>
      <w:r>
        <w:rPr>
          <w:rFonts w:hint="eastAsia"/>
          <w:lang w:val="en-US" w:eastAsia="zh-CN"/>
        </w:rPr>
        <w:t>60</w:t>
      </w:r>
      <w:r>
        <w:rPr>
          <w:rFonts w:hint="eastAsia"/>
        </w:rPr>
        <w:t>%。</w:t>
      </w:r>
    </w:p>
    <w:p w14:paraId="44BE8C57">
      <w:pPr>
        <w:pStyle w:val="4"/>
        <w:bidi w:val="0"/>
      </w:pPr>
      <w:bookmarkStart w:id="79" w:name="_Toc24773"/>
      <w:r>
        <w:rPr>
          <w:rFonts w:hint="eastAsia"/>
        </w:rPr>
        <w:t>2.提升生猪养殖装备水平</w:t>
      </w:r>
      <w:bookmarkEnd w:id="79"/>
    </w:p>
    <w:p w14:paraId="74A8D064">
      <w:pPr>
        <w:bidi w:val="0"/>
      </w:pPr>
      <w:r>
        <w:rPr>
          <w:rFonts w:hint="eastAsia"/>
        </w:rPr>
        <w:t>按照“高效、低耗、低排、智能化控制”原则，持续开展生猪养殖标准化示范创建活动，全面推行生猪养殖按标准生产，逐步构建以规模场为主体的生猪标准化生产体系。大力推广运用技术先进、经济适用、安全可靠的成熟现代装备，实现主要生产环节机械设备齐全、工程配套设施完善，机械化、自动化、信息化融合发展。积极支持生猪养殖场购置自动饲喂、环境控制、疫病防控、废弃物处理等生猪养殖场设施装备提档升级。加大农机购置补贴力度，提升智能环控系统、精准喂料供水供电系统、粪尿收集与资源化利用系统、生物安全系统、信息化管理系统等设施装备水平。</w:t>
      </w:r>
    </w:p>
    <w:p w14:paraId="2FF620EF">
      <w:pPr>
        <w:pStyle w:val="3"/>
        <w:bidi w:val="0"/>
      </w:pPr>
      <w:bookmarkStart w:id="80" w:name="_Toc15213"/>
      <w:bookmarkStart w:id="81" w:name="_Toc22422"/>
      <w:r>
        <w:rPr>
          <w:rFonts w:hint="eastAsia"/>
        </w:rPr>
        <w:t>（四）推动肉牛产业提质增效</w:t>
      </w:r>
      <w:bookmarkEnd w:id="80"/>
      <w:bookmarkEnd w:id="81"/>
    </w:p>
    <w:p w14:paraId="0FD43843">
      <w:pPr>
        <w:bidi w:val="0"/>
      </w:pPr>
      <w:r>
        <w:rPr>
          <w:rFonts w:hint="eastAsia"/>
        </w:rPr>
        <w:t>按照“绿色兴牧、质量强牧、生态立牧、依法治牧”的总体要求，以“保供给、保安全、保生态、促发展”为目标，立足山区优良生态环境优势，因地制宜适度发展肉牛养殖，推进肉牛产业绿色发展，保障我区肉牛产品安全供给。持续推进肉牛繁育加工一体化建设，并打造肉牛养殖、屠宰、加工全产业链一体化模式。到2028年，全区肉牛规模养殖场</w:t>
      </w:r>
      <w:r>
        <w:rPr>
          <w:rFonts w:hint="eastAsia"/>
          <w:lang w:val="en-US" w:eastAsia="zh-CN"/>
        </w:rPr>
        <w:t>达到4</w:t>
      </w:r>
      <w:r>
        <w:rPr>
          <w:rFonts w:hint="eastAsia"/>
        </w:rPr>
        <w:t>家。继续加快大力引进肉牛养殖、屠宰、加工龙头企业，培育“四上”企业，整体提升肉牛产业化水平。积极推进肉牛标准化规模养殖，推动产业扩能升级、增产增效，建成养殖规模适度、生产水平高、综合竞争力强的肉牛养殖基地。推动本地肉牛养殖与肉牛加工企业深度合作，大力发展牛肉精深加工和牛副产品综合利用，提升梅州“牛字号”品牌知名度、美誉度和竞争力。</w:t>
      </w:r>
    </w:p>
    <w:p w14:paraId="0E03DE4F">
      <w:pPr>
        <w:pStyle w:val="3"/>
        <w:bidi w:val="0"/>
      </w:pPr>
      <w:bookmarkStart w:id="82" w:name="_Toc9087"/>
      <w:bookmarkStart w:id="83" w:name="_Toc108367427"/>
      <w:bookmarkStart w:id="84" w:name="_Toc22923"/>
      <w:bookmarkStart w:id="85" w:name="_Toc110979224"/>
      <w:bookmarkStart w:id="86" w:name="_Toc25185"/>
      <w:r>
        <w:rPr>
          <w:rFonts w:hint="eastAsia"/>
        </w:rPr>
        <w:t>（五）构建畜禽产品加工体系</w:t>
      </w:r>
      <w:bookmarkEnd w:id="82"/>
      <w:bookmarkEnd w:id="83"/>
      <w:bookmarkEnd w:id="84"/>
      <w:bookmarkEnd w:id="85"/>
      <w:bookmarkEnd w:id="86"/>
    </w:p>
    <w:p w14:paraId="55998776">
      <w:pPr>
        <w:pStyle w:val="4"/>
        <w:bidi w:val="0"/>
      </w:pPr>
      <w:bookmarkStart w:id="87" w:name="_Toc3810"/>
      <w:r>
        <w:rPr>
          <w:rFonts w:hint="eastAsia"/>
        </w:rPr>
        <w:t>1.提升畜禽产品加工水平</w:t>
      </w:r>
      <w:bookmarkEnd w:id="87"/>
    </w:p>
    <w:p w14:paraId="473FF56E">
      <w:pPr>
        <w:bidi w:val="0"/>
      </w:pPr>
      <w:r>
        <w:rPr>
          <w:rFonts w:hint="eastAsia"/>
        </w:rPr>
        <w:t>梅县区将依托重点龙头屠宰加工企业，加强畜禽产品研发，鼓励精深加工产品和高附加值产品的生产，</w:t>
      </w:r>
      <w:r>
        <w:t>加快</w:t>
      </w:r>
      <w:r>
        <w:rPr>
          <w:rFonts w:hint="eastAsia"/>
        </w:rPr>
        <w:t>传统畜产品的工业化和高新技术化。加大养殖产品精深加工的研发力度，研究创新产品，创造具有核心竞争力的产品。努力探索“科研</w:t>
      </w:r>
      <w:r>
        <w:rPr>
          <w:rFonts w:hint="eastAsia"/>
          <w:lang w:val="en-US" w:eastAsia="zh-CN"/>
        </w:rPr>
        <w:t>+</w:t>
      </w:r>
      <w:r>
        <w:rPr>
          <w:rFonts w:hint="eastAsia"/>
        </w:rPr>
        <w:t>企业+基地（农户）”的发展模式，推进畜产品科研、生产、加工等环节的无缝对接，为畜产品加工业的跨越发展打下坚实基础。</w:t>
      </w:r>
    </w:p>
    <w:p w14:paraId="756318EC">
      <w:pPr>
        <w:pStyle w:val="4"/>
        <w:bidi w:val="0"/>
      </w:pPr>
      <w:bookmarkStart w:id="88" w:name="_Toc12779"/>
      <w:r>
        <w:rPr>
          <w:rFonts w:hint="eastAsia"/>
        </w:rPr>
        <w:t>2.优化畜禽屠宰布局</w:t>
      </w:r>
      <w:bookmarkEnd w:id="88"/>
    </w:p>
    <w:p w14:paraId="65383B3E">
      <w:pPr>
        <w:bidi w:val="0"/>
      </w:pPr>
      <w:r>
        <w:rPr>
          <w:rFonts w:hint="eastAsia"/>
        </w:rPr>
        <w:t>按照“产区集中屠宰，冷链加工，规模经营”的要求，重点在生猪产区合理布局屠宰点，优化屠宰加工产能布局，打造屠宰、加工产业基地，鼓励建设冷库、低温分割车间等冷藏加工设施，引导畜禽屠宰加工企业向养殖主产区转移。推进肉牛繁育加工一体化建设，并打造肉牛养殖、屠宰、加工全产业链一体化模式。到2028年，全县</w:t>
      </w:r>
      <w:r>
        <w:rPr>
          <w:rFonts w:hint="eastAsia"/>
          <w:lang w:val="en-US" w:eastAsia="zh-CN"/>
        </w:rPr>
        <w:t>新建1</w:t>
      </w:r>
      <w:r>
        <w:rPr>
          <w:rFonts w:hint="eastAsia"/>
        </w:rPr>
        <w:t>家肉牛屠宰场</w:t>
      </w:r>
      <w:r>
        <w:rPr>
          <w:rFonts w:hint="eastAsia"/>
          <w:lang w:val="en-US" w:eastAsia="zh-CN"/>
        </w:rPr>
        <w:t>和1家活禽屠宰场</w:t>
      </w:r>
      <w:r>
        <w:rPr>
          <w:rFonts w:hint="eastAsia"/>
        </w:rPr>
        <w:t>，分别为梅州市广顺海食品有限公司</w:t>
      </w:r>
      <w:r>
        <w:rPr>
          <w:rFonts w:hint="eastAsia"/>
          <w:lang w:val="en-US" w:eastAsia="zh-CN"/>
        </w:rPr>
        <w:t>和梅县区勇信肉类食品加工产业园</w:t>
      </w:r>
      <w:r>
        <w:rPr>
          <w:rFonts w:hint="eastAsia"/>
        </w:rPr>
        <w:t>。按照减数控量、提质增效的要求，</w:t>
      </w:r>
      <w:r>
        <w:rPr>
          <w:rFonts w:hint="eastAsia"/>
          <w:lang w:val="en-US" w:eastAsia="zh-CN"/>
        </w:rPr>
        <w:t>进一步优化乡镇屠宰场合理布局</w:t>
      </w:r>
      <w:r>
        <w:rPr>
          <w:rFonts w:hint="eastAsia"/>
        </w:rPr>
        <w:t>。</w:t>
      </w:r>
    </w:p>
    <w:p w14:paraId="5C2305CB">
      <w:pPr>
        <w:pStyle w:val="4"/>
        <w:bidi w:val="0"/>
      </w:pPr>
      <w:bookmarkStart w:id="89" w:name="_Toc24977"/>
      <w:r>
        <w:rPr>
          <w:rFonts w:hint="eastAsia"/>
        </w:rPr>
        <w:t>3.完善冷链物流配送体系</w:t>
      </w:r>
      <w:bookmarkEnd w:id="89"/>
    </w:p>
    <w:p w14:paraId="3D28905C">
      <w:pPr>
        <w:bidi w:val="0"/>
      </w:pPr>
      <w:r>
        <w:rPr>
          <w:rFonts w:hint="eastAsia"/>
        </w:rPr>
        <w:t>推进建设产品集散市场和物流中心，提高畜牧业物流服务的现代化水平。推动物流配送企业完善冷链配送体系，建立覆盖到乡镇的畜牧产品冷链网络，规范活畜禽跨区域调运管理，完善“点对点”调运制度。减少活猪跨区域调运（种猪、仔猪除外），逐步实现从调猪向调肉转变，倡导畜产品安全健康消费，鼓励发展畜产品电商和开设消费体验店，拓展销售网络，逐步提高冷鲜肉品消费比重。</w:t>
      </w:r>
    </w:p>
    <w:p w14:paraId="0E71F13E">
      <w:pPr>
        <w:ind w:firstLine="0" w:firstLineChars="0"/>
        <w:jc w:val="center"/>
        <w:rPr>
          <w:rFonts w:ascii="Times New Roman" w:hAnsi="Times New Roman" w:eastAsia="宋体"/>
        </w:rPr>
      </w:pPr>
      <w:r>
        <w:rPr>
          <w:rFonts w:hint="eastAsia" w:ascii="Times New Roman" w:hAnsi="Times New Roman" w:eastAsia="宋体"/>
        </w:rPr>
        <w:drawing>
          <wp:inline distT="0" distB="0" distL="114300" distR="114300">
            <wp:extent cx="5039995" cy="1610360"/>
            <wp:effectExtent l="0" t="0" r="4445" b="5080"/>
            <wp:docPr id="16" name="图片 16" descr="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模式"/>
                    <pic:cNvPicPr>
                      <a:picLocks noChangeAspect="1"/>
                    </pic:cNvPicPr>
                  </pic:nvPicPr>
                  <pic:blipFill>
                    <a:blip r:embed="rId10"/>
                    <a:stretch>
                      <a:fillRect/>
                    </a:stretch>
                  </pic:blipFill>
                  <pic:spPr>
                    <a:xfrm>
                      <a:off x="0" y="0"/>
                      <a:ext cx="5039995" cy="1610360"/>
                    </a:xfrm>
                    <a:prstGeom prst="rect">
                      <a:avLst/>
                    </a:prstGeom>
                  </pic:spPr>
                </pic:pic>
              </a:graphicData>
            </a:graphic>
          </wp:inline>
        </w:drawing>
      </w:r>
    </w:p>
    <w:p w14:paraId="031B6E93">
      <w:pPr>
        <w:pStyle w:val="3"/>
        <w:bidi w:val="0"/>
      </w:pPr>
      <w:bookmarkStart w:id="90" w:name="_Toc71027847"/>
      <w:bookmarkStart w:id="91" w:name="_Toc108367429"/>
      <w:bookmarkStart w:id="92" w:name="_Toc5418"/>
      <w:bookmarkStart w:id="93" w:name="_Toc8844"/>
      <w:bookmarkStart w:id="94" w:name="_Toc110979226"/>
      <w:bookmarkStart w:id="95" w:name="_Toc9102"/>
      <w:r>
        <w:rPr>
          <w:rFonts w:hint="eastAsia"/>
        </w:rPr>
        <w:t>（六）建立动物疫病防控体系</w:t>
      </w:r>
      <w:bookmarkEnd w:id="90"/>
      <w:bookmarkEnd w:id="91"/>
      <w:bookmarkEnd w:id="92"/>
      <w:bookmarkEnd w:id="93"/>
      <w:bookmarkEnd w:id="94"/>
      <w:bookmarkEnd w:id="95"/>
    </w:p>
    <w:p w14:paraId="0F11B104">
      <w:pPr>
        <w:pStyle w:val="4"/>
        <w:bidi w:val="0"/>
      </w:pPr>
      <w:bookmarkStart w:id="96" w:name="_Toc24901"/>
      <w:r>
        <w:rPr>
          <w:rFonts w:hint="eastAsia"/>
        </w:rPr>
        <w:t>1.提升疫病防控能力</w:t>
      </w:r>
      <w:bookmarkEnd w:id="96"/>
    </w:p>
    <w:p w14:paraId="0FF2B6D9">
      <w:pPr>
        <w:bidi w:val="0"/>
      </w:pPr>
      <w:r>
        <w:rPr>
          <w:rFonts w:hint="eastAsia"/>
        </w:rPr>
        <w:t>着力提高动物疫病风险防范和控制能力，建立健全动物疫病防控长效机制，科学规范、有效控制动物疫病风险。强化防疫主体责任落实，督促指导畜禽生产经营主体改善动物防疫条件，健全防疫制度，落实强制免疫、清洗消毒、疫情报告等措施，不断提升养殖、运输、屠宰等环节生物安全水平。鼓励规模养殖场和屠宰场开展重大动物疫病自检，保障畜牧业生产安全和兽医公共卫生安全。</w:t>
      </w:r>
    </w:p>
    <w:p w14:paraId="22F64A83">
      <w:pPr>
        <w:pStyle w:val="4"/>
        <w:bidi w:val="0"/>
      </w:pPr>
      <w:bookmarkStart w:id="97" w:name="_Toc3028"/>
      <w:bookmarkStart w:id="98" w:name="_Toc71027846"/>
      <w:bookmarkStart w:id="99" w:name="_Toc108367430"/>
      <w:bookmarkStart w:id="100" w:name="_Toc16698"/>
      <w:bookmarkStart w:id="101" w:name="_Toc110979227"/>
      <w:r>
        <w:rPr>
          <w:rFonts w:hint="eastAsia"/>
        </w:rPr>
        <w:t>2.强化动物检疫监督</w:t>
      </w:r>
      <w:bookmarkEnd w:id="97"/>
    </w:p>
    <w:p w14:paraId="2EDD719F">
      <w:pPr>
        <w:bidi w:val="0"/>
      </w:pPr>
      <w:r>
        <w:rPr>
          <w:rFonts w:hint="eastAsia"/>
        </w:rPr>
        <w:t>进一步加强动物检疫申报点建设，夯实动物检疫基础，加强检疫监督制度建设，完善动物检疫、动物卫生监督证章标志管理制度。推动建立以疫病监测、实验室检测为基础的动物检疫制度，支持发展第三方检测服务机构，进一步提升动物检疫科学化水平。严格执行动物检疫申报等规定，规范动物检疫过程，强化动物检疫出证管理，严厉打击违规出证、非法倒卖动物卫生监督证章标志等违法违规行为。鼓励动物饲养场、屠宰企业配备与其规模相适应的执业兽医和动物防疫技术人员，提高协助实施检疫能力。</w:t>
      </w:r>
    </w:p>
    <w:p w14:paraId="36A47173">
      <w:pPr>
        <w:pStyle w:val="3"/>
        <w:bidi w:val="0"/>
      </w:pPr>
      <w:bookmarkStart w:id="102" w:name="_Toc25471"/>
      <w:bookmarkStart w:id="103" w:name="_Toc21735"/>
      <w:r>
        <w:rPr>
          <w:rFonts w:hint="eastAsia"/>
        </w:rPr>
        <w:t>（七）</w:t>
      </w:r>
      <w:bookmarkEnd w:id="98"/>
      <w:r>
        <w:rPr>
          <w:rFonts w:hint="eastAsia"/>
        </w:rPr>
        <w:t>搭建绿色畜牧循环体系</w:t>
      </w:r>
      <w:bookmarkEnd w:id="99"/>
      <w:bookmarkEnd w:id="100"/>
      <w:bookmarkEnd w:id="101"/>
      <w:bookmarkEnd w:id="102"/>
      <w:bookmarkEnd w:id="103"/>
    </w:p>
    <w:p w14:paraId="5802487A">
      <w:pPr>
        <w:pStyle w:val="4"/>
        <w:bidi w:val="0"/>
      </w:pPr>
      <w:bookmarkStart w:id="104" w:name="_Toc26781"/>
      <w:r>
        <w:rPr>
          <w:rFonts w:hint="eastAsia"/>
        </w:rPr>
        <w:t>1.推进养殖废弃物资源化利用</w:t>
      </w:r>
      <w:bookmarkEnd w:id="104"/>
    </w:p>
    <w:p w14:paraId="1508B059">
      <w:pPr>
        <w:bidi w:val="0"/>
      </w:pPr>
      <w:r>
        <w:rPr>
          <w:rFonts w:hint="eastAsia"/>
        </w:rPr>
        <w:t>以畜禽粪污资源化利用为重点，坚持依法治理、种养结合、农牧循环，支持畜禽养殖废弃物资源化利用集中处理中心、专业化合作组织开展社会化服务。按照“源头减量、过程控制、末端利用”治理路径，配套建设“123211”畜禽粪污资源化利用工程。加强有机肥推广、沼气资源化利用，建立健全畜禽粪污资源化利用市场化机制，提升规模养殖场、第三方处理机构和社会化服务组织粪污处理能力。引导企业充分利用畜禽粪便生产商品有机肥，鼓励政府有关部门统一采购有机肥支持种植场（户），作为奖励、补助、扶贫等措施。</w:t>
      </w:r>
    </w:p>
    <w:p w14:paraId="0B24B7E6">
      <w:pPr>
        <w:pStyle w:val="4"/>
        <w:bidi w:val="0"/>
      </w:pPr>
      <w:bookmarkStart w:id="105" w:name="_Toc17696"/>
      <w:r>
        <w:rPr>
          <w:rFonts w:hint="eastAsia"/>
        </w:rPr>
        <w:t>2.推进绿色种养循环体系建设</w:t>
      </w:r>
      <w:bookmarkEnd w:id="105"/>
    </w:p>
    <w:p w14:paraId="215944A9">
      <w:pPr>
        <w:bidi w:val="0"/>
      </w:pPr>
      <w:r>
        <w:rPr>
          <w:rFonts w:hint="eastAsia"/>
        </w:rPr>
        <w:t>科学布局畜禽养殖，促进养殖规模与资源环境相匹配，充分发挥梅县区梅州金柚、水稻、茶叶等特色种植业的优势和基础，通过建设一批绿色果蔬标准化种植示范基地，推动梅县区特色水果、蔬菜基地和养殖配套衔接，实现种养循环发展。发挥典型的示范带动作用，按照就近就地利用的原则，推广种养循环自我消纳的生态小循环、生态中循环粪污治理模式。开展种养结合农牧循环示范基地建设工程创建，探索建立生猪、家禽规模养殖用地标准，提高土地利用率，重点推广“猪-沼-林”“猪-沼-果（菜）”等多种模式，鼓励养殖场流转土地发展种植，就近消纳，将种植业与养殖业有机结合，实现种养结合立体开发。</w:t>
      </w:r>
    </w:p>
    <w:p w14:paraId="621C14B2">
      <w:pPr>
        <w:pStyle w:val="3"/>
        <w:bidi w:val="0"/>
      </w:pPr>
      <w:bookmarkStart w:id="106" w:name="_Toc26750"/>
      <w:bookmarkStart w:id="107" w:name="_Toc31576"/>
      <w:r>
        <w:rPr>
          <w:rFonts w:hint="eastAsia"/>
        </w:rPr>
        <w:t>（八）加强畜牧服务体系建设</w:t>
      </w:r>
      <w:bookmarkEnd w:id="106"/>
      <w:bookmarkEnd w:id="107"/>
    </w:p>
    <w:p w14:paraId="7022E68C">
      <w:pPr>
        <w:bidi w:val="0"/>
      </w:pPr>
      <w:r>
        <w:rPr>
          <w:rFonts w:hint="eastAsia"/>
        </w:rPr>
        <w:t>围绕服务对象，以信息化服务为牵动，加强畜牧业产业安全保障服务平台建设，针对重大动物疫情、产业侵害等影响面大的事件，建立有效的应急防范、救灾抗灾的工作体系，提高应急协调能力。以畜禽养殖污染防治、废弃物资源化利用为重点，从源头预防、过程控制和末端治理等环节入手，完善服务功能、强化服务手段、规范服务行为、提高服务质量、拓宽服务领域，为现代畜牧业持续健康发展提供技术支撑。</w:t>
      </w:r>
    </w:p>
    <w:p w14:paraId="64EB4272">
      <w:pPr>
        <w:pStyle w:val="3"/>
        <w:bidi w:val="0"/>
      </w:pPr>
      <w:bookmarkStart w:id="108" w:name="_Toc32092"/>
      <w:bookmarkStart w:id="109" w:name="_Toc15230"/>
      <w:r>
        <w:rPr>
          <w:rFonts w:hint="eastAsia"/>
        </w:rPr>
        <w:t>（九）强化特色畜禽品牌建设</w:t>
      </w:r>
      <w:bookmarkEnd w:id="108"/>
      <w:bookmarkEnd w:id="109"/>
    </w:p>
    <w:p w14:paraId="038E63DE">
      <w:pPr>
        <w:bidi w:val="0"/>
      </w:pPr>
      <w:r>
        <w:rPr>
          <w:rFonts w:hint="eastAsia"/>
        </w:rPr>
        <w:t>立足梅县区资源特色，准确定位品牌发展战略，培育区域企业品牌、名牌优质产品等，积极</w:t>
      </w:r>
      <w:r>
        <w:t>组织申报绿色</w:t>
      </w:r>
      <w:r>
        <w:rPr>
          <w:rFonts w:hint="eastAsia"/>
        </w:rPr>
        <w:t>有机</w:t>
      </w:r>
      <w:r>
        <w:t>畜产品</w:t>
      </w:r>
      <w:r>
        <w:rPr>
          <w:rFonts w:hint="eastAsia"/>
        </w:rPr>
        <w:t>的</w:t>
      </w:r>
      <w:r>
        <w:t>产地认定和产品认证工作</w:t>
      </w:r>
      <w:r>
        <w:rPr>
          <w:rFonts w:hint="eastAsia"/>
        </w:rPr>
        <w:t>，提高特色畜产品核心竞争力，提升规模化和品牌化水平。逐步完善现代畜牧业全产业链体系，</w:t>
      </w:r>
      <w:r>
        <w:t>积极发展优质、高产、高效、环保、安全型畜产品</w:t>
      </w:r>
      <w:r>
        <w:rPr>
          <w:rFonts w:hint="eastAsia"/>
        </w:rPr>
        <w:t>，</w:t>
      </w:r>
      <w:r>
        <w:t>大力发展畜禽特色产品、名牌产品、绿色产品和有机食品。以</w:t>
      </w:r>
      <w:r>
        <w:rPr>
          <w:rFonts w:hint="eastAsia"/>
        </w:rPr>
        <w:t>绿色有机畜</w:t>
      </w:r>
      <w:r>
        <w:t>产品</w:t>
      </w:r>
      <w:r>
        <w:rPr>
          <w:rFonts w:hint="eastAsia"/>
        </w:rPr>
        <w:t>的</w:t>
      </w:r>
      <w:r>
        <w:t>产地认定和产品认证为突破口</w:t>
      </w:r>
      <w:r>
        <w:rPr>
          <w:rFonts w:hint="eastAsia"/>
        </w:rPr>
        <w:t>，</w:t>
      </w:r>
      <w:r>
        <w:t>以畜禽养殖业的投入品监管为重点</w:t>
      </w:r>
      <w:r>
        <w:rPr>
          <w:rFonts w:hint="eastAsia"/>
        </w:rPr>
        <w:t>，</w:t>
      </w:r>
      <w:r>
        <w:t>按照绿色</w:t>
      </w:r>
      <w:r>
        <w:rPr>
          <w:rFonts w:hint="eastAsia"/>
        </w:rPr>
        <w:t>有机畜</w:t>
      </w:r>
      <w:r>
        <w:t>产品的生产要求</w:t>
      </w:r>
      <w:r>
        <w:rPr>
          <w:rFonts w:hint="eastAsia"/>
        </w:rPr>
        <w:t>，</w:t>
      </w:r>
      <w:r>
        <w:t>严格操作规程和质量控制措施</w:t>
      </w:r>
      <w:r>
        <w:rPr>
          <w:rFonts w:hint="eastAsia"/>
        </w:rPr>
        <w:t>，</w:t>
      </w:r>
      <w:r>
        <w:t>大力推广绿色</w:t>
      </w:r>
      <w:r>
        <w:rPr>
          <w:rFonts w:hint="eastAsia"/>
        </w:rPr>
        <w:t>有机畜</w:t>
      </w:r>
      <w:r>
        <w:t>产品标准化健康养殖技术</w:t>
      </w:r>
      <w:r>
        <w:rPr>
          <w:rFonts w:hint="eastAsia"/>
        </w:rPr>
        <w:t>，</w:t>
      </w:r>
      <w:r>
        <w:t>以标准化推进</w:t>
      </w:r>
      <w:r>
        <w:rPr>
          <w:rFonts w:hint="eastAsia"/>
        </w:rPr>
        <w:t>梅县区</w:t>
      </w:r>
      <w:r>
        <w:t>现代畜牧业发展。</w:t>
      </w:r>
      <w:bookmarkStart w:id="110" w:name="_Toc108367449"/>
      <w:bookmarkStart w:id="111" w:name="_Toc110979229"/>
      <w:bookmarkStart w:id="112" w:name="_Toc25791"/>
    </w:p>
    <w:p w14:paraId="5B892FF7">
      <w:pPr>
        <w:ind w:firstLine="640"/>
        <w:rPr>
          <w:rFonts w:ascii="Times New Roman" w:hAnsi="Times New Roman" w:eastAsia="黑体" w:cs="黑体"/>
          <w:color w:val="333333"/>
          <w:szCs w:val="32"/>
        </w:rPr>
      </w:pPr>
      <w:r>
        <w:rPr>
          <w:rFonts w:ascii="Times New Roman" w:hAnsi="Times New Roman" w:eastAsia="黑体" w:cs="黑体"/>
          <w:color w:val="333333"/>
          <w:szCs w:val="32"/>
        </w:rPr>
        <w:br w:type="page"/>
      </w:r>
    </w:p>
    <w:p w14:paraId="3E4B1211">
      <w:pPr>
        <w:pStyle w:val="2"/>
        <w:bidi w:val="0"/>
        <w:rPr>
          <w:rFonts w:hint="default"/>
        </w:rPr>
      </w:pPr>
      <w:bookmarkStart w:id="113" w:name="_Toc19258"/>
      <w:bookmarkStart w:id="114" w:name="_Toc12665"/>
      <w:r>
        <w:rPr>
          <w:rFonts w:hint="default"/>
        </w:rPr>
        <w:t>五、区域布局</w:t>
      </w:r>
      <w:bookmarkEnd w:id="113"/>
      <w:bookmarkEnd w:id="114"/>
    </w:p>
    <w:p w14:paraId="02E4D8E5">
      <w:pPr>
        <w:bidi w:val="0"/>
      </w:pPr>
      <w:r>
        <w:rPr>
          <w:rFonts w:hint="eastAsia"/>
        </w:rPr>
        <w:t>根据国家、省、市和地区有关法律条例规定，立足畜牧产业现状基础，综合考虑梅县区资源禀赋、城市建设规划、产业规划、各地农业资源承载力、环境容量、土地性质、生态类型和发展基础等因素，进一步实现畜牧生产布局与土地、资源、环境、经济社会发展相互协调，深层次推进畜牧业供给侧结构性改革，调整优化畜禽产业结构，提高行业整体水平，将畜牧养殖划分为禁养区域发展规划、限养区域发展规划、城市发展区域规划、适养区域发展规划。</w:t>
      </w:r>
    </w:p>
    <w:p w14:paraId="617A9BA3">
      <w:pPr>
        <w:pStyle w:val="3"/>
        <w:bidi w:val="0"/>
      </w:pPr>
      <w:bookmarkStart w:id="115" w:name="_Toc13762"/>
      <w:bookmarkStart w:id="116" w:name="_Toc11795"/>
      <w:r>
        <w:rPr>
          <w:rFonts w:hint="eastAsia"/>
        </w:rPr>
        <w:t>（一）禁养区域发展规划</w:t>
      </w:r>
      <w:bookmarkEnd w:id="115"/>
      <w:bookmarkEnd w:id="116"/>
    </w:p>
    <w:p w14:paraId="35B4C8DE">
      <w:pPr>
        <w:bidi w:val="0"/>
      </w:pPr>
      <w:r>
        <w:rPr>
          <w:rFonts w:hint="eastAsia"/>
        </w:rPr>
        <w:t>根据</w:t>
      </w:r>
      <w:r>
        <w:rPr>
          <w:rFonts w:hint="eastAsia"/>
          <w:lang w:val="en-US" w:eastAsia="zh-CN"/>
        </w:rPr>
        <w:t>环境保护部、农业部制定的《畜禽养殖禁养区划定技术指南》和《梅州市梅县区人民政府关于调整梅县区畜禽养殖区范围的通告》（梅县区府通〔2018〕2号）</w:t>
      </w:r>
      <w:r>
        <w:rPr>
          <w:rFonts w:hint="eastAsia"/>
        </w:rPr>
        <w:t>，畜禽养殖禁养区是指按照</w:t>
      </w:r>
      <w:r>
        <w:rPr>
          <w:rFonts w:hint="eastAsia"/>
          <w:lang w:eastAsia="zh-CN"/>
        </w:rPr>
        <w:t>法律法规</w:t>
      </w:r>
      <w:r>
        <w:rPr>
          <w:rFonts w:hint="eastAsia"/>
        </w:rPr>
        <w:t>、行政规章等规定，在指定范围内禁止任何单位和个人养殖畜禽。</w:t>
      </w:r>
    </w:p>
    <w:p w14:paraId="2ACE6A99">
      <w:pPr>
        <w:pStyle w:val="4"/>
        <w:bidi w:val="0"/>
        <w:rPr>
          <w:rFonts w:hint="eastAsia"/>
        </w:rPr>
      </w:pPr>
      <w:bookmarkStart w:id="117" w:name="_Toc22313"/>
      <w:r>
        <w:rPr>
          <w:rFonts w:hint="eastAsia"/>
        </w:rPr>
        <w:t>1</w:t>
      </w:r>
      <w:r>
        <w:rPr>
          <w:rFonts w:hint="eastAsia"/>
          <w:lang w:val="en-US" w:eastAsia="zh-CN"/>
        </w:rPr>
        <w:t>.</w:t>
      </w:r>
      <w:r>
        <w:rPr>
          <w:rFonts w:hint="eastAsia"/>
        </w:rPr>
        <w:t>区域范围</w:t>
      </w:r>
      <w:bookmarkEnd w:id="117"/>
    </w:p>
    <w:p w14:paraId="4310F3FB">
      <w:pPr>
        <w:bidi w:val="0"/>
        <w:rPr>
          <w:rFonts w:hint="eastAsia"/>
        </w:rPr>
      </w:pPr>
      <w:r>
        <w:rPr>
          <w:rFonts w:hint="eastAsia"/>
        </w:rPr>
        <w:t>（1）新县城规划建成区及其周边1000米范围内的区域；建制镇规划建成区、集镇规划区、居民人口集中区周边外围直线距离500米区域范围内。（2）梅江及其他饮用水源一、二级保护区范围内。（3）自然保护区的核心区及缓冲区：阴那山自然保护区、佛子高自然保护区、尖石笔自然保护区、王寿山自然保护区、九龙嶂自然保护区、乌泥坑自然保护区、大连自然保护区、蕉坑自然保护区、鹿湖山自然保护区、上官塘自然保护区；雁南飞、灵光寺、雁鸣湖、叶剑英纪念园等旅游风景区以及南口侨乡村、雁洋长教村、雁洋桥溪村、水车茶山村和桃尧桃源村（古村落）周边1000米范围内的区域。（4）学校周边500米范围内，工业园区周边3000米范围内的区域。（5）圩镇和农村集中式饮用水源取水点上游1000米范围内区域；现有供水（包括备用水源）水源取水口以上控制集雨面积的区域。（6）省道、高速公路、铁路、市区通往各风景名胜区公路两侧200米范围内的区域。（7）基本农田保护区。（8）其他</w:t>
      </w:r>
      <w:r>
        <w:rPr>
          <w:rFonts w:hint="eastAsia"/>
          <w:lang w:eastAsia="zh-CN"/>
        </w:rPr>
        <w:t>法律法规</w:t>
      </w:r>
      <w:r>
        <w:rPr>
          <w:rFonts w:hint="eastAsia"/>
        </w:rPr>
        <w:t>规定需特殊保护的区域。</w:t>
      </w:r>
    </w:p>
    <w:p w14:paraId="2EE9AB17">
      <w:pPr>
        <w:ind w:firstLine="0" w:firstLineChars="0"/>
        <w:rPr>
          <w:rFonts w:ascii="Times New Roman" w:hAnsi="Times New Roman"/>
          <w:sz w:val="24"/>
        </w:rPr>
      </w:pPr>
    </w:p>
    <w:p w14:paraId="1035BF89">
      <w:pPr>
        <w:pStyle w:val="4"/>
        <w:bidi w:val="0"/>
        <w:rPr>
          <w:rFonts w:hint="eastAsia"/>
        </w:rPr>
      </w:pPr>
      <w:bookmarkStart w:id="118" w:name="_Toc555"/>
      <w:r>
        <w:rPr>
          <w:rFonts w:hint="eastAsia"/>
        </w:rPr>
        <w:t>2</w:t>
      </w:r>
      <w:r>
        <w:rPr>
          <w:rFonts w:hint="eastAsia"/>
          <w:lang w:val="en-US" w:eastAsia="zh-CN"/>
        </w:rPr>
        <w:t>.</w:t>
      </w:r>
      <w:r>
        <w:rPr>
          <w:rFonts w:hint="eastAsia"/>
        </w:rPr>
        <w:t>发展方向</w:t>
      </w:r>
      <w:bookmarkEnd w:id="118"/>
    </w:p>
    <w:p w14:paraId="5E89E1C8">
      <w:pPr>
        <w:bidi w:val="0"/>
      </w:pPr>
      <w:r>
        <w:rPr>
          <w:rFonts w:hint="eastAsia"/>
        </w:rPr>
        <w:t>禁止任何单位和个人在禁养区范围内建立规范的养殖场（小区）与养殖专业户，对已建的养殖场（小区）与养殖专业户由辖区镇（街道）按照《梅州市梅县区畜禽养殖业污染问题专项整治工作方案》进行搬迁或关闭，散养户有序退出。按照《畜禽规模养殖污染防治条例》、《梅州市人民政府办公室关于印发梅州市加快推进生猪家禽产业转型升级实施方案的通知》等条例规定，</w:t>
      </w:r>
      <w:r>
        <w:rPr>
          <w:rFonts w:hint="eastAsia"/>
          <w:lang w:val="en-US" w:eastAsia="zh-CN"/>
        </w:rPr>
        <w:t>对违反三区划分规定的按有关规定</w:t>
      </w:r>
      <w:r>
        <w:rPr>
          <w:rFonts w:hint="eastAsia"/>
        </w:rPr>
        <w:t>进行处罚。</w:t>
      </w:r>
    </w:p>
    <w:p w14:paraId="20C2DA7C">
      <w:pPr>
        <w:pStyle w:val="3"/>
        <w:bidi w:val="0"/>
      </w:pPr>
      <w:bookmarkStart w:id="119" w:name="_Toc19752"/>
      <w:bookmarkStart w:id="120" w:name="_Toc17799"/>
      <w:r>
        <w:rPr>
          <w:rFonts w:hint="eastAsia"/>
        </w:rPr>
        <w:t>（二）限养区域发展规划</w:t>
      </w:r>
      <w:bookmarkEnd w:id="119"/>
      <w:bookmarkEnd w:id="120"/>
    </w:p>
    <w:p w14:paraId="16FBE3F8">
      <w:pPr>
        <w:bidi w:val="0"/>
      </w:pPr>
      <w:r>
        <w:rPr>
          <w:rFonts w:hint="eastAsia"/>
        </w:rPr>
        <w:t>畜禽养殖限养区指在该区域内为畜禽限制养殖区，不得在该区域内新建、扩建畜禽养殖场。</w:t>
      </w:r>
    </w:p>
    <w:p w14:paraId="62936AFB">
      <w:pPr>
        <w:pStyle w:val="4"/>
        <w:bidi w:val="0"/>
        <w:rPr>
          <w:rFonts w:hint="eastAsia"/>
        </w:rPr>
      </w:pPr>
      <w:bookmarkStart w:id="121" w:name="_Toc18616"/>
      <w:r>
        <w:rPr>
          <w:rFonts w:hint="eastAsia"/>
        </w:rPr>
        <w:t>1</w:t>
      </w:r>
      <w:r>
        <w:rPr>
          <w:rFonts w:hint="eastAsia"/>
          <w:lang w:val="en-US" w:eastAsia="zh-CN"/>
        </w:rPr>
        <w:t>.</w:t>
      </w:r>
      <w:r>
        <w:rPr>
          <w:rFonts w:hint="eastAsia"/>
        </w:rPr>
        <w:t>区域范围</w:t>
      </w:r>
      <w:bookmarkEnd w:id="121"/>
    </w:p>
    <w:p w14:paraId="0920B9B6">
      <w:pPr>
        <w:bidi w:val="0"/>
      </w:pPr>
      <w:r>
        <w:rPr>
          <w:rFonts w:hint="eastAsia"/>
        </w:rPr>
        <w:t>（1）除去禁养区以外的区域；建制镇规划建成区、集镇规划区、居民人口集中区周边外围直线距离500米至1000米区域范围内。（2）生活饮用水源地外延1000米范围内的区域。（3）水库、山塘的控制集雨面积区域内。（4）根据城市发展规划和区域污染物排放总量控制要求，应当限制养殖的区域。</w:t>
      </w:r>
    </w:p>
    <w:p w14:paraId="5AA0B743">
      <w:pPr>
        <w:pStyle w:val="40"/>
        <w:rPr>
          <w:rFonts w:hint="default" w:ascii="Times New Roman" w:hAnsi="Times New Roman"/>
        </w:rPr>
      </w:pPr>
    </w:p>
    <w:p w14:paraId="040A6183">
      <w:pPr>
        <w:pStyle w:val="4"/>
        <w:bidi w:val="0"/>
        <w:rPr>
          <w:rFonts w:hint="eastAsia"/>
        </w:rPr>
      </w:pPr>
      <w:bookmarkStart w:id="122" w:name="_Toc18440"/>
      <w:r>
        <w:rPr>
          <w:rFonts w:hint="eastAsia"/>
        </w:rPr>
        <w:t>2</w:t>
      </w:r>
      <w:r>
        <w:rPr>
          <w:rFonts w:hint="eastAsia"/>
          <w:lang w:val="en-US" w:eastAsia="zh-CN"/>
        </w:rPr>
        <w:t>.</w:t>
      </w:r>
      <w:r>
        <w:rPr>
          <w:rFonts w:hint="eastAsia"/>
        </w:rPr>
        <w:t>发展方向</w:t>
      </w:r>
      <w:bookmarkEnd w:id="122"/>
    </w:p>
    <w:p w14:paraId="78F4B6D4">
      <w:pPr>
        <w:bidi w:val="0"/>
      </w:pPr>
      <w:r>
        <w:rPr>
          <w:rFonts w:hint="eastAsia"/>
        </w:rPr>
        <w:t>严禁新建、</w:t>
      </w:r>
      <w:r>
        <w:rPr>
          <w:rFonts w:hint="eastAsia"/>
          <w:lang w:val="en-US" w:eastAsia="zh-CN"/>
        </w:rPr>
        <w:t>改</w:t>
      </w:r>
      <w:r>
        <w:rPr>
          <w:rFonts w:hint="eastAsia"/>
        </w:rPr>
        <w:t>扩建各类畜禽养殖场，已有养殖场要按照环境保护的有关规定，控制畜禽养殖规模，并严格落实污染防治措施，实现污染物达标排放，加强区、镇相关部门执法监督管理，整顿违规养殖场。</w:t>
      </w:r>
    </w:p>
    <w:p w14:paraId="61C79E79">
      <w:pPr>
        <w:pStyle w:val="3"/>
        <w:bidi w:val="0"/>
      </w:pPr>
      <w:bookmarkStart w:id="123" w:name="_Toc21867"/>
      <w:bookmarkStart w:id="124" w:name="_Toc7520"/>
      <w:r>
        <w:rPr>
          <w:rFonts w:hint="eastAsia"/>
        </w:rPr>
        <w:t>（三）城市发展区域规划</w:t>
      </w:r>
      <w:bookmarkEnd w:id="123"/>
      <w:bookmarkEnd w:id="124"/>
    </w:p>
    <w:p w14:paraId="1C61A48B">
      <w:pPr>
        <w:bidi w:val="0"/>
      </w:pPr>
      <w:r>
        <w:rPr>
          <w:rFonts w:hint="eastAsia"/>
        </w:rPr>
        <w:t>根据《梅州市城市总体规划（2015—2030年）》，梅县区位于梅州市城市总体规划区中的镇、村。</w:t>
      </w:r>
    </w:p>
    <w:p w14:paraId="5E6F93C8">
      <w:pPr>
        <w:pStyle w:val="4"/>
        <w:bidi w:val="0"/>
        <w:rPr>
          <w:rFonts w:hint="eastAsia"/>
        </w:rPr>
      </w:pPr>
      <w:bookmarkStart w:id="125" w:name="_Toc6575"/>
      <w:r>
        <w:rPr>
          <w:rFonts w:hint="eastAsia"/>
        </w:rPr>
        <w:t>1</w:t>
      </w:r>
      <w:r>
        <w:rPr>
          <w:rFonts w:hint="eastAsia"/>
          <w:lang w:val="en-US" w:eastAsia="zh-CN"/>
        </w:rPr>
        <w:t>.</w:t>
      </w:r>
      <w:r>
        <w:rPr>
          <w:rFonts w:hint="eastAsia"/>
        </w:rPr>
        <w:t>区域范围</w:t>
      </w:r>
      <w:bookmarkEnd w:id="125"/>
    </w:p>
    <w:p w14:paraId="77C90D24">
      <w:pPr>
        <w:bidi w:val="0"/>
        <w:rPr>
          <w:rFonts w:hint="eastAsia"/>
        </w:rPr>
      </w:pPr>
      <w:r>
        <w:rPr>
          <w:rFonts w:hint="eastAsia"/>
        </w:rPr>
        <w:t>城东镇谢田村、书坑村、石下村、石月村；扶大高新区全部区域；新城办事处全部区域；程江镇除横岗村以外的全部区域；南口镇龙塘村、仙湖村、南龙村、车陂村、葵黄村、益昌村、侨乡村、锦鸡村、长山村、葵岗村、瑶燕村、双桥村。</w:t>
      </w:r>
    </w:p>
    <w:p w14:paraId="3BE0FB7E">
      <w:pPr>
        <w:pStyle w:val="4"/>
        <w:bidi w:val="0"/>
        <w:rPr>
          <w:rFonts w:hint="eastAsia"/>
        </w:rPr>
      </w:pPr>
      <w:bookmarkStart w:id="126" w:name="_Toc3369"/>
      <w:r>
        <w:rPr>
          <w:rFonts w:hint="eastAsia"/>
        </w:rPr>
        <w:t>2</w:t>
      </w:r>
      <w:r>
        <w:rPr>
          <w:rFonts w:hint="eastAsia"/>
          <w:lang w:val="en-US" w:eastAsia="zh-CN"/>
        </w:rPr>
        <w:t>.</w:t>
      </w:r>
      <w:r>
        <w:rPr>
          <w:rFonts w:hint="eastAsia"/>
        </w:rPr>
        <w:t>发展方向</w:t>
      </w:r>
      <w:bookmarkEnd w:id="126"/>
    </w:p>
    <w:p w14:paraId="72709F15">
      <w:pPr>
        <w:bidi w:val="0"/>
      </w:pPr>
      <w:r>
        <w:rPr>
          <w:rFonts w:hint="eastAsia"/>
        </w:rPr>
        <w:t>根据相关部门规定，原则上不再在该区范围内批准新建畜禽养殖场，区域内养殖总体规模不再扩大，现有规模养殖场主要向科技型、生态型为主的良种繁育、特色养殖、休闲观光畜牧业转型提升，逐步淘汰畜禽养殖散户，养殖场做好畜禽养殖废弃物的综合利用工作，落实和完善污染减排措施，政府部门加强执法监督，确保达标排放。</w:t>
      </w:r>
    </w:p>
    <w:p w14:paraId="6FD7FA47">
      <w:pPr>
        <w:pStyle w:val="3"/>
        <w:bidi w:val="0"/>
      </w:pPr>
      <w:bookmarkStart w:id="127" w:name="_Toc5871"/>
      <w:bookmarkStart w:id="128" w:name="_Toc8504"/>
      <w:r>
        <w:rPr>
          <w:rFonts w:hint="eastAsia"/>
        </w:rPr>
        <w:t>（四）适养区域发展规划</w:t>
      </w:r>
      <w:bookmarkEnd w:id="127"/>
      <w:bookmarkEnd w:id="128"/>
    </w:p>
    <w:p w14:paraId="6525E679">
      <w:pPr>
        <w:pStyle w:val="4"/>
        <w:bidi w:val="0"/>
        <w:rPr>
          <w:rFonts w:hint="eastAsia"/>
        </w:rPr>
      </w:pPr>
      <w:bookmarkStart w:id="129" w:name="_Toc25219"/>
      <w:r>
        <w:rPr>
          <w:rFonts w:hint="eastAsia"/>
        </w:rPr>
        <w:t>1</w:t>
      </w:r>
      <w:r>
        <w:rPr>
          <w:rFonts w:hint="eastAsia"/>
          <w:lang w:val="en-US" w:eastAsia="zh-CN"/>
        </w:rPr>
        <w:t>.</w:t>
      </w:r>
      <w:r>
        <w:rPr>
          <w:rFonts w:hint="eastAsia"/>
        </w:rPr>
        <w:t>区域范围</w:t>
      </w:r>
      <w:bookmarkEnd w:id="129"/>
    </w:p>
    <w:p w14:paraId="39F66C4A">
      <w:pPr>
        <w:bidi w:val="0"/>
      </w:pPr>
      <w:r>
        <w:rPr>
          <w:rFonts w:hint="eastAsia"/>
        </w:rPr>
        <w:t>适养区为禁养区及限养区以外的其他区域，此区域内可依据相关法律法规从事畜禽养殖。</w:t>
      </w:r>
    </w:p>
    <w:p w14:paraId="1B9CEA17">
      <w:pPr>
        <w:autoSpaceDE w:val="0"/>
        <w:autoSpaceDN w:val="0"/>
        <w:adjustRightInd w:val="0"/>
        <w:spacing w:line="600" w:lineRule="exact"/>
        <w:ind w:left="630" w:firstLine="641"/>
        <w:contextualSpacing/>
        <w:rPr>
          <w:rFonts w:ascii="Times New Roman" w:hAnsi="Times New Roman" w:eastAsia="文星仿宋" w:cs="仿宋_GB2312"/>
          <w:b/>
          <w:kern w:val="0"/>
          <w:szCs w:val="32"/>
        </w:rPr>
      </w:pPr>
    </w:p>
    <w:p w14:paraId="4FCC0D08">
      <w:pPr>
        <w:pStyle w:val="40"/>
        <w:rPr>
          <w:rFonts w:hint="default" w:ascii="Times New Roman" w:hAnsi="Times New Roman"/>
        </w:rPr>
      </w:pPr>
    </w:p>
    <w:p w14:paraId="45D79D95">
      <w:pPr>
        <w:pStyle w:val="4"/>
        <w:bidi w:val="0"/>
        <w:rPr>
          <w:rFonts w:hint="eastAsia"/>
        </w:rPr>
      </w:pPr>
      <w:bookmarkStart w:id="130" w:name="_Toc2925"/>
      <w:r>
        <w:rPr>
          <w:rFonts w:hint="eastAsia"/>
          <w:lang w:val="en-US" w:eastAsia="zh-CN"/>
        </w:rPr>
        <w:t>2.</w:t>
      </w:r>
      <w:r>
        <w:rPr>
          <w:rFonts w:hint="eastAsia"/>
        </w:rPr>
        <w:t>发展方向</w:t>
      </w:r>
      <w:bookmarkEnd w:id="130"/>
    </w:p>
    <w:p w14:paraId="07B69455">
      <w:pPr>
        <w:bidi w:val="0"/>
        <w:rPr>
          <w:rFonts w:hint="eastAsia"/>
        </w:rPr>
      </w:pPr>
      <w:r>
        <w:rPr>
          <w:rFonts w:hint="eastAsia"/>
        </w:rPr>
        <w:t>发挥山地资源和农副产品资源丰富、农牧结合条件较好的优势，着力推进现代生态健康养殖与循环农业，淘汰粗放养殖模式，推广科学高效饲养技术，推进畜禽养殖废弃物资源化利用有效落实。调整优化生猪养殖结构，支持老旧养殖场升级改造，积极发展标准化规模化设施养殖，建设一批标准化示范场，提高生产效率，重点发展瘦肉型猪。大力建设家禽标准化、规模化养殖场，促进小散养殖向标准化规模养殖转型。加强陆丰黄牛、五华三黄鸡等特色畜禽品种保护与开发利用，大力发展肉牛养殖，积极发展肉鸽、蜜蜂、狮头鹅等特色养殖品种，打造特色山区畜牧产品生产基地。</w:t>
      </w:r>
    </w:p>
    <w:p w14:paraId="5AA027BE">
      <w:pPr>
        <w:bidi w:val="0"/>
        <w:rPr>
          <w:rFonts w:hint="eastAsia"/>
          <w:lang w:val="en-US" w:eastAsia="zh-CN"/>
        </w:rPr>
      </w:pPr>
      <w:r>
        <w:rPr>
          <w:rFonts w:hint="eastAsia"/>
          <w:lang w:val="en-US" w:eastAsia="zh-CN"/>
        </w:rPr>
        <w:br w:type="page"/>
      </w:r>
    </w:p>
    <w:p w14:paraId="148F8F54">
      <w:pPr>
        <w:pStyle w:val="2"/>
        <w:bidi w:val="0"/>
        <w:rPr>
          <w:rFonts w:hint="eastAsia"/>
          <w:lang w:val="en-US" w:eastAsia="zh-CN"/>
        </w:rPr>
      </w:pPr>
      <w:bookmarkStart w:id="131" w:name="_Toc23235"/>
      <w:bookmarkStart w:id="132" w:name="_Toc12904"/>
      <w:r>
        <w:rPr>
          <w:rFonts w:hint="eastAsia"/>
          <w:lang w:val="en-US" w:eastAsia="zh-CN"/>
        </w:rPr>
        <w:t>六、畜禽产业发展规划</w:t>
      </w:r>
      <w:bookmarkEnd w:id="131"/>
      <w:bookmarkEnd w:id="132"/>
    </w:p>
    <w:p w14:paraId="5A8A8519">
      <w:pPr>
        <w:pStyle w:val="3"/>
        <w:bidi w:val="0"/>
        <w:rPr>
          <w:rFonts w:hint="default"/>
          <w:lang w:val="en-US" w:eastAsia="zh-CN"/>
        </w:rPr>
      </w:pPr>
      <w:bookmarkStart w:id="133" w:name="_Toc13090"/>
      <w:bookmarkStart w:id="134" w:name="_Toc7475"/>
      <w:r>
        <w:rPr>
          <w:rFonts w:hint="eastAsia"/>
          <w:lang w:val="en-US" w:eastAsia="zh-CN"/>
        </w:rPr>
        <w:t>（一）</w:t>
      </w:r>
      <w:r>
        <w:rPr>
          <w:rFonts w:hint="eastAsia"/>
        </w:rPr>
        <w:t>生猪</w:t>
      </w:r>
      <w:r>
        <w:rPr>
          <w:rFonts w:hint="eastAsia"/>
          <w:lang w:val="en-US" w:eastAsia="zh-CN"/>
        </w:rPr>
        <w:t>产业发展规划</w:t>
      </w:r>
      <w:bookmarkEnd w:id="133"/>
      <w:bookmarkEnd w:id="134"/>
    </w:p>
    <w:p w14:paraId="7DF8241F">
      <w:pPr>
        <w:pStyle w:val="4"/>
        <w:bidi w:val="0"/>
        <w:rPr>
          <w:rFonts w:hint="eastAsia"/>
        </w:rPr>
      </w:pPr>
      <w:bookmarkStart w:id="135" w:name="_Toc22646"/>
      <w:r>
        <w:rPr>
          <w:rFonts w:hint="eastAsia"/>
        </w:rPr>
        <w:t>1</w:t>
      </w:r>
      <w:r>
        <w:rPr>
          <w:rFonts w:hint="eastAsia"/>
          <w:lang w:val="en-US" w:eastAsia="zh-CN"/>
        </w:rPr>
        <w:t>.</w:t>
      </w:r>
      <w:r>
        <w:rPr>
          <w:rFonts w:hint="eastAsia"/>
        </w:rPr>
        <w:t>发展目标</w:t>
      </w:r>
      <w:bookmarkEnd w:id="135"/>
    </w:p>
    <w:p w14:paraId="2716DFAB">
      <w:pPr>
        <w:bidi w:val="0"/>
      </w:pPr>
      <w:r>
        <w:rPr>
          <w:rFonts w:hint="eastAsia"/>
        </w:rPr>
        <w:t>2028年建成高效</w:t>
      </w:r>
      <w:r>
        <w:rPr>
          <w:rFonts w:hint="eastAsia"/>
          <w:lang w:eastAsia="zh-CN"/>
        </w:rPr>
        <w:t>（</w:t>
      </w:r>
      <w:r>
        <w:rPr>
          <w:rFonts w:hint="eastAsia"/>
          <w:lang w:val="en-US" w:eastAsia="zh-CN"/>
        </w:rPr>
        <w:t>种</w:t>
      </w:r>
      <w:r>
        <w:rPr>
          <w:rFonts w:hint="eastAsia"/>
          <w:lang w:eastAsia="zh-CN"/>
        </w:rPr>
        <w:t>）</w:t>
      </w:r>
      <w:r>
        <w:rPr>
          <w:rFonts w:hint="eastAsia"/>
        </w:rPr>
        <w:t>母猪场数3个以上，建成生猪规模养殖场</w:t>
      </w:r>
      <w:r>
        <w:rPr>
          <w:rFonts w:hint="eastAsia"/>
          <w:lang w:val="en-US" w:eastAsia="zh-CN"/>
        </w:rPr>
        <w:t>30</w:t>
      </w:r>
      <w:r>
        <w:rPr>
          <w:rFonts w:hint="eastAsia"/>
        </w:rPr>
        <w:t>个以上，建成</w:t>
      </w:r>
      <w:r>
        <w:rPr>
          <w:rFonts w:hint="eastAsia"/>
          <w:lang w:val="en-US" w:eastAsia="zh-CN"/>
        </w:rPr>
        <w:t>7</w:t>
      </w:r>
      <w:r>
        <w:rPr>
          <w:rFonts w:hint="eastAsia"/>
        </w:rPr>
        <w:t>个以上万头猪场。母猪存栏量</w:t>
      </w:r>
      <w:r>
        <w:rPr>
          <w:rFonts w:hint="eastAsia"/>
          <w:lang w:val="en-US" w:eastAsia="zh-CN"/>
        </w:rPr>
        <w:t>2</w:t>
      </w:r>
      <w:r>
        <w:rPr>
          <w:rFonts w:hint="eastAsia"/>
        </w:rPr>
        <w:t>万头以上，出栏生猪3</w:t>
      </w:r>
      <w:r>
        <w:rPr>
          <w:rFonts w:hint="eastAsia"/>
          <w:lang w:val="en-US" w:eastAsia="zh-CN"/>
        </w:rPr>
        <w:t>7</w:t>
      </w:r>
      <w:r>
        <w:rPr>
          <w:rFonts w:hint="eastAsia"/>
        </w:rPr>
        <w:t>万头以上，确保猪肉自给率达到100%以上。</w:t>
      </w:r>
    </w:p>
    <w:p w14:paraId="4E2DE44A">
      <w:pPr>
        <w:pStyle w:val="4"/>
        <w:bidi w:val="0"/>
        <w:rPr>
          <w:rFonts w:hint="eastAsia"/>
        </w:rPr>
      </w:pPr>
      <w:bookmarkStart w:id="136" w:name="_Toc8995"/>
      <w:r>
        <w:rPr>
          <w:rFonts w:hint="eastAsia"/>
        </w:rPr>
        <w:t>2</w:t>
      </w:r>
      <w:r>
        <w:rPr>
          <w:rFonts w:hint="eastAsia"/>
          <w:lang w:val="en-US" w:eastAsia="zh-CN"/>
        </w:rPr>
        <w:t>.</w:t>
      </w:r>
      <w:r>
        <w:rPr>
          <w:rFonts w:hint="eastAsia"/>
        </w:rPr>
        <w:t>产业发展布局</w:t>
      </w:r>
      <w:bookmarkEnd w:id="136"/>
    </w:p>
    <w:p w14:paraId="49680476">
      <w:pPr>
        <w:bidi w:val="0"/>
      </w:pPr>
      <w:r>
        <w:rPr>
          <w:rFonts w:hint="eastAsia"/>
        </w:rPr>
        <w:t>在南口镇、松口镇、梅西镇、松源镇、白渡镇等地以稳定生猪供应为发展目标，以“四个转型”为工作重点，积极调整优化生猪养殖结构，提升核心种源自给率和育种竞争力。大力推进现代化智慧养殖基地、标准化生态化规模养殖场建设，提高生猪养殖质量和养殖效益。在大坪镇、石扇镇、石坑镇等地大力发展标准化规模化设施养殖，促进小散养殖向标准化规模养殖转型，淘汰粗放养殖模式，推广清洁养殖工艺和科学高效饲养实用技术，推进畜禽养殖废弃物资源化利用，实现绿色发展。</w:t>
      </w:r>
    </w:p>
    <w:p w14:paraId="24568796">
      <w:pPr>
        <w:pStyle w:val="40"/>
        <w:rPr>
          <w:rFonts w:hint="default" w:ascii="Times New Roman" w:hAnsi="Times New Roman"/>
        </w:rPr>
      </w:pPr>
    </w:p>
    <w:p w14:paraId="4B436B09">
      <w:pPr>
        <w:ind w:firstLine="641"/>
        <w:rPr>
          <w:rFonts w:hint="eastAsia" w:ascii="Times New Roman" w:hAnsi="Times New Roman"/>
          <w:b/>
          <w:bCs/>
        </w:rPr>
      </w:pPr>
    </w:p>
    <w:p w14:paraId="31204BD8">
      <w:pPr>
        <w:ind w:firstLine="641"/>
        <w:outlineLvl w:val="1"/>
        <w:rPr>
          <w:rFonts w:hint="default" w:ascii="黑体" w:hAnsi="黑体" w:eastAsia="黑体" w:cs="黑体"/>
          <w:b/>
          <w:bCs/>
          <w:lang w:val="en-US" w:eastAsia="zh-CN"/>
        </w:rPr>
      </w:pPr>
      <w:bookmarkStart w:id="137" w:name="_Toc7663"/>
      <w:r>
        <w:rPr>
          <w:rFonts w:hint="eastAsia" w:ascii="黑体" w:hAnsi="黑体" w:eastAsia="黑体" w:cs="黑体"/>
          <w:b/>
          <w:bCs/>
          <w:lang w:val="en-US" w:eastAsia="zh-CN"/>
        </w:rPr>
        <w:t>（二）</w:t>
      </w:r>
      <w:r>
        <w:rPr>
          <w:rFonts w:hint="eastAsia" w:ascii="黑体" w:hAnsi="黑体" w:eastAsia="黑体" w:cs="黑体"/>
          <w:b/>
          <w:bCs/>
        </w:rPr>
        <w:t>家禽</w:t>
      </w:r>
      <w:r>
        <w:rPr>
          <w:rFonts w:hint="eastAsia" w:ascii="黑体" w:hAnsi="黑体" w:eastAsia="黑体" w:cs="黑体"/>
          <w:b/>
          <w:bCs/>
          <w:lang w:val="en-US" w:eastAsia="zh-CN"/>
        </w:rPr>
        <w:t>产业规划</w:t>
      </w:r>
      <w:bookmarkEnd w:id="137"/>
    </w:p>
    <w:p w14:paraId="7030846D">
      <w:pPr>
        <w:pStyle w:val="4"/>
        <w:bidi w:val="0"/>
        <w:rPr>
          <w:rFonts w:hint="eastAsia"/>
        </w:rPr>
      </w:pPr>
      <w:bookmarkStart w:id="138" w:name="_Toc298"/>
      <w:r>
        <w:rPr>
          <w:rFonts w:hint="eastAsia"/>
        </w:rPr>
        <w:t>1</w:t>
      </w:r>
      <w:r>
        <w:rPr>
          <w:rFonts w:hint="eastAsia"/>
          <w:lang w:eastAsia="zh-CN"/>
        </w:rPr>
        <w:t>.</w:t>
      </w:r>
      <w:r>
        <w:rPr>
          <w:rFonts w:hint="eastAsia"/>
        </w:rPr>
        <w:t>发展目标</w:t>
      </w:r>
      <w:bookmarkEnd w:id="138"/>
    </w:p>
    <w:p w14:paraId="25D7645B">
      <w:pPr>
        <w:bidi w:val="0"/>
      </w:pPr>
      <w:r>
        <w:rPr>
          <w:rFonts w:hint="eastAsia"/>
        </w:rPr>
        <w:t>禽肉、禽蛋产量分别稳定在12000吨、4000吨以上，家禽出栏量稳定在900万羽以上。</w:t>
      </w:r>
    </w:p>
    <w:p w14:paraId="0D00DA0E">
      <w:pPr>
        <w:pStyle w:val="4"/>
        <w:bidi w:val="0"/>
        <w:rPr>
          <w:rFonts w:hint="eastAsia"/>
        </w:rPr>
      </w:pPr>
      <w:bookmarkStart w:id="139" w:name="_Toc21149"/>
      <w:r>
        <w:rPr>
          <w:rFonts w:hint="eastAsia"/>
        </w:rPr>
        <w:t>2</w:t>
      </w:r>
      <w:r>
        <w:rPr>
          <w:rFonts w:hint="eastAsia"/>
          <w:lang w:val="en-US" w:eastAsia="zh-CN"/>
        </w:rPr>
        <w:t>.</w:t>
      </w:r>
      <w:r>
        <w:rPr>
          <w:rFonts w:hint="eastAsia"/>
        </w:rPr>
        <w:t>产业发展布局</w:t>
      </w:r>
      <w:bookmarkEnd w:id="139"/>
    </w:p>
    <w:p w14:paraId="2721E7B7">
      <w:pPr>
        <w:bidi w:val="0"/>
      </w:pPr>
      <w:r>
        <w:rPr>
          <w:rFonts w:hint="eastAsia"/>
        </w:rPr>
        <w:t>围绕“四个转型”目标任务，以丙村镇、南口镇、梅南镇、大坪镇、雁洋镇为重点发展区域，鼓励规模</w:t>
      </w:r>
      <w:r>
        <w:t>肉禽</w:t>
      </w:r>
      <w:r>
        <w:rPr>
          <w:rFonts w:hint="eastAsia"/>
          <w:lang w:eastAsia="zh-CN"/>
        </w:rPr>
        <w:t>、</w:t>
      </w:r>
      <w:r>
        <w:rPr>
          <w:rFonts w:hint="eastAsia"/>
          <w:lang w:val="en-US" w:eastAsia="zh-CN"/>
        </w:rPr>
        <w:t>禽蛋</w:t>
      </w:r>
      <w:r>
        <w:rPr>
          <w:rFonts w:hint="eastAsia"/>
        </w:rPr>
        <w:t>养殖场升级改造，推行立体笼养技术、智能化养殖技术，集成推广养殖环境自动控制、自动喂料、自动清粪等设施设备以及无抗饲料养殖、节能高效等先进适用技术，着力打造一批新型智能肉禽养殖示范场，推进标准化、规模化、设施化肉禽养殖基地建设。继续加强五华三黄鸡种质资源保护开发利用力度，加大肉禽新品种选育和良种工程建设，培育壮大“育繁推一体化”龙头企业。鼓励家禽养殖企业申办与其养殖产能相匹配的现代化家禽屠宰场，发展禽肉产品精深加工，推进肉禽可追溯质量安全体系建设及品牌化建设，做大做强肉禽品牌。稳定蛋禽发展规模，完善蛋禽良种繁育体系，提高良种自给能力，推行设施化养殖，提高产蛋率。</w:t>
      </w:r>
    </w:p>
    <w:p w14:paraId="2AD0F43B">
      <w:pPr>
        <w:pStyle w:val="40"/>
        <w:rPr>
          <w:rFonts w:hint="default" w:ascii="Times New Roman" w:hAnsi="Times New Roman"/>
        </w:rPr>
      </w:pPr>
    </w:p>
    <w:p w14:paraId="6F2E0D5E">
      <w:pPr>
        <w:ind w:firstLine="641"/>
        <w:outlineLvl w:val="1"/>
        <w:rPr>
          <w:rFonts w:hint="default" w:ascii="黑体" w:hAnsi="黑体" w:eastAsia="黑体" w:cs="黑体"/>
          <w:b/>
          <w:bCs/>
          <w:lang w:val="en-US" w:eastAsia="zh-CN"/>
        </w:rPr>
      </w:pPr>
      <w:bookmarkStart w:id="140" w:name="_Toc9031"/>
      <w:r>
        <w:rPr>
          <w:rFonts w:hint="eastAsia" w:ascii="黑体" w:hAnsi="黑体" w:eastAsia="黑体" w:cs="黑体"/>
          <w:b/>
          <w:bCs/>
          <w:lang w:val="en-US" w:eastAsia="zh-CN"/>
        </w:rPr>
        <w:t>（三）</w:t>
      </w:r>
      <w:r>
        <w:rPr>
          <w:rFonts w:hint="eastAsia" w:ascii="黑体" w:hAnsi="黑体" w:eastAsia="黑体" w:cs="黑体"/>
          <w:b/>
          <w:bCs/>
        </w:rPr>
        <w:t>肉牛</w:t>
      </w:r>
      <w:r>
        <w:rPr>
          <w:rFonts w:hint="eastAsia" w:ascii="黑体" w:hAnsi="黑体" w:eastAsia="黑体" w:cs="黑体"/>
          <w:b/>
          <w:bCs/>
          <w:lang w:val="en-US" w:eastAsia="zh-CN"/>
        </w:rPr>
        <w:t>产业发展规划</w:t>
      </w:r>
      <w:bookmarkEnd w:id="140"/>
    </w:p>
    <w:p w14:paraId="17CFF033">
      <w:pPr>
        <w:pStyle w:val="4"/>
        <w:bidi w:val="0"/>
        <w:rPr>
          <w:rFonts w:hint="eastAsia"/>
        </w:rPr>
      </w:pPr>
      <w:bookmarkStart w:id="141" w:name="_Toc27296"/>
      <w:r>
        <w:rPr>
          <w:rFonts w:hint="eastAsia"/>
        </w:rPr>
        <w:t>1</w:t>
      </w:r>
      <w:r>
        <w:rPr>
          <w:rFonts w:hint="eastAsia"/>
          <w:lang w:val="en-US" w:eastAsia="zh-CN"/>
        </w:rPr>
        <w:t>.</w:t>
      </w:r>
      <w:r>
        <w:rPr>
          <w:rFonts w:hint="eastAsia"/>
        </w:rPr>
        <w:t>发展目标</w:t>
      </w:r>
      <w:bookmarkEnd w:id="141"/>
    </w:p>
    <w:p w14:paraId="3D23A0FA">
      <w:pPr>
        <w:bidi w:val="0"/>
      </w:pPr>
      <w:r>
        <w:rPr>
          <w:rFonts w:hint="eastAsia"/>
        </w:rPr>
        <w:t>牛肉产量稳定在350吨以上，肉牛</w:t>
      </w:r>
      <w:r>
        <w:rPr>
          <w:rFonts w:hint="eastAsia"/>
          <w:lang w:val="en-US" w:eastAsia="zh-CN"/>
        </w:rPr>
        <w:t>年</w:t>
      </w:r>
      <w:r>
        <w:rPr>
          <w:rFonts w:hint="eastAsia"/>
        </w:rPr>
        <w:t>存栏</w:t>
      </w:r>
      <w:r>
        <w:rPr>
          <w:rFonts w:hint="eastAsia"/>
          <w:lang w:eastAsia="zh-CN"/>
        </w:rPr>
        <w:t>、</w:t>
      </w:r>
      <w:r>
        <w:rPr>
          <w:rFonts w:hint="eastAsia"/>
          <w:lang w:val="en-US" w:eastAsia="zh-CN"/>
        </w:rPr>
        <w:t>出栏量</w:t>
      </w:r>
      <w:r>
        <w:rPr>
          <w:rFonts w:hint="eastAsia"/>
        </w:rPr>
        <w:t>稳定在4.65万头</w:t>
      </w:r>
      <w:r>
        <w:rPr>
          <w:rFonts w:hint="eastAsia"/>
          <w:lang w:eastAsia="zh-CN"/>
        </w:rPr>
        <w:t>、2.33</w:t>
      </w:r>
      <w:r>
        <w:rPr>
          <w:rFonts w:hint="eastAsia"/>
          <w:lang w:val="en-US" w:eastAsia="zh-CN"/>
        </w:rPr>
        <w:t>万头以上</w:t>
      </w:r>
      <w:r>
        <w:rPr>
          <w:rFonts w:hint="eastAsia"/>
        </w:rPr>
        <w:t>，</w:t>
      </w:r>
      <w:r>
        <w:rPr>
          <w:rFonts w:hint="eastAsia"/>
          <w:lang w:val="en-US" w:eastAsia="zh-CN"/>
        </w:rPr>
        <w:t>规划建设肉牛规模养殖场4</w:t>
      </w:r>
      <w:r>
        <w:rPr>
          <w:rFonts w:hint="eastAsia"/>
        </w:rPr>
        <w:t>家。</w:t>
      </w:r>
    </w:p>
    <w:p w14:paraId="6354D2D7">
      <w:pPr>
        <w:pStyle w:val="4"/>
        <w:bidi w:val="0"/>
        <w:rPr>
          <w:rFonts w:hint="eastAsia"/>
        </w:rPr>
      </w:pPr>
      <w:bookmarkStart w:id="142" w:name="_Toc20660"/>
      <w:r>
        <w:rPr>
          <w:rFonts w:hint="eastAsia"/>
        </w:rPr>
        <w:t>2</w:t>
      </w:r>
      <w:r>
        <w:rPr>
          <w:rFonts w:hint="eastAsia"/>
          <w:lang w:val="en-US" w:eastAsia="zh-CN"/>
        </w:rPr>
        <w:t>.</w:t>
      </w:r>
      <w:r>
        <w:rPr>
          <w:rFonts w:hint="eastAsia"/>
        </w:rPr>
        <w:t>产业发展布局</w:t>
      </w:r>
      <w:bookmarkEnd w:id="142"/>
    </w:p>
    <w:p w14:paraId="1A307FD3">
      <w:pPr>
        <w:bidi w:val="0"/>
      </w:pPr>
      <w:r>
        <w:rPr>
          <w:rFonts w:hint="eastAsia"/>
        </w:rPr>
        <w:t>根据“兴牛羊”的发展方向，按照培育经营主体、选育优良品种、抓好配套体系建设的规划思路，发展壮大肉牛产业。立足我区优良生态环境优势，因地制宜适度发展肉牛养殖，推进肉牛产业绿色发展，保障我区肉牛产品安全供给。规划以梅南镇、丙村镇、南口镇、水车镇等为重点发展区域，养殖安格斯牛、陆丰牛、杂交水牛为主，逐步发展梅县区肉牛养殖产业。推广“企业+合作社+农户”经营模式，鼓励农户参与肉牛养殖，加强技术指导和服务，推动“小户变大户、大户变规模户”。推广先进饲养技术、种草养畜技术、秸秆青贮等处理技术，减少养殖对环境造成的污染，实现肉牛的生态养殖。加快地方优良品种的选育和提高，巩固提升基础母牛产能，不断强化陆丰牛品种保护开发利用。</w:t>
      </w:r>
    </w:p>
    <w:p w14:paraId="3BA7AD23">
      <w:pPr>
        <w:pStyle w:val="40"/>
        <w:rPr>
          <w:rFonts w:hint="default" w:ascii="Times New Roman" w:hAnsi="Times New Roman"/>
        </w:rPr>
      </w:pPr>
    </w:p>
    <w:p w14:paraId="7D019E3C">
      <w:pPr>
        <w:pStyle w:val="3"/>
        <w:bidi w:val="0"/>
        <w:rPr>
          <w:rFonts w:hint="default"/>
          <w:lang w:val="en-US" w:eastAsia="zh-CN"/>
        </w:rPr>
      </w:pPr>
      <w:bookmarkStart w:id="143" w:name="_Toc23181"/>
      <w:bookmarkStart w:id="144" w:name="_Toc23541"/>
      <w:r>
        <w:rPr>
          <w:rFonts w:hint="eastAsia"/>
          <w:lang w:val="en-US" w:eastAsia="zh-CN"/>
        </w:rPr>
        <w:t>（四）</w:t>
      </w:r>
      <w:r>
        <w:rPr>
          <w:rFonts w:hint="eastAsia"/>
        </w:rPr>
        <w:t>特色畜禽</w:t>
      </w:r>
      <w:bookmarkEnd w:id="143"/>
      <w:bookmarkEnd w:id="144"/>
    </w:p>
    <w:p w14:paraId="36D2A0C8">
      <w:pPr>
        <w:bidi w:val="0"/>
      </w:pPr>
      <w:r>
        <w:rPr>
          <w:rFonts w:hint="eastAsia"/>
        </w:rPr>
        <w:t>在梅南镇龙岗村、大坪镇上和村、大坪镇平中村等地发展</w:t>
      </w:r>
      <w:r>
        <w:rPr>
          <w:rFonts w:hint="eastAsia"/>
          <w:lang w:val="en-US" w:eastAsia="zh-CN"/>
        </w:rPr>
        <w:t>肉鸽</w:t>
      </w:r>
      <w:r>
        <w:rPr>
          <w:rFonts w:hint="eastAsia"/>
        </w:rPr>
        <w:t>等特色畜禽养殖，打造现代化肉鸽生产基地，引导传统分散养殖向适度规模化养殖转变，建立标准化的鸽舍，装备现代化设施设备，提升行业的竞争力，推动建立产、供、销一条龙的产业化生产经营模式，预期鸽肉产量稳定在500吨左右，肉鸽年出栏稳定在150万羽左右。在水车镇、隆文镇、畲江镇等地发展蜜蜂养殖，加强适应中蜂生物学特性的饲养技术和病害防控技术的研发推广，指导改善蜂农的设施装备条件，加强蜂农技术培训和示范基地建设，提升蜂群饲养管理水平，降低养殖风险，推进养蜂业提质增效</w:t>
      </w:r>
      <w:r>
        <w:rPr>
          <w:rFonts w:hint="eastAsia"/>
          <w:lang w:eastAsia="zh-CN"/>
        </w:rPr>
        <w:t>。</w:t>
      </w:r>
      <w:r>
        <w:rPr>
          <w:rFonts w:hint="eastAsia"/>
        </w:rPr>
        <w:t>支持雁洋镇石楼村发展狮头鹅养殖，因地制宜发展地方特色畜禽养殖，推动畜禽养殖业向市场紧缺产品、优质特色产品、种养加销全产业链方向调整。</w:t>
      </w:r>
    </w:p>
    <w:p w14:paraId="5A9899E3">
      <w:pPr>
        <w:ind w:firstLine="640"/>
        <w:rPr>
          <w:rFonts w:ascii="Times New Roman" w:hAnsi="Times New Roman" w:eastAsia="黑体" w:cs="黑体"/>
          <w:color w:val="333333"/>
          <w:szCs w:val="32"/>
        </w:rPr>
      </w:pPr>
      <w:r>
        <w:rPr>
          <w:rFonts w:ascii="Times New Roman" w:hAnsi="Times New Roman" w:eastAsia="黑体" w:cs="黑体"/>
          <w:color w:val="333333"/>
          <w:szCs w:val="32"/>
        </w:rPr>
        <w:br w:type="page"/>
      </w:r>
    </w:p>
    <w:p w14:paraId="75A43A5F">
      <w:pPr>
        <w:pStyle w:val="2"/>
        <w:bidi w:val="0"/>
        <w:rPr>
          <w:rFonts w:hint="eastAsia"/>
        </w:rPr>
      </w:pPr>
      <w:bookmarkStart w:id="145" w:name="_Toc18935"/>
      <w:bookmarkStart w:id="146" w:name="_Toc30070"/>
      <w:r>
        <w:rPr>
          <w:rFonts w:hint="eastAsia"/>
          <w:lang w:val="en-US" w:eastAsia="zh-CN"/>
        </w:rPr>
        <w:t>七</w:t>
      </w:r>
      <w:r>
        <w:rPr>
          <w:rFonts w:hint="eastAsia"/>
        </w:rPr>
        <w:t>、保障措施</w:t>
      </w:r>
      <w:bookmarkEnd w:id="110"/>
      <w:bookmarkEnd w:id="111"/>
      <w:bookmarkEnd w:id="112"/>
      <w:bookmarkEnd w:id="145"/>
      <w:bookmarkEnd w:id="146"/>
    </w:p>
    <w:p w14:paraId="5EEA87B2">
      <w:pPr>
        <w:pStyle w:val="3"/>
        <w:bidi w:val="0"/>
      </w:pPr>
      <w:bookmarkStart w:id="147" w:name="_Toc30028"/>
      <w:bookmarkStart w:id="148" w:name="_Toc8511"/>
      <w:bookmarkStart w:id="149" w:name="_Toc1315"/>
      <w:bookmarkStart w:id="150" w:name="_Toc110979230"/>
      <w:bookmarkStart w:id="151" w:name="_Toc2917"/>
      <w:bookmarkStart w:id="152" w:name="_Toc108367450"/>
      <w:r>
        <w:rPr>
          <w:rFonts w:hint="eastAsia"/>
        </w:rPr>
        <w:t>（一）强化组织保障</w:t>
      </w:r>
      <w:bookmarkEnd w:id="147"/>
      <w:bookmarkEnd w:id="148"/>
      <w:bookmarkEnd w:id="149"/>
      <w:bookmarkEnd w:id="150"/>
      <w:bookmarkEnd w:id="151"/>
      <w:bookmarkEnd w:id="152"/>
    </w:p>
    <w:p w14:paraId="378153AA">
      <w:pPr>
        <w:bidi w:val="0"/>
        <w:rPr>
          <w:rFonts w:hint="eastAsia"/>
          <w:color w:val="000000" w:themeColor="text1"/>
          <w14:textFill>
            <w14:solidFill>
              <w14:schemeClr w14:val="tx1"/>
            </w14:solidFill>
          </w14:textFill>
        </w:rPr>
      </w:pPr>
      <w:r>
        <w:rPr>
          <w:rFonts w:hint="eastAsia"/>
        </w:rPr>
        <w:t>充分认识畜牧业发展在推动农业农村发展、促进农民持续增收、改善民生的重要作用，将畜牧业发展纳入乡村振兴行动和农业农村现代化建设中。发挥行业协会及农业合作社的作用，强化市场经济运营机制，完善畜牧业服务体系，加快建立和完善经济合作组织。突出抓好各类行业协会、农民合作社等组织的队伍建设，强化市场经济运行机制。切实把畜牧业转型升级和畜禽养殖废弃物防治以及畜禽养殖废弃物综合利用作为实现乡村振兴、促进农业增效农民增收的一项重要任务。加强工作指导、监督管理、协调服务等职责。各有关部门强化协调配合，各司其职，密切配合，形成工作合力</w:t>
      </w:r>
      <w:r>
        <w:rPr>
          <w:rFonts w:hint="eastAsia"/>
          <w:color w:val="000000" w:themeColor="text1"/>
          <w14:textFill>
            <w14:solidFill>
              <w14:schemeClr w14:val="tx1"/>
            </w14:solidFill>
          </w14:textFill>
        </w:rPr>
        <w:t>，切实把政策支持、资金投入、技术支撑等措施落实到位。</w:t>
      </w:r>
      <w:bookmarkStart w:id="153" w:name="_Toc30810"/>
      <w:bookmarkStart w:id="154" w:name="_Toc110979231"/>
      <w:bookmarkStart w:id="155" w:name="_Toc108367451"/>
      <w:bookmarkStart w:id="156" w:name="_Toc12413"/>
    </w:p>
    <w:p w14:paraId="128199F4">
      <w:pPr>
        <w:numPr>
          <w:ilvl w:val="0"/>
          <w:numId w:val="1"/>
        </w:numPr>
        <w:bidi w:val="0"/>
        <w:ind w:left="-243" w:leftChars="0" w:firstLineChars="0"/>
        <w:rPr>
          <w:rStyle w:val="25"/>
          <w:rFonts w:hint="eastAsia" w:ascii="黑体" w:hAnsi="黑体" w:eastAsia="黑体" w:cs="黑体"/>
          <w:color w:val="000000" w:themeColor="text1"/>
          <w:shd w:val="clear" w:color="auto" w:fill="FFFFFF"/>
          <w14:textFill>
            <w14:solidFill>
              <w14:schemeClr w14:val="tx1"/>
            </w14:solidFill>
          </w14:textFill>
        </w:rPr>
      </w:pPr>
      <w:r>
        <w:rPr>
          <w:rStyle w:val="25"/>
          <w:rFonts w:hint="eastAsia" w:ascii="黑体" w:hAnsi="黑体" w:eastAsia="黑体" w:cs="黑体"/>
          <w:color w:val="000000" w:themeColor="text1"/>
          <w:shd w:val="clear" w:color="auto" w:fill="FFFFFF"/>
          <w:lang w:val="en-US" w:eastAsia="zh-CN"/>
          <w14:textFill>
            <w14:solidFill>
              <w14:schemeClr w14:val="tx1"/>
            </w14:solidFill>
          </w14:textFill>
        </w:rPr>
        <w:t>加强用地</w:t>
      </w:r>
      <w:r>
        <w:rPr>
          <w:rStyle w:val="25"/>
          <w:rFonts w:hint="eastAsia" w:ascii="黑体" w:hAnsi="黑体" w:eastAsia="黑体" w:cs="黑体"/>
          <w:color w:val="000000" w:themeColor="text1"/>
          <w:shd w:val="clear" w:color="auto" w:fill="FFFFFF"/>
          <w14:textFill>
            <w14:solidFill>
              <w14:schemeClr w14:val="tx1"/>
            </w14:solidFill>
          </w14:textFill>
        </w:rPr>
        <w:t>保障</w:t>
      </w:r>
    </w:p>
    <w:p w14:paraId="0D74E0BC">
      <w:pPr>
        <w:widowControl/>
        <w:shd w:val="clear" w:color="auto" w:fill="FFFFFF"/>
        <w:spacing w:before="150" w:after="100" w:afterAutospacing="1" w:line="420" w:lineRule="atLeast"/>
        <w:ind w:firstLine="640" w:firstLineChars="200"/>
        <w:rPr>
          <w:rFonts w:hint="eastAsia" w:ascii="仿宋_GB2312" w:hAnsi="宋体" w:eastAsia="仿宋_GB2312" w:cs="Times New Roman"/>
          <w:color w:val="000000" w:themeColor="text1"/>
          <w:kern w:val="0"/>
          <w:sz w:val="32"/>
          <w:szCs w:val="32"/>
          <w14:textFill>
            <w14:solidFill>
              <w14:schemeClr w14:val="tx1"/>
            </w14:solidFill>
          </w14:textFill>
        </w:rPr>
      </w:pP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将畜禽业用地纳入国土空间规划，保障畜禽业用地需求。鼓励利用低丘缓坡、荒山荒坡、灌草丛地等建设标准化规模养殖场。允许在Ⅱ、Ⅲ、Ⅳ级保护林地建设规模养殖设施，优先保障安排林地指标</w:t>
      </w:r>
      <w:r>
        <w:rPr>
          <w:rFonts w:hint="eastAsia" w:ascii="仿宋_GB2312" w:hAnsi="宋体" w:eastAsia="仿宋_GB2312" w:cs="Times New Roman"/>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规模化、工厂化养殖项目用地，涉及新增建设用地的，优先安排新增建设用地指标，应保尽保。结合新农村建设适当预留用地，规划建设标准化集中养殖小区，强化龙头企业或合作社带动，引导农村散养户移栏出村，发展标准化规模养殖。</w:t>
      </w:r>
      <w:r>
        <w:rPr>
          <w:rFonts w:hint="eastAsia" w:ascii="Times New Roman" w:hAnsi="Times New Roman" w:eastAsia="仿宋_GB2312" w:cs="Times New Roman"/>
          <w:b w:val="0"/>
          <w:bCs/>
          <w:color w:val="000000" w:themeColor="text1"/>
          <w:kern w:val="0"/>
          <w:sz w:val="32"/>
          <w:szCs w:val="32"/>
          <w:shd w:val="clear" w:color="auto" w:fill="FFFFFF"/>
          <w14:textFill>
            <w14:solidFill>
              <w14:schemeClr w14:val="tx1"/>
            </w14:solidFill>
          </w14:textFill>
        </w:rPr>
        <w:t>简化养殖设施农用地备案手续</w:t>
      </w:r>
      <w:r>
        <w:rPr>
          <w:rFonts w:hint="eastAsia" w:ascii="Times New Roman" w:hAnsi="Times New Roman" w:eastAsia="仿宋_GB2312" w:cs="Times New Roman"/>
          <w:b w:val="0"/>
          <w:bCs/>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cs="Times New Roman"/>
          <w:color w:val="000000" w:themeColor="text1"/>
          <w:kern w:val="0"/>
          <w:sz w:val="32"/>
          <w:szCs w:val="32"/>
          <w:shd w:val="clear" w:color="auto" w:fill="FFFFFF"/>
          <w14:textFill>
            <w14:solidFill>
              <w14:schemeClr w14:val="tx1"/>
            </w14:solidFill>
          </w14:textFill>
        </w:rPr>
        <w:t>对收购、租赁、入股已有畜禽养殖场进行整改重建、升级改造，原养殖场已办理设施农用地备案的，依法办理备案主体变更。已备案设施农用地的畜禽养殖场整改重建、升级改造，在与原备案内容一致的前提下，无需重新备案。对扩建养殖设施的，依法对新增设施办理设施农用地备案。</w:t>
      </w:r>
    </w:p>
    <w:p w14:paraId="652752B8">
      <w:pPr>
        <w:pStyle w:val="3"/>
        <w:bidi w:val="0"/>
        <w:ind w:left="0" w:leftChars="0" w:firstLine="643" w:firstLineChars="200"/>
      </w:pPr>
      <w:bookmarkStart w:id="157" w:name="_Toc8493"/>
      <w:bookmarkStart w:id="158" w:name="_Toc22094"/>
      <w:bookmarkStart w:id="159" w:name="_Toc15151"/>
      <w:r>
        <w:rPr>
          <w:rFonts w:hint="eastAsia"/>
        </w:rPr>
        <w:t>（</w:t>
      </w:r>
      <w:r>
        <w:rPr>
          <w:rFonts w:hint="eastAsia"/>
          <w:lang w:val="en-US" w:eastAsia="zh-CN"/>
        </w:rPr>
        <w:t>三</w:t>
      </w:r>
      <w:r>
        <w:rPr>
          <w:rFonts w:hint="eastAsia"/>
        </w:rPr>
        <w:t>）落实政策保障</w:t>
      </w:r>
      <w:bookmarkEnd w:id="153"/>
      <w:bookmarkEnd w:id="154"/>
      <w:bookmarkEnd w:id="155"/>
      <w:bookmarkEnd w:id="156"/>
      <w:bookmarkEnd w:id="157"/>
      <w:bookmarkEnd w:id="158"/>
      <w:bookmarkEnd w:id="159"/>
    </w:p>
    <w:p w14:paraId="33586F48">
      <w:pPr>
        <w:bidi w:val="0"/>
      </w:pPr>
      <w:r>
        <w:rPr>
          <w:rFonts w:hint="eastAsia"/>
        </w:rPr>
        <w:t>认真贯彻落实国家扶持畜牧业发展的各项政策，完善激励政策措施，积极整合各项支农资金项目，统筹安排农业综合开发、农业产业化、高效农业发展等资金，支持畜牧业高质量、数字化以及智慧化转型升级。健全以绿色发展为导向的现代畜牧业政策框架体系，加大金融保险政策保障力度，创新金融信贷产品。落实畜禽政策性保险全覆盖，促进生猪养殖业规模化发展，助力构建全产业链风险管理模式。开展生猪、肉鸡价格指数保险试点，引导企业参与期货交易。鼓励社会资本设立畜牧业产业投资基金和畜牧业科技创业投资基金。</w:t>
      </w:r>
    </w:p>
    <w:p w14:paraId="1DBEDBD4">
      <w:pPr>
        <w:pStyle w:val="3"/>
        <w:bidi w:val="0"/>
      </w:pPr>
      <w:bookmarkStart w:id="160" w:name="_Toc23340"/>
      <w:bookmarkStart w:id="161" w:name="_Toc79053235"/>
      <w:bookmarkStart w:id="162" w:name="_Toc17141"/>
      <w:bookmarkStart w:id="163" w:name="_Toc7690"/>
      <w:bookmarkStart w:id="164" w:name="_Toc108367452"/>
      <w:bookmarkStart w:id="165" w:name="_Toc110979232"/>
      <w:bookmarkStart w:id="166" w:name="_Toc7921"/>
      <w:bookmarkStart w:id="167" w:name="_Toc1150"/>
      <w:r>
        <w:rPr>
          <w:rFonts w:hint="eastAsia"/>
        </w:rPr>
        <w:t>（</w:t>
      </w:r>
      <w:r>
        <w:rPr>
          <w:rFonts w:hint="eastAsia"/>
          <w:lang w:val="en-US" w:eastAsia="zh-CN"/>
        </w:rPr>
        <w:t>四</w:t>
      </w:r>
      <w:r>
        <w:rPr>
          <w:rFonts w:hint="eastAsia"/>
        </w:rPr>
        <w:t>）加大财政投入</w:t>
      </w:r>
      <w:bookmarkEnd w:id="160"/>
      <w:bookmarkEnd w:id="161"/>
      <w:bookmarkEnd w:id="162"/>
      <w:bookmarkEnd w:id="163"/>
      <w:bookmarkEnd w:id="164"/>
      <w:bookmarkEnd w:id="165"/>
      <w:bookmarkEnd w:id="166"/>
    </w:p>
    <w:p w14:paraId="06E390C6">
      <w:pPr>
        <w:bidi w:val="0"/>
      </w:pPr>
      <w:r>
        <w:rPr>
          <w:rFonts w:hint="eastAsia"/>
        </w:rPr>
        <w:t>积极争取安排畜牧业发展专项资金，用于扶持现代畜牧业发展，对新建扩建畜禽养殖场和养殖小区，获得部、省、市级标准化示范场给予奖补，支持畜牧业相关企业争创国家级、省级产业化龙头企业。加大财政扶持力度，积极整合财政资金，统筹安排农业产业化、现代农业生产发展资金，利用市场机制放大财政资金引导作用，支持畜牧业发展；要保障动物防疫经费投入，并纳入同级财政预算。积极争取部省级项目资金扶持，加大招商引资力度，加强农业资源、生态保护和动物防疫补助，合多方之力共推畜牧业发展。</w:t>
      </w:r>
    </w:p>
    <w:p w14:paraId="0308EE71">
      <w:pPr>
        <w:pStyle w:val="3"/>
        <w:bidi w:val="0"/>
      </w:pPr>
      <w:bookmarkStart w:id="168" w:name="_Toc14483"/>
      <w:bookmarkStart w:id="169" w:name="_Toc108367453"/>
      <w:bookmarkStart w:id="170" w:name="_Toc1814"/>
      <w:bookmarkStart w:id="171" w:name="_Toc26142"/>
      <w:bookmarkStart w:id="172" w:name="_Toc19474"/>
      <w:bookmarkStart w:id="173" w:name="_Toc110979233"/>
      <w:r>
        <w:rPr>
          <w:rFonts w:hint="eastAsia"/>
        </w:rPr>
        <w:t>（</w:t>
      </w:r>
      <w:r>
        <w:rPr>
          <w:rFonts w:hint="eastAsia"/>
          <w:lang w:val="en-US" w:eastAsia="zh-CN"/>
        </w:rPr>
        <w:t>五</w:t>
      </w:r>
      <w:r>
        <w:rPr>
          <w:rFonts w:hint="eastAsia"/>
        </w:rPr>
        <w:t>）加强科技保障</w:t>
      </w:r>
      <w:bookmarkEnd w:id="167"/>
      <w:bookmarkEnd w:id="168"/>
      <w:bookmarkEnd w:id="169"/>
      <w:bookmarkEnd w:id="170"/>
      <w:bookmarkEnd w:id="171"/>
      <w:bookmarkEnd w:id="172"/>
      <w:bookmarkEnd w:id="173"/>
    </w:p>
    <w:p w14:paraId="2E939F0F">
      <w:pPr>
        <w:bidi w:val="0"/>
      </w:pPr>
      <w:r>
        <w:rPr>
          <w:rFonts w:hint="eastAsia"/>
        </w:rPr>
        <w:t>大力推广和普及畜牧兽医先进实用技术，将畜牧兽医实用技术组装配套，加快推广应用步伐。鼓励支持畜牧企业建立技术研发中心，形成以企业为主体的科技创新体系。促进政产学研推联合，突出科技支撑，整合高等院校、科研单位、技术推广部门和生产企业等科研资源，加大对新品种、新技术的研发和先进实用技术的熟化集成、组装配套、示范推广工作。构建畜牧产业预警和信息服务体系，提升产业信息服务系统的宏观分析和产业指导。充分利用大数据等现代信息技术，加强畜牧业生产和畜禽产品市场动态跟踪监测，及时、准确发布信息，科学引导生产和消费。</w:t>
      </w:r>
    </w:p>
    <w:p w14:paraId="263E7AD6">
      <w:pPr>
        <w:pStyle w:val="3"/>
        <w:bidi w:val="0"/>
      </w:pPr>
      <w:bookmarkStart w:id="174" w:name="_Toc16809"/>
      <w:bookmarkStart w:id="175" w:name="_Toc108367454"/>
      <w:bookmarkStart w:id="176" w:name="_Toc110979234"/>
      <w:bookmarkStart w:id="177" w:name="_Toc29003"/>
      <w:bookmarkStart w:id="178" w:name="_Toc11237"/>
      <w:bookmarkStart w:id="179" w:name="_Toc7754"/>
      <w:r>
        <w:rPr>
          <w:rFonts w:hint="eastAsia"/>
        </w:rPr>
        <w:t>（</w:t>
      </w:r>
      <w:r>
        <w:rPr>
          <w:rFonts w:hint="eastAsia"/>
          <w:lang w:val="en-US" w:eastAsia="zh-CN"/>
        </w:rPr>
        <w:t>六</w:t>
      </w:r>
      <w:r>
        <w:rPr>
          <w:rFonts w:hint="eastAsia"/>
        </w:rPr>
        <w:t>）完善法制保障</w:t>
      </w:r>
      <w:bookmarkEnd w:id="174"/>
      <w:bookmarkEnd w:id="175"/>
      <w:bookmarkEnd w:id="176"/>
      <w:bookmarkEnd w:id="177"/>
      <w:bookmarkEnd w:id="178"/>
      <w:bookmarkEnd w:id="179"/>
    </w:p>
    <w:p w14:paraId="705235FB">
      <w:pPr>
        <w:bidi w:val="0"/>
        <w:rPr>
          <w:rFonts w:ascii="Times New Roman" w:hAnsi="Times New Roman" w:eastAsia="文星仿宋"/>
          <w:kern w:val="2"/>
          <w:sz w:val="32"/>
          <w:szCs w:val="32"/>
        </w:rPr>
      </w:pPr>
      <w:r>
        <w:rPr>
          <w:rFonts w:hint="eastAsia"/>
        </w:rPr>
        <w:t>建立健全兽医行政管理、行政执法和技术支撑体系建设。推进畜牧兽医法规体系、畜禽养殖污染综合防治体系和公共安全监管体系建设，完善种畜禽保护、动物卫生监督、畜禽屠宰以及质量安全监管等配套法规规章建设，健全畜禽养殖规范管理机制。健全农业综合行政执法队伍，提高执法装备水平，严厉打击违法行为，依法规范畜牧业生产经营秩序，维护生产经营者合法权益。加大畜牧业法律法规宣传贯彻力度，引导养殖从业者增强法律意识、履行应尽义务。</w:t>
      </w:r>
    </w:p>
    <w:sectPr>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文星楷体">
    <w:altName w:val="楷体"/>
    <w:panose1 w:val="00000000000000000000"/>
    <w:charset w:val="86"/>
    <w:family w:val="modern"/>
    <w:pitch w:val="default"/>
    <w:sig w:usb0="00000000" w:usb1="00000000" w:usb2="00000000" w:usb3="00000000" w:csb0="00040000" w:csb1="00000000"/>
  </w:font>
  <w:font w:name="文星黑体">
    <w:altName w:val="黑体"/>
    <w:panose1 w:val="00000000000000000000"/>
    <w:charset w:val="86"/>
    <w:family w:val="modern"/>
    <w:pitch w:val="default"/>
    <w:sig w:usb0="00000000" w:usb1="0000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83E7">
    <w:pPr>
      <w:pStyle w:val="13"/>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806E9">
    <w:pPr>
      <w:pStyle w:val="13"/>
      <w:ind w:left="0" w:leftChars="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91F6">
    <w:pPr>
      <w:pStyle w:val="13"/>
      <w:ind w:left="0" w:leftChars="0"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D46DE8">
                          <w:pPr>
                            <w:pStyle w:val="13"/>
                            <w:ind w:firstLine="36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UiKAx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k1IigMQIAAGQEAAAOAAAAAAAAAAEAIAAAAB8BAABkcnMvZTJvRG9jLnhtbFBLBQYA&#10;AAAABgAGAFkBAADCBQAAAAA=&#10;">
              <v:fill on="f" focussize="0,0"/>
              <v:stroke on="f" weight="0.5pt"/>
              <v:imagedata o:title=""/>
              <o:lock v:ext="edit" aspectratio="f"/>
              <v:textbox inset="0mm,0mm,0mm,0mm" style="mso-fit-shape-to-text:t;">
                <w:txbxContent>
                  <w:p w14:paraId="07D46DE8">
                    <w:pPr>
                      <w:pStyle w:val="13"/>
                      <w:ind w:firstLine="36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F78CE">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6F5BD1">
                          <w:pPr>
                            <w:pStyle w:val="13"/>
                            <w:ind w:firstLine="36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076F5BD1">
                    <w:pPr>
                      <w:pStyle w:val="13"/>
                      <w:ind w:firstLine="36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360" w:lineRule="auto"/>
        <w:ind w:firstLine="640"/>
      </w:pPr>
    </w:p>
  </w:footnote>
  <w:footnote w:type="continuationSeparator" w:id="11">
    <w:p>
      <w:pPr>
        <w:spacing w:line="360" w:lineRule="auto"/>
        <w:ind w:firstLine="640"/>
      </w:pPr>
    </w:p>
  </w:footnote>
  <w:footnote w:id="0">
    <w:p w14:paraId="580AAF1C">
      <w:pPr>
        <w:pStyle w:val="16"/>
        <w:snapToGrid w:val="0"/>
      </w:pPr>
      <w:r>
        <w:rPr>
          <w:rStyle w:val="29"/>
        </w:rPr>
        <w:footnoteRef/>
      </w:r>
      <w:r>
        <w:t xml:space="preserve"> </w:t>
      </w:r>
      <w:r>
        <w:rPr>
          <w:rFonts w:hint="eastAsia"/>
        </w:rPr>
        <w:t>数据来源于梅州市梅县区人民政府网</w:t>
      </w:r>
    </w:p>
  </w:footnote>
  <w:footnote w:id="1">
    <w:p w14:paraId="33CC742D">
      <w:pPr>
        <w:pStyle w:val="16"/>
        <w:snapToGrid w:val="0"/>
      </w:pPr>
      <w:r>
        <w:rPr>
          <w:rStyle w:val="29"/>
        </w:rPr>
        <w:footnoteRef/>
      </w:r>
      <w:r>
        <w:t xml:space="preserve"> </w:t>
      </w:r>
      <w:r>
        <w:rPr>
          <w:rFonts w:hint="eastAsia"/>
        </w:rPr>
        <w:t>数据来源于梅州市梅县区人民政府网</w:t>
      </w:r>
    </w:p>
  </w:footnote>
  <w:footnote w:id="2">
    <w:p w14:paraId="2736B090">
      <w:pPr>
        <w:pStyle w:val="16"/>
        <w:snapToGrid w:val="0"/>
        <w:rPr>
          <w:rFonts w:hint="eastAsia" w:ascii="仿宋_GB2312" w:hAnsi="仿宋_GB2312" w:eastAsia="仿宋_GB2312" w:cs="仿宋_GB2312"/>
          <w:sz w:val="21"/>
          <w:szCs w:val="21"/>
        </w:rPr>
      </w:pPr>
      <w:r>
        <w:rPr>
          <w:rStyle w:val="29"/>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数据来源于梅州市梅县区人民政府网</w:t>
      </w:r>
    </w:p>
  </w:footnote>
  <w:footnote w:id="3">
    <w:p w14:paraId="6CA3572A">
      <w:pPr>
        <w:pStyle w:val="16"/>
        <w:snapToGrid w:val="0"/>
      </w:pPr>
      <w:r>
        <w:rPr>
          <w:rStyle w:val="29"/>
        </w:rPr>
        <w:footnoteRef/>
      </w:r>
      <w:r>
        <w:t xml:space="preserve"> </w:t>
      </w:r>
      <w:r>
        <w:rPr>
          <w:rFonts w:hint="eastAsia"/>
        </w:rPr>
        <w:t>数据来源于梅州市梅县区人民政府网</w:t>
      </w:r>
    </w:p>
  </w:footnote>
  <w:footnote w:id="4">
    <w:p w14:paraId="6A3C6E4F">
      <w:pPr>
        <w:pStyle w:val="16"/>
        <w:snapToGrid w:val="0"/>
      </w:pPr>
      <w:r>
        <w:rPr>
          <w:rStyle w:val="29"/>
        </w:rPr>
        <w:footnoteRef/>
      </w:r>
      <w:r>
        <w:t xml:space="preserve"> </w:t>
      </w:r>
      <w:r>
        <w:rPr>
          <w:rFonts w:hint="eastAsia"/>
        </w:rPr>
        <w:t>数据来源于《2022年梅州市梅县区国民经济和社会发展统计公报》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9152"/>
    <w:multiLevelType w:val="singleLevel"/>
    <w:tmpl w:val="B4B59152"/>
    <w:lvl w:ilvl="0" w:tentative="0">
      <w:start w:val="2"/>
      <w:numFmt w:val="chineseCounting"/>
      <w:suff w:val="nothing"/>
      <w:lvlText w:val="（%1）"/>
      <w:lvlJc w:val="left"/>
      <w:pPr>
        <w:ind w:left="-24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jY4MGRhZmM1ZTM4ZjczNzBmZThlMWQ4NzU0M2EifQ=="/>
  </w:docVars>
  <w:rsids>
    <w:rsidRoot w:val="00172A27"/>
    <w:rsid w:val="00000B64"/>
    <w:rsid w:val="00082DC0"/>
    <w:rsid w:val="000A153E"/>
    <w:rsid w:val="001136A1"/>
    <w:rsid w:val="001D2872"/>
    <w:rsid w:val="00260009"/>
    <w:rsid w:val="002A0C1D"/>
    <w:rsid w:val="002B6CC7"/>
    <w:rsid w:val="003262FA"/>
    <w:rsid w:val="003537F8"/>
    <w:rsid w:val="00391383"/>
    <w:rsid w:val="0041694A"/>
    <w:rsid w:val="00463EA0"/>
    <w:rsid w:val="0049571E"/>
    <w:rsid w:val="005F5CA0"/>
    <w:rsid w:val="00612610"/>
    <w:rsid w:val="006443C1"/>
    <w:rsid w:val="00671090"/>
    <w:rsid w:val="00735798"/>
    <w:rsid w:val="0073663F"/>
    <w:rsid w:val="007B0BD7"/>
    <w:rsid w:val="007E157D"/>
    <w:rsid w:val="0086565C"/>
    <w:rsid w:val="008B0A12"/>
    <w:rsid w:val="00910F38"/>
    <w:rsid w:val="009C5522"/>
    <w:rsid w:val="00A40404"/>
    <w:rsid w:val="00A67494"/>
    <w:rsid w:val="00AE157C"/>
    <w:rsid w:val="00B57C69"/>
    <w:rsid w:val="00B721AA"/>
    <w:rsid w:val="00C03AC6"/>
    <w:rsid w:val="00CE0D48"/>
    <w:rsid w:val="00D1179E"/>
    <w:rsid w:val="00D25EA8"/>
    <w:rsid w:val="00D77AB8"/>
    <w:rsid w:val="00D82E85"/>
    <w:rsid w:val="00E000F0"/>
    <w:rsid w:val="00E63B12"/>
    <w:rsid w:val="00F0130A"/>
    <w:rsid w:val="00F06440"/>
    <w:rsid w:val="00F355DD"/>
    <w:rsid w:val="00FE4932"/>
    <w:rsid w:val="00FF66B8"/>
    <w:rsid w:val="021B7C70"/>
    <w:rsid w:val="026C4FD1"/>
    <w:rsid w:val="034524A6"/>
    <w:rsid w:val="046171BA"/>
    <w:rsid w:val="06FA704F"/>
    <w:rsid w:val="0776367D"/>
    <w:rsid w:val="07AF3996"/>
    <w:rsid w:val="0CF83608"/>
    <w:rsid w:val="0D074274"/>
    <w:rsid w:val="0FAB0A9D"/>
    <w:rsid w:val="0FB852E3"/>
    <w:rsid w:val="145C1124"/>
    <w:rsid w:val="164B155C"/>
    <w:rsid w:val="18303625"/>
    <w:rsid w:val="1ACA6E1C"/>
    <w:rsid w:val="1ADF9369"/>
    <w:rsid w:val="1BCA618A"/>
    <w:rsid w:val="1BEB6D23"/>
    <w:rsid w:val="1D13120E"/>
    <w:rsid w:val="1D2A0BDE"/>
    <w:rsid w:val="1DBC7A18"/>
    <w:rsid w:val="1E990722"/>
    <w:rsid w:val="1FDD5192"/>
    <w:rsid w:val="2155128B"/>
    <w:rsid w:val="21AE3C52"/>
    <w:rsid w:val="22604E14"/>
    <w:rsid w:val="242B6BAA"/>
    <w:rsid w:val="25215379"/>
    <w:rsid w:val="25537BFE"/>
    <w:rsid w:val="26C569A6"/>
    <w:rsid w:val="28837E9F"/>
    <w:rsid w:val="29960C89"/>
    <w:rsid w:val="2B4219B0"/>
    <w:rsid w:val="2EF70051"/>
    <w:rsid w:val="30455105"/>
    <w:rsid w:val="30A078AB"/>
    <w:rsid w:val="34674673"/>
    <w:rsid w:val="34E32846"/>
    <w:rsid w:val="35CE22A8"/>
    <w:rsid w:val="3698C327"/>
    <w:rsid w:val="3ABFBB3F"/>
    <w:rsid w:val="3BAA53A6"/>
    <w:rsid w:val="3BD708D1"/>
    <w:rsid w:val="3BEAF2C1"/>
    <w:rsid w:val="3CEA7138"/>
    <w:rsid w:val="3CFC2FF0"/>
    <w:rsid w:val="3D3ECA8C"/>
    <w:rsid w:val="3E6D7B2B"/>
    <w:rsid w:val="3EAE1259"/>
    <w:rsid w:val="3EF3C788"/>
    <w:rsid w:val="3F2821FA"/>
    <w:rsid w:val="3F9B0414"/>
    <w:rsid w:val="3FD320A4"/>
    <w:rsid w:val="3FFF8D94"/>
    <w:rsid w:val="437325F9"/>
    <w:rsid w:val="4503690A"/>
    <w:rsid w:val="45E350F6"/>
    <w:rsid w:val="46C27E2E"/>
    <w:rsid w:val="494C3396"/>
    <w:rsid w:val="4A96D38D"/>
    <w:rsid w:val="4B7FE9DF"/>
    <w:rsid w:val="4BE015B1"/>
    <w:rsid w:val="509471EA"/>
    <w:rsid w:val="517723FE"/>
    <w:rsid w:val="531B214C"/>
    <w:rsid w:val="55C37178"/>
    <w:rsid w:val="55FB3668"/>
    <w:rsid w:val="57EA1DE9"/>
    <w:rsid w:val="590E3C3A"/>
    <w:rsid w:val="5A1804F3"/>
    <w:rsid w:val="5DA14AD8"/>
    <w:rsid w:val="5F1B2C45"/>
    <w:rsid w:val="5FDDDB5D"/>
    <w:rsid w:val="5FDFFCCE"/>
    <w:rsid w:val="5FEFF83C"/>
    <w:rsid w:val="5FF760B4"/>
    <w:rsid w:val="5FFFEC44"/>
    <w:rsid w:val="607D166B"/>
    <w:rsid w:val="617126AF"/>
    <w:rsid w:val="64E95A58"/>
    <w:rsid w:val="65775884"/>
    <w:rsid w:val="65A56484"/>
    <w:rsid w:val="66822DA2"/>
    <w:rsid w:val="678FC8E5"/>
    <w:rsid w:val="685E4C33"/>
    <w:rsid w:val="68D910AB"/>
    <w:rsid w:val="69C27936"/>
    <w:rsid w:val="6A956516"/>
    <w:rsid w:val="6AA319DC"/>
    <w:rsid w:val="6AE00ADE"/>
    <w:rsid w:val="6DFF4369"/>
    <w:rsid w:val="6EFC1945"/>
    <w:rsid w:val="719E2300"/>
    <w:rsid w:val="73D355BD"/>
    <w:rsid w:val="75773FF0"/>
    <w:rsid w:val="75AC4535"/>
    <w:rsid w:val="75DCB1BD"/>
    <w:rsid w:val="75FFF11C"/>
    <w:rsid w:val="769D2422"/>
    <w:rsid w:val="771F213E"/>
    <w:rsid w:val="777F956E"/>
    <w:rsid w:val="77F7F1EE"/>
    <w:rsid w:val="79FA63CF"/>
    <w:rsid w:val="79FFBDFB"/>
    <w:rsid w:val="7A464FC7"/>
    <w:rsid w:val="7AC7FD2C"/>
    <w:rsid w:val="7AF1BFB1"/>
    <w:rsid w:val="7B7F1DB4"/>
    <w:rsid w:val="7B7F8A3A"/>
    <w:rsid w:val="7CBF9501"/>
    <w:rsid w:val="7D163895"/>
    <w:rsid w:val="7D7D453B"/>
    <w:rsid w:val="7DEFD981"/>
    <w:rsid w:val="7E171E4C"/>
    <w:rsid w:val="7E2F828C"/>
    <w:rsid w:val="7E68F794"/>
    <w:rsid w:val="7ED910C4"/>
    <w:rsid w:val="7F212147"/>
    <w:rsid w:val="7F7FB76B"/>
    <w:rsid w:val="7F9F3F46"/>
    <w:rsid w:val="7FD755C9"/>
    <w:rsid w:val="7FDF4627"/>
    <w:rsid w:val="8B77EE51"/>
    <w:rsid w:val="967F71E1"/>
    <w:rsid w:val="97C8DD65"/>
    <w:rsid w:val="9D4B5CFF"/>
    <w:rsid w:val="AF770025"/>
    <w:rsid w:val="B3F70B70"/>
    <w:rsid w:val="B7AB07CD"/>
    <w:rsid w:val="B7BE9980"/>
    <w:rsid w:val="BA7B23C6"/>
    <w:rsid w:val="BABFF09E"/>
    <w:rsid w:val="BAFFA1F5"/>
    <w:rsid w:val="BFD2EE77"/>
    <w:rsid w:val="CA6BBFAE"/>
    <w:rsid w:val="CD5B37C8"/>
    <w:rsid w:val="CEE67048"/>
    <w:rsid w:val="D37FAB94"/>
    <w:rsid w:val="D56FC50C"/>
    <w:rsid w:val="D66E142F"/>
    <w:rsid w:val="D6E5AF69"/>
    <w:rsid w:val="D95F532C"/>
    <w:rsid w:val="DAF4251F"/>
    <w:rsid w:val="DBDF6A72"/>
    <w:rsid w:val="DD72880A"/>
    <w:rsid w:val="DDB9256B"/>
    <w:rsid w:val="E1DAC458"/>
    <w:rsid w:val="E26DDC52"/>
    <w:rsid w:val="EE5CE2B0"/>
    <w:rsid w:val="EEFE0CBB"/>
    <w:rsid w:val="EFDB8414"/>
    <w:rsid w:val="EFFFB28A"/>
    <w:rsid w:val="F2CACB57"/>
    <w:rsid w:val="F7D721F5"/>
    <w:rsid w:val="FD5F52CB"/>
    <w:rsid w:val="FDF72B81"/>
    <w:rsid w:val="FE6FC7BF"/>
    <w:rsid w:val="FE734873"/>
    <w:rsid w:val="FEDF491E"/>
    <w:rsid w:val="FF3E77C3"/>
    <w:rsid w:val="FF7A87AB"/>
    <w:rsid w:val="FF7F59A2"/>
    <w:rsid w:val="FF7FD59B"/>
    <w:rsid w:val="FFD4908C"/>
    <w:rsid w:val="FFDE8299"/>
    <w:rsid w:val="FFDF46F2"/>
    <w:rsid w:val="FFFDB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30"/>
    <w:qFormat/>
    <w:uiPriority w:val="0"/>
    <w:pPr>
      <w:ind w:firstLine="0" w:firstLineChars="0"/>
      <w:jc w:val="center"/>
      <w:outlineLvl w:val="0"/>
    </w:pPr>
    <w:rPr>
      <w:rFonts w:ascii="方正小标宋简体" w:hAnsi="方正小标宋简体" w:eastAsia="方正小标宋简体"/>
      <w:b/>
      <w:kern w:val="44"/>
      <w:szCs w:val="48"/>
    </w:rPr>
  </w:style>
  <w:style w:type="paragraph" w:styleId="3">
    <w:name w:val="heading 2"/>
    <w:basedOn w:val="1"/>
    <w:next w:val="1"/>
    <w:qFormat/>
    <w:uiPriority w:val="9"/>
    <w:pPr>
      <w:keepNext/>
      <w:keepLines/>
      <w:spacing w:before="260" w:after="260"/>
      <w:outlineLvl w:val="1"/>
    </w:pPr>
    <w:rPr>
      <w:rFonts w:ascii="黑体" w:hAnsi="黑体" w:eastAsia="黑体"/>
      <w:b/>
      <w:bCs/>
      <w:szCs w:val="32"/>
    </w:rPr>
  </w:style>
  <w:style w:type="paragraph" w:styleId="4">
    <w:name w:val="heading 3"/>
    <w:basedOn w:val="1"/>
    <w:next w:val="1"/>
    <w:qFormat/>
    <w:uiPriority w:val="0"/>
    <w:pPr>
      <w:keepNext/>
      <w:keepLines/>
      <w:spacing w:line="360" w:lineRule="auto"/>
      <w:outlineLvl w:val="2"/>
    </w:pPr>
    <w:rPr>
      <w:rFonts w:ascii="楷体" w:hAnsi="楷体" w:eastAsia="楷体"/>
      <w:b/>
      <w:bCs/>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keepNext/>
      <w:spacing w:before="152" w:after="160"/>
      <w:jc w:val="center"/>
    </w:pPr>
    <w:rPr>
      <w:rFonts w:ascii="Times New Roman" w:hAnsi="Times New Roman"/>
      <w:b/>
      <w:sz w:val="24"/>
    </w:rPr>
  </w:style>
  <w:style w:type="paragraph" w:styleId="7">
    <w:name w:val="annotation text"/>
    <w:basedOn w:val="1"/>
    <w:link w:val="35"/>
    <w:qFormat/>
    <w:uiPriority w:val="0"/>
    <w:pPr>
      <w:jc w:val="left"/>
    </w:pPr>
  </w:style>
  <w:style w:type="paragraph" w:styleId="8">
    <w:name w:val="Body Text 3"/>
    <w:basedOn w:val="1"/>
    <w:qFormat/>
    <w:uiPriority w:val="0"/>
    <w:pPr>
      <w:spacing w:after="120"/>
    </w:pPr>
    <w:rPr>
      <w:sz w:val="16"/>
    </w:rPr>
  </w:style>
  <w:style w:type="paragraph" w:styleId="9">
    <w:name w:val="Body Text"/>
    <w:basedOn w:val="1"/>
    <w:qFormat/>
    <w:uiPriority w:val="99"/>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right" w:leader="dot" w:pos="8296"/>
      </w:tabs>
    </w:pPr>
    <w:rPr>
      <w:rFonts w:ascii="Times New Roman" w:hAnsi="Times New Roman" w:eastAsia="黑体"/>
      <w:b/>
      <w:bCs/>
      <w:szCs w:val="32"/>
    </w:rPr>
  </w:style>
  <w:style w:type="paragraph" w:styleId="16">
    <w:name w:val="footnote text"/>
    <w:basedOn w:val="1"/>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annotation subject"/>
    <w:basedOn w:val="7"/>
    <w:next w:val="7"/>
    <w:link w:val="36"/>
    <w:qFormat/>
    <w:uiPriority w:val="0"/>
    <w:rPr>
      <w:b/>
      <w:bCs/>
    </w:rPr>
  </w:style>
  <w:style w:type="paragraph" w:styleId="21">
    <w:name w:val="Body Text First Indent 2"/>
    <w:basedOn w:val="10"/>
    <w:unhideWhenUsed/>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styleId="29">
    <w:name w:val="footnote reference"/>
    <w:basedOn w:val="24"/>
    <w:qFormat/>
    <w:uiPriority w:val="0"/>
    <w:rPr>
      <w:vertAlign w:val="superscript"/>
    </w:rPr>
  </w:style>
  <w:style w:type="character" w:customStyle="1" w:styleId="30">
    <w:name w:val="标题 1 Char"/>
    <w:basedOn w:val="24"/>
    <w:link w:val="2"/>
    <w:qFormat/>
    <w:uiPriority w:val="0"/>
    <w:rPr>
      <w:rFonts w:hint="default" w:ascii="方正小标宋简体" w:hAnsi="方正小标宋简体" w:eastAsia="方正小标宋简体"/>
      <w:b/>
      <w:kern w:val="44"/>
      <w:sz w:val="32"/>
      <w:szCs w:val="48"/>
    </w:rPr>
  </w:style>
  <w:style w:type="paragraph" w:customStyle="1" w:styleId="31">
    <w:name w:val="二级标题"/>
    <w:basedOn w:val="15"/>
    <w:qFormat/>
    <w:uiPriority w:val="0"/>
    <w:pPr>
      <w:spacing w:beforeLines="50" w:afterLines="50" w:line="480" w:lineRule="auto"/>
    </w:pPr>
    <w:rPr>
      <w:b w:val="0"/>
    </w:rPr>
  </w:style>
  <w:style w:type="paragraph" w:customStyle="1" w:styleId="32">
    <w:name w:val="列出段落11"/>
    <w:basedOn w:val="1"/>
    <w:qFormat/>
    <w:uiPriority w:val="0"/>
    <w:pPr>
      <w:widowControl/>
      <w:ind w:firstLine="420"/>
      <w:jc w:val="left"/>
    </w:pPr>
    <w:rPr>
      <w:rFonts w:ascii="宋体" w:hAnsi="宋体" w:cs="宋体"/>
      <w:kern w:val="0"/>
      <w:sz w:val="24"/>
    </w:rPr>
  </w:style>
  <w:style w:type="paragraph" w:styleId="33">
    <w:name w:val="List Paragraph"/>
    <w:basedOn w:val="1"/>
    <w:qFormat/>
    <w:uiPriority w:val="34"/>
    <w:pPr>
      <w:ind w:firstLine="420"/>
    </w:pPr>
  </w:style>
  <w:style w:type="character" w:customStyle="1" w:styleId="34">
    <w:name w:val="批注框文本 Char"/>
    <w:basedOn w:val="24"/>
    <w:link w:val="12"/>
    <w:qFormat/>
    <w:uiPriority w:val="0"/>
    <w:rPr>
      <w:rFonts w:ascii="Calibri" w:hAnsi="Calibri"/>
      <w:kern w:val="2"/>
      <w:sz w:val="18"/>
      <w:szCs w:val="18"/>
    </w:rPr>
  </w:style>
  <w:style w:type="character" w:customStyle="1" w:styleId="35">
    <w:name w:val="批注文字 Char"/>
    <w:basedOn w:val="24"/>
    <w:link w:val="7"/>
    <w:qFormat/>
    <w:uiPriority w:val="0"/>
    <w:rPr>
      <w:rFonts w:ascii="Calibri" w:hAnsi="Calibri"/>
      <w:kern w:val="2"/>
      <w:sz w:val="21"/>
      <w:szCs w:val="24"/>
    </w:rPr>
  </w:style>
  <w:style w:type="character" w:customStyle="1" w:styleId="36">
    <w:name w:val="批注主题 Char"/>
    <w:basedOn w:val="35"/>
    <w:link w:val="20"/>
    <w:qFormat/>
    <w:uiPriority w:val="0"/>
    <w:rPr>
      <w:rFonts w:ascii="Calibri" w:hAnsi="Calibri"/>
      <w:b/>
      <w:bCs/>
      <w:kern w:val="2"/>
      <w:sz w:val="21"/>
      <w:szCs w:val="24"/>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0">
    <w:name w:val="表格"/>
    <w:basedOn w:val="1"/>
    <w:link w:val="43"/>
    <w:qFormat/>
    <w:uiPriority w:val="0"/>
    <w:pPr>
      <w:spacing w:line="240" w:lineRule="auto"/>
      <w:ind w:firstLine="0" w:firstLineChars="0"/>
      <w:jc w:val="center"/>
    </w:pPr>
    <w:rPr>
      <w:rFonts w:hint="eastAsia" w:eastAsia="宋体" w:cs="仿宋_GB2312"/>
      <w:sz w:val="21"/>
      <w:szCs w:val="21"/>
    </w:rPr>
  </w:style>
  <w:style w:type="paragraph" w:customStyle="1" w:styleId="41">
    <w:name w:val="图片备注"/>
    <w:basedOn w:val="1"/>
    <w:link w:val="42"/>
    <w:qFormat/>
    <w:uiPriority w:val="0"/>
    <w:pPr>
      <w:adjustRightInd w:val="0"/>
      <w:snapToGrid w:val="0"/>
      <w:spacing w:line="360" w:lineRule="auto"/>
      <w:ind w:firstLine="0" w:firstLineChars="0"/>
      <w:jc w:val="center"/>
    </w:pPr>
    <w:rPr>
      <w:rFonts w:hint="eastAsia" w:ascii="黑体" w:hAnsi="黑体" w:eastAsia="黑体" w:cs="黑体"/>
      <w:sz w:val="28"/>
      <w:szCs w:val="28"/>
    </w:rPr>
  </w:style>
  <w:style w:type="character" w:customStyle="1" w:styleId="42">
    <w:name w:val="图片备注 Char"/>
    <w:link w:val="41"/>
    <w:qFormat/>
    <w:uiPriority w:val="0"/>
    <w:rPr>
      <w:rFonts w:hint="eastAsia" w:ascii="黑体" w:hAnsi="黑体" w:eastAsia="黑体" w:cs="黑体"/>
      <w:sz w:val="28"/>
      <w:szCs w:val="28"/>
    </w:rPr>
  </w:style>
  <w:style w:type="character" w:customStyle="1" w:styleId="43">
    <w:name w:val="表格 Char"/>
    <w:link w:val="40"/>
    <w:qFormat/>
    <w:uiPriority w:val="0"/>
    <w:rPr>
      <w:rFonts w:hint="eastAsia" w:eastAsia="宋体" w:cs="仿宋_GB231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53</Pages>
  <Words>1756</Words>
  <Characters>1878</Characters>
  <Lines>1</Lines>
  <Paragraphs>1</Paragraphs>
  <TotalTime>9</TotalTime>
  <ScaleCrop>false</ScaleCrop>
  <LinksUpToDate>false</LinksUpToDate>
  <CharactersWithSpaces>2002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2023-08-11T15:30:00Z</dcterms:created>
  <dc:creator>greatwall</dc:creator>
  <cp:lastModifiedBy>打字室女工</cp:lastModifiedBy>
  <cp:lastPrinted>2023-07-27T16:15:00Z</cp:lastPrinted>
  <dcterms:modified xsi:type="dcterms:W3CDTF">2025-12-12T07:14:30Z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3C647FF6202E467AB946EC36D1F8FE7E_13</vt:lpwstr>
  </property>
  <property fmtid="{D5CDD505-2E9C-101B-9397-08002B2CF9AE}" pid="4" name="KSOTemplateDocerSaveRecord">
    <vt:lpwstr>eyJoZGlkIjoiMTY1YjY4MGRhZmM1ZTM4ZjczNzBmZThlMWQ4NzU0M2EiLCJ1c2VySWQiOiI5NjM3OTQ4NzEifQ==</vt:lpwstr>
  </property>
</Properties>
</file>