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pacing w:val="-6"/>
          <w:sz w:val="44"/>
          <w:szCs w:val="44"/>
        </w:rPr>
        <w:t>梅州市梅县区2026年烟花爆竹经营</w:t>
      </w:r>
    </w:p>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_GBK" w:hAnsi="方正小标宋_GBK" w:eastAsia="方正小标宋_GBK" w:cs="方正小标宋_GBK"/>
          <w:spacing w:val="-6"/>
          <w:sz w:val="44"/>
          <w:szCs w:val="44"/>
        </w:rPr>
        <w:t>（零售）</w:t>
      </w:r>
      <w:r>
        <w:rPr>
          <w:rFonts w:hint="eastAsia" w:ascii="方正小标宋_GBK" w:hAnsi="方正小标宋_GBK" w:eastAsia="方正小标宋_GBK" w:cs="方正小标宋_GBK"/>
          <w:sz w:val="44"/>
          <w:szCs w:val="44"/>
        </w:rPr>
        <w:t>布点规划方案</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（征求意见</w:t>
      </w:r>
      <w:r>
        <w:rPr>
          <w:rFonts w:hint="eastAsia" w:ascii="方正仿宋_GBK" w:hAnsi="方正仿宋_GBK" w:eastAsia="方正仿宋_GBK" w:cs="方正仿宋_GBK"/>
          <w:sz w:val="32"/>
          <w:szCs w:val="32"/>
          <w:lang w:eastAsia="zh-CN"/>
        </w:rPr>
        <w:t>稿</w:t>
      </w:r>
      <w:r>
        <w:rPr>
          <w:rFonts w:hint="eastAsia" w:ascii="方正仿宋_GBK" w:hAnsi="方正仿宋_GBK" w:eastAsia="方正仿宋_GBK" w:cs="方正仿宋_GBK"/>
          <w:sz w:val="32"/>
          <w:szCs w:val="32"/>
        </w:rPr>
        <w:t>）</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为做</w:t>
      </w:r>
      <w:r>
        <w:rPr>
          <w:rFonts w:hint="eastAsia" w:ascii="方正仿宋_GBK" w:hAnsi="方正仿宋_GBK" w:eastAsia="方正仿宋_GBK" w:cs="方正仿宋_GBK"/>
          <w:sz w:val="32"/>
          <w:szCs w:val="32"/>
          <w:lang w:eastAsia="zh-CN"/>
        </w:rPr>
        <w:t>好</w:t>
      </w:r>
      <w:r>
        <w:rPr>
          <w:rFonts w:hint="eastAsia" w:ascii="方正仿宋_GBK" w:hAnsi="方正仿宋_GBK" w:eastAsia="方正仿宋_GBK" w:cs="方正仿宋_GBK"/>
          <w:sz w:val="32"/>
          <w:szCs w:val="32"/>
        </w:rPr>
        <w:t>全区烟花爆竹经营（零售）许可证办理工作，规范市场经营秩序，严防烟花爆竹事故发生，保障公共安全和人民群众生命财产安全，维护社会稳定，根据《烟花爆竹安全管理条例》（国务院令第455号）《烟花爆竹生产经营安全规定》（国家安全生产监督管理总局令第93号）《烟花爆竹经营许可实施办法》（国家安监总局令第65号）《广东省安全生产监督管理局关于烟花爆竹经营许可的实施细则》（原粤安监〔2014〕44号）等有关法律法规要求，结合我区实际，制定本方案。</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一、布点规划原则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贯彻“保障安全、统一规划、合理布局、总量控制、适度竞争”原则，综合考虑所辖行政村数量、人口规模、经济发展水平和城镇化建设格局，合理确定烟花爆竹零售经营布点规划，坚决纠正“下店上宅、前店后宅”和安全间距不足等问题，建设科学合理、规范合法、公平公正、安全便民的烟花爆竹经营秩序。</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二、规划期限及布点数量</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全区规划97家烟花爆竹零售店，布设在17个镇（扶大、新城在禁放区内，不作布点规划；各乡镇规划具体情况见附表）。许可经营范围：</w:t>
      </w:r>
      <w:r>
        <w:rPr>
          <w:rFonts w:hint="eastAsia" w:ascii="方正仿宋_GBK" w:hAnsi="方正仿宋_GBK" w:eastAsia="方正仿宋_GBK" w:cs="方正仿宋_GBK"/>
          <w:sz w:val="32"/>
          <w:szCs w:val="32"/>
          <w:lang w:eastAsia="zh-CN"/>
        </w:rPr>
        <w:t>烟花爆竹（个人燃放类）：</w:t>
      </w:r>
      <w:r>
        <w:rPr>
          <w:rFonts w:hint="eastAsia" w:ascii="方正仿宋_GBK" w:hAnsi="方正仿宋_GBK" w:eastAsia="方正仿宋_GBK" w:cs="方正仿宋_GBK"/>
          <w:sz w:val="32"/>
          <w:szCs w:val="32"/>
          <w:lang w:val="en-US" w:eastAsia="zh-CN"/>
        </w:rPr>
        <w:t>C、D级</w:t>
      </w:r>
      <w:r>
        <w:rPr>
          <w:rFonts w:hint="eastAsia" w:ascii="方正仿宋_GBK" w:hAnsi="方正仿宋_GBK" w:eastAsia="方正仿宋_GBK" w:cs="方正仿宋_GBK"/>
          <w:color w:val="auto"/>
          <w:sz w:val="32"/>
          <w:szCs w:val="32"/>
          <w:lang w:val="en-US" w:eastAsia="zh-CN"/>
        </w:rPr>
        <w:t>（产品种类：</w:t>
      </w:r>
      <w:r>
        <w:rPr>
          <w:rFonts w:hint="eastAsia" w:ascii="方正仿宋_GBK" w:hAnsi="方正仿宋_GBK" w:eastAsia="方正仿宋_GBK" w:cs="方正仿宋_GBK"/>
          <w:color w:val="auto"/>
          <w:sz w:val="32"/>
          <w:szCs w:val="32"/>
        </w:rPr>
        <w:t>爆竹类、喷花类、旋转类、升空类、吐珠类、玩具类、组合烟花类</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三、规划布点条件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）具备零售经营许可证颁发规定的安全生产条件；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）相邻零售点之间的距离不小于50米；</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）在烟花爆竹禁放区范围外布设烟花爆竹零售点（禁放区范围详见《梅州市人民政府关于扩大梅州城区禁止燃放烟花爆竹区域的通告》（梅市府〔2019〕28号））；</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）烟花爆竹零售点不得与居民居住场所设置在同一建筑物内，并应与学校、幼儿园、医院、集贸市场等人员密集场所和加油站等易燃易爆物品生产、储存设施等重点建筑物保持100米以上的安全距离；</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）严禁在城乡结合部或集贸市场布设连片集中形式的烟花爆竹零售经营场所；</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strike/>
          <w:dstrike w:val="0"/>
        </w:rPr>
      </w:pP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零售场所的面积不应小于10平方米，不应大于200平方米；</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七</w:t>
      </w:r>
      <w:r>
        <w:rPr>
          <w:rFonts w:hint="eastAsia" w:ascii="方正仿宋_GBK" w:hAnsi="方正仿宋_GBK" w:eastAsia="方正仿宋_GBK" w:cs="方正仿宋_GBK"/>
          <w:sz w:val="32"/>
          <w:szCs w:val="32"/>
        </w:rPr>
        <w:t>）其他未列明条件应符合《烟花爆竹零售店（点）安全技术规定》（AQ4128-2019）要求。</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eastAsia="方正仿宋_GBK"/>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八</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符合</w:t>
      </w:r>
      <w:r>
        <w:rPr>
          <w:rFonts w:hint="eastAsia" w:ascii="方正仿宋_GBK" w:hAnsi="方正仿宋_GBK" w:eastAsia="方正仿宋_GBK" w:cs="方正仿宋_GBK"/>
          <w:sz w:val="32"/>
          <w:szCs w:val="32"/>
        </w:rPr>
        <w:t>法律、法规规定的其他条件。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方正黑体_GBK" w:hAnsi="方正黑体_GBK" w:eastAsia="方正黑体_GBK" w:cs="方正黑体_GBK"/>
          <w:color w:val="000000"/>
          <w:kern w:val="0"/>
          <w:sz w:val="32"/>
          <w:szCs w:val="32"/>
          <w:shd w:val="clear" w:color="auto" w:fill="FFFFFF"/>
          <w:lang w:bidi="ar"/>
        </w:rPr>
      </w:pPr>
      <w:r>
        <w:rPr>
          <w:rFonts w:hint="eastAsia" w:ascii="方正黑体_GBK" w:hAnsi="方正黑体_GBK" w:eastAsia="方正黑体_GBK" w:cs="方正黑体_GBK"/>
          <w:sz w:val="32"/>
          <w:szCs w:val="32"/>
        </w:rPr>
        <w:t>四、工作要求</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（一）强化安全监管。</w:t>
      </w:r>
      <w:r>
        <w:rPr>
          <w:rFonts w:hint="eastAsia" w:ascii="方正仿宋_GBK" w:hAnsi="方正仿宋_GBK" w:eastAsia="方正仿宋_GBK" w:cs="方正仿宋_GBK"/>
          <w:sz w:val="32"/>
          <w:szCs w:val="32"/>
        </w:rPr>
        <w:t>应急管理、市场监管、交通运输、公安、生态环境等单位要压实烟花爆竹经营、运输、仓储、燃放各环节安全管理,各职能部门加强线上线下巡查执法，重点查处超范围经营、超量储存、销售超标违禁产品、虚假商标、未标注厂家名称和地址、产品包装没有生产日期等问题。</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（二）强化“打非治违”。</w:t>
      </w:r>
      <w:r>
        <w:rPr>
          <w:rFonts w:hint="eastAsia" w:ascii="方正仿宋_GBK" w:hAnsi="方正仿宋_GBK" w:eastAsia="方正仿宋_GBK" w:cs="方正仿宋_GBK"/>
          <w:sz w:val="32"/>
          <w:szCs w:val="32"/>
        </w:rPr>
        <w:t>各镇人民政府、区直相关单位要将烟花爆竹“打非治违”纳入网格化管理任务，形成上下贯通、纵横到位的“打非治违”工作机制。根据《梅州市安全生产委员会关于印发梅州市烟花爆竹领域安全专项整治行动工作方案的通知》要求，公安部门负责组织查处构成违反治安管理的违法运输、邮寄、燃放和非法生产、经营、储存烟花爆竹的行为，组织销毁处置废旧烟花爆竹和罚没的非法烟花爆竹。要保持烟花爆竹“打非”高压态势，坚决查处在许可区域外储存以及零售单位接受生产企业直接送货等违法违规行为，对于流向标识不齐且无法提供合法进货台账等产品坚决依法处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（三）强化宣传引导。</w:t>
      </w:r>
      <w:r>
        <w:rPr>
          <w:rFonts w:hint="eastAsia" w:ascii="方正仿宋_GBK" w:hAnsi="方正仿宋_GBK" w:eastAsia="方正仿宋_GBK" w:cs="方正仿宋_GBK"/>
          <w:sz w:val="32"/>
          <w:szCs w:val="32"/>
        </w:rPr>
        <w:t>区应急管理局、各镇人民政府要积极向社会宣传，让拟申请单位熟知烟花爆竹经营（零售）布点规划原则和规划条件。区有关单位和各镇村要广泛宣传烟花爆竹安全知识以及非法生产、经营、储存、运输、燃放烟花爆竹造成的严重危害，积极引导群众到烟花爆竹经营网点购买正规厂家生产的合格产品，要加强重点人群教育，针对未成年人和农村地区等易发风险群体，强化学校教育、监护人责任，禁止儿童独自燃放烟花爆竹，特别是不能在山边等易燃区域燃放。加大典型案例的警示教育，切实提高群众的知晓度和理解度，切实减少因燃放烟花爆竹造成山火的发生，确保人民群众生命财产安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ascii="Times New Roman" w:hAnsi="Times New Roman" w:eastAsia="方正仿宋_GBK" w:cs="Times New Roman"/>
          <w:color w:val="EE0000"/>
          <w:sz w:val="32"/>
          <w:szCs w:val="32"/>
        </w:rPr>
      </w:pPr>
      <w:r>
        <w:rPr>
          <w:rFonts w:hint="eastAsia" w:ascii="方正楷体_GBK" w:hAnsi="方正楷体_GBK" w:eastAsia="方正楷体_GBK" w:cs="方正楷体_GBK"/>
          <w:sz w:val="32"/>
          <w:szCs w:val="32"/>
        </w:rPr>
        <w:t>（四）强化培训审批。</w:t>
      </w:r>
      <w:r>
        <w:rPr>
          <w:rFonts w:ascii="Times New Roman" w:hAnsi="Times New Roman" w:eastAsia="方正仿宋_GBK" w:cs="Times New Roman"/>
          <w:sz w:val="32"/>
          <w:szCs w:val="32"/>
        </w:rPr>
        <w:t>区应急管理局要切实加强源头把关，加强安全条件审查。</w:t>
      </w:r>
      <w:r>
        <w:rPr>
          <w:rFonts w:ascii="Times New Roman" w:hAnsi="Times New Roman" w:eastAsia="方正仿宋_GBK" w:cs="Times New Roman"/>
          <w:color w:val="auto"/>
          <w:sz w:val="32"/>
          <w:szCs w:val="32"/>
        </w:rPr>
        <w:t>各镇人民政府要配合应急部门严格落实《烟花爆竹零售店安全技术规范</w:t>
      </w:r>
      <w:r>
        <w:rPr>
          <w:rFonts w:hint="eastAsia" w:ascii="方正仿宋_GBK" w:hAnsi="方正仿宋_GBK" w:eastAsia="方正仿宋_GBK" w:cs="方正仿宋_GBK"/>
          <w:color w:val="auto"/>
          <w:sz w:val="32"/>
          <w:szCs w:val="32"/>
        </w:rPr>
        <w:t>（AQ4128-2019）》</w:t>
      </w:r>
      <w:r>
        <w:rPr>
          <w:rFonts w:ascii="Times New Roman" w:hAnsi="Times New Roman" w:eastAsia="方正仿宋_GBK" w:cs="Times New Roman"/>
          <w:color w:val="auto"/>
          <w:sz w:val="32"/>
          <w:szCs w:val="32"/>
        </w:rPr>
        <w:t>要求，强化烟花爆竹经营点现场核查力度，逐一过关</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要杜绝“下店上宅</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前店后宅”和安全距离不足</w:t>
      </w:r>
      <w:r>
        <w:rPr>
          <w:rFonts w:ascii="Times New Roman" w:hAnsi="Times New Roman" w:eastAsia="方正仿宋_GBK" w:cs="Times New Roman"/>
          <w:sz w:val="32"/>
          <w:szCs w:val="32"/>
        </w:rPr>
        <w:t>等问题，坚决封闭通道。要加强对零售店经营者的教育培训，对符合条件的零售店主要负责人和安全管理员进行安全培训，做到真培训</w:t>
      </w:r>
      <w:r>
        <w:rPr>
          <w:rFonts w:ascii="Times New Roman" w:hAnsi="Times New Roman" w:eastAsia="方正仿宋_GBK" w:cs="Times New Roman"/>
          <w:color w:val="000000" w:themeColor="text1"/>
          <w:sz w:val="32"/>
          <w:szCs w:val="32"/>
          <w14:textFill>
            <w14:solidFill>
              <w14:schemeClr w14:val="tx1"/>
            </w14:solidFill>
          </w14:textFill>
        </w:rPr>
        <w:t>真考试</w:t>
      </w:r>
      <w:r>
        <w:rPr>
          <w:rFonts w:hint="eastAsia"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（五）强化执法检查。</w:t>
      </w:r>
      <w:r>
        <w:rPr>
          <w:rFonts w:ascii="Times New Roman" w:hAnsi="Times New Roman" w:eastAsia="方正仿宋_GBK" w:cs="Times New Roman"/>
          <w:sz w:val="32"/>
          <w:szCs w:val="32"/>
        </w:rPr>
        <w:t>区应急管理局要加强对烟花爆竹经营单位执法检查，在检查中发现的各类违法违规行为，要依法依规从严从快从重查处。严格落实属地监管责任，压实镇街、村居责任，持续加强对烟花爆竹经营单位的监督检查。烟花爆竹销售旺季期间，区应急管理局要统筹组织力量，对辖区烟花爆竹批发仓库和经营点，不间断开展巡查检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务必做到镇（街道）一级巡查烟花爆竹零售点全覆盖，全力管控和化解安全风险、治理隐患，严防安全事故发生。对无证经营、一证多点、违法储存、超量储存、随意变更经营场所、销售旺季乱摆摊设点以及禁燃区从事烟花爆竹经营活动等违法违规行为，要一律依法查处；同时要督促零售店要与批发企业签订配送协议，确保安全配送、有序配送。对于构成犯罪的，依法移交公安机关侦办，力求形成强大震慑力。</w:t>
      </w:r>
    </w:p>
    <w:p>
      <w:pPr>
        <w:keepNext w:val="0"/>
        <w:keepLines w:val="0"/>
        <w:pageBreakBefore w:val="0"/>
        <w:widowControl w:val="0"/>
        <w:kinsoku/>
        <w:wordWrap/>
        <w:overflowPunct/>
        <w:topLinePunct w:val="0"/>
        <w:autoSpaceDE/>
        <w:autoSpaceDN/>
        <w:bidi w:val="0"/>
        <w:adjustRightInd/>
        <w:snapToGrid/>
        <w:spacing w:after="0" w:line="560" w:lineRule="exact"/>
        <w:ind w:left="1598" w:leftChars="304" w:hanging="960" w:hangingChars="3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ascii="Times New Roman" w:hAnsi="Times New Roman" w:eastAsia="方正仿宋_GBK" w:cs="Times New Roman"/>
          <w:sz w:val="32"/>
          <w:szCs w:val="32"/>
        </w:rPr>
      </w:pPr>
      <w:r>
        <w:rPr>
          <w:rFonts w:hint="eastAsia" w:ascii="方正仿宋_GBK" w:hAnsi="方正仿宋_GBK" w:eastAsia="方正仿宋_GBK" w:cs="方正仿宋_GBK"/>
          <w:sz w:val="32"/>
          <w:szCs w:val="32"/>
        </w:rPr>
        <w:t>附表：梅县区2026年度烟花爆竹经营（零售）布点规划表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宋体" w:hAnsi="宋体" w:eastAsia="宋体" w:cs="宋体"/>
          <w:sz w:val="30"/>
          <w:szCs w:val="30"/>
        </w:rPr>
      </w:pPr>
      <w:r>
        <w:rPr>
          <w:rFonts w:hint="eastAsia" w:ascii="宋体" w:hAnsi="宋体" w:eastAsia="宋体" w:cs="宋体"/>
          <w:sz w:val="30"/>
          <w:szCs w:val="30"/>
        </w:rPr>
        <w:br w:type="page"/>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560" w:lineRule="exact"/>
        <w:ind w:left="0" w:leftChars="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梅县区2026年度烟花爆竹经营（零售）布点规划表</w:t>
      </w:r>
    </w:p>
    <w:tbl>
      <w:tblPr>
        <w:tblStyle w:val="18"/>
        <w:tblW w:w="81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235"/>
        <w:gridCol w:w="1701"/>
        <w:gridCol w:w="2953"/>
      </w:tblGrid>
      <w:tr>
        <w:tblPrEx>
          <w:tblLayout w:type="fixed"/>
          <w:tblCellMar>
            <w:top w:w="0" w:type="dxa"/>
            <w:left w:w="108" w:type="dxa"/>
            <w:bottom w:w="0" w:type="dxa"/>
            <w:right w:w="108" w:type="dxa"/>
          </w:tblCellMar>
        </w:tblPrEx>
        <w:trPr>
          <w:trHeight w:val="998"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序号</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镇  别</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规划数</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程江镇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禁放区外布设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2</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丙村镇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3</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雁洋镇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4</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松源镇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5</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松口镇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10</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6</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畲江镇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rPr>
              <w:t>1</w:t>
            </w:r>
            <w:r>
              <w:rPr>
                <w:rFonts w:hint="eastAsia" w:ascii="仿宋" w:hAnsi="仿宋" w:eastAsia="仿宋" w:cs="仿宋"/>
                <w:kern w:val="0"/>
                <w:sz w:val="30"/>
                <w:szCs w:val="30"/>
                <w:lang w:val="en-US" w:eastAsia="zh-CN"/>
              </w:rPr>
              <w:t>1</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7</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南口镇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21</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8</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梅西镇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8</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9</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城东镇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4</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10</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石扇镇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4</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11</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白渡镇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4</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12</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隆文镇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4</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13</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水车镇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7</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14</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大坪镇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6</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15</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梅南镇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16</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石坑镇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17</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桃尧镇</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18</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扶大</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0</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jc w:val="center"/>
        </w:trPr>
        <w:tc>
          <w:tcPr>
            <w:tcW w:w="128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19</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新城</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0</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exact"/>
          <w:jc w:val="center"/>
        </w:trPr>
        <w:tc>
          <w:tcPr>
            <w:tcW w:w="3523" w:type="dxa"/>
            <w:gridSpan w:val="2"/>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合  计</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b/>
                <w:bCs/>
                <w:kern w:val="0"/>
                <w:sz w:val="32"/>
                <w:szCs w:val="32"/>
              </w:rPr>
            </w:pPr>
            <w:r>
              <w:rPr>
                <w:rFonts w:hint="eastAsia" w:ascii="仿宋" w:hAnsi="仿宋" w:eastAsia="仿宋" w:cs="仿宋"/>
                <w:b/>
                <w:bCs/>
                <w:sz w:val="32"/>
                <w:szCs w:val="32"/>
              </w:rPr>
              <w:t>97</w:t>
            </w:r>
          </w:p>
        </w:tc>
        <w:tc>
          <w:tcPr>
            <w:tcW w:w="2953"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仿宋" w:hAnsi="仿宋" w:eastAsia="仿宋" w:cs="仿宋"/>
                <w:b/>
                <w:bCs/>
                <w:kern w:val="0"/>
                <w:sz w:val="32"/>
                <w:szCs w:val="32"/>
              </w:rPr>
            </w:pPr>
          </w:p>
        </w:tc>
      </w:tr>
    </w:tbl>
    <w:p>
      <w:pPr>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rPr>
      </w:pPr>
      <w:r>
        <w:rPr>
          <w:rFonts w:hint="eastAsia" w:ascii="仿宋" w:hAnsi="仿宋" w:eastAsia="仿宋" w:cs="仿宋"/>
          <w:sz w:val="32"/>
          <w:szCs w:val="32"/>
        </w:rPr>
        <w:t>说明：扶大、新城在禁放区内，不作布点规划。</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DE"/>
    <w:rsid w:val="00006EDE"/>
    <w:rsid w:val="00031661"/>
    <w:rsid w:val="00071772"/>
    <w:rsid w:val="00072024"/>
    <w:rsid w:val="00076218"/>
    <w:rsid w:val="00092651"/>
    <w:rsid w:val="000C56EF"/>
    <w:rsid w:val="0011199A"/>
    <w:rsid w:val="00120D02"/>
    <w:rsid w:val="001A3F3D"/>
    <w:rsid w:val="001E44F4"/>
    <w:rsid w:val="00273312"/>
    <w:rsid w:val="00283770"/>
    <w:rsid w:val="002B2F9E"/>
    <w:rsid w:val="00347218"/>
    <w:rsid w:val="003D3CD3"/>
    <w:rsid w:val="00417934"/>
    <w:rsid w:val="00426E15"/>
    <w:rsid w:val="00506DD9"/>
    <w:rsid w:val="0051474F"/>
    <w:rsid w:val="005335E3"/>
    <w:rsid w:val="005925F4"/>
    <w:rsid w:val="005F1378"/>
    <w:rsid w:val="006278D8"/>
    <w:rsid w:val="006853CF"/>
    <w:rsid w:val="006B180A"/>
    <w:rsid w:val="006B6B64"/>
    <w:rsid w:val="006C3944"/>
    <w:rsid w:val="006F1E01"/>
    <w:rsid w:val="00715D81"/>
    <w:rsid w:val="0073168E"/>
    <w:rsid w:val="00755B3B"/>
    <w:rsid w:val="00764323"/>
    <w:rsid w:val="0076694F"/>
    <w:rsid w:val="0083497B"/>
    <w:rsid w:val="008A595F"/>
    <w:rsid w:val="008C10E1"/>
    <w:rsid w:val="008E15BB"/>
    <w:rsid w:val="008F5F83"/>
    <w:rsid w:val="00933287"/>
    <w:rsid w:val="00A11ADA"/>
    <w:rsid w:val="00A323DB"/>
    <w:rsid w:val="00A42A25"/>
    <w:rsid w:val="00A47E86"/>
    <w:rsid w:val="00A86BC8"/>
    <w:rsid w:val="00B0073D"/>
    <w:rsid w:val="00D416D8"/>
    <w:rsid w:val="00D96A73"/>
    <w:rsid w:val="00DA5CC3"/>
    <w:rsid w:val="00E13E8B"/>
    <w:rsid w:val="00E16EE4"/>
    <w:rsid w:val="00F02D6B"/>
    <w:rsid w:val="00F05243"/>
    <w:rsid w:val="00F749E3"/>
    <w:rsid w:val="00FF26C0"/>
    <w:rsid w:val="00FF397B"/>
    <w:rsid w:val="0A7FC3A2"/>
    <w:rsid w:val="19EF0697"/>
    <w:rsid w:val="1BFD7836"/>
    <w:rsid w:val="1DC67916"/>
    <w:rsid w:val="1EF44502"/>
    <w:rsid w:val="2CDF3F94"/>
    <w:rsid w:val="2ED1D747"/>
    <w:rsid w:val="31CD778A"/>
    <w:rsid w:val="37F72D83"/>
    <w:rsid w:val="37FF2EC0"/>
    <w:rsid w:val="38815AD1"/>
    <w:rsid w:val="3ABD3286"/>
    <w:rsid w:val="3F7D5A96"/>
    <w:rsid w:val="46DB72E0"/>
    <w:rsid w:val="4CF3D61C"/>
    <w:rsid w:val="4FBDB27A"/>
    <w:rsid w:val="55FE18E6"/>
    <w:rsid w:val="5B6F4480"/>
    <w:rsid w:val="5BEE4184"/>
    <w:rsid w:val="5CFD792F"/>
    <w:rsid w:val="5DFFA2B3"/>
    <w:rsid w:val="5EADCCA6"/>
    <w:rsid w:val="5F7B8A39"/>
    <w:rsid w:val="61DD0F38"/>
    <w:rsid w:val="67F6CFB0"/>
    <w:rsid w:val="6A7DB646"/>
    <w:rsid w:val="6BF95790"/>
    <w:rsid w:val="6CDE0D4F"/>
    <w:rsid w:val="6EFF63AB"/>
    <w:rsid w:val="6FF8B6C5"/>
    <w:rsid w:val="6FFFFFA4"/>
    <w:rsid w:val="73FDBFA9"/>
    <w:rsid w:val="75BC0B56"/>
    <w:rsid w:val="75F55EC7"/>
    <w:rsid w:val="77799685"/>
    <w:rsid w:val="77DDDD4D"/>
    <w:rsid w:val="77E7E3CE"/>
    <w:rsid w:val="77FAFCBE"/>
    <w:rsid w:val="78BDFABA"/>
    <w:rsid w:val="7B296AD9"/>
    <w:rsid w:val="7BADEBD5"/>
    <w:rsid w:val="7BB11FE7"/>
    <w:rsid w:val="7BDB58DC"/>
    <w:rsid w:val="7BF7CAC5"/>
    <w:rsid w:val="7BFFE6F9"/>
    <w:rsid w:val="7F5F500E"/>
    <w:rsid w:val="7F977E63"/>
    <w:rsid w:val="7FDD5404"/>
    <w:rsid w:val="7FF27CE1"/>
    <w:rsid w:val="7FF7340F"/>
    <w:rsid w:val="7FFEE3F4"/>
    <w:rsid w:val="7FFF3BD5"/>
    <w:rsid w:val="7FFFADB9"/>
    <w:rsid w:val="9FF9A2E7"/>
    <w:rsid w:val="A5FF9889"/>
    <w:rsid w:val="ABBD59E4"/>
    <w:rsid w:val="AD773AA9"/>
    <w:rsid w:val="ADC8593A"/>
    <w:rsid w:val="AFFBD88A"/>
    <w:rsid w:val="B7FB4AD0"/>
    <w:rsid w:val="BCFFDF2C"/>
    <w:rsid w:val="BF2F53B1"/>
    <w:rsid w:val="BF7E5D2E"/>
    <w:rsid w:val="BFBEA85B"/>
    <w:rsid w:val="BFEFD465"/>
    <w:rsid w:val="CF2B515E"/>
    <w:rsid w:val="CFECA0F4"/>
    <w:rsid w:val="D77B9428"/>
    <w:rsid w:val="D77E5684"/>
    <w:rsid w:val="D9BB61B6"/>
    <w:rsid w:val="DBAB9E5A"/>
    <w:rsid w:val="DBFF9BFB"/>
    <w:rsid w:val="DDFF7284"/>
    <w:rsid w:val="E789510D"/>
    <w:rsid w:val="EA1B4C1D"/>
    <w:rsid w:val="EB773AAA"/>
    <w:rsid w:val="EC1F4B22"/>
    <w:rsid w:val="EF6E3449"/>
    <w:rsid w:val="EFBFCB6B"/>
    <w:rsid w:val="F3F7B1C9"/>
    <w:rsid w:val="F5CCB5E2"/>
    <w:rsid w:val="F62F3466"/>
    <w:rsid w:val="F75FBACC"/>
    <w:rsid w:val="F7BFC7B2"/>
    <w:rsid w:val="F7F559C8"/>
    <w:rsid w:val="F8BD3BC0"/>
    <w:rsid w:val="F9CF27A3"/>
    <w:rsid w:val="FA86249A"/>
    <w:rsid w:val="FAEF4027"/>
    <w:rsid w:val="FAFF68DA"/>
    <w:rsid w:val="FB6D4BAF"/>
    <w:rsid w:val="FBDD40FB"/>
    <w:rsid w:val="FC6F10CE"/>
    <w:rsid w:val="FD2B40B0"/>
    <w:rsid w:val="FE1FA369"/>
    <w:rsid w:val="FF7D5BC9"/>
    <w:rsid w:val="FFCFDAC7"/>
    <w:rsid w:val="FFF3D170"/>
    <w:rsid w:val="FFFD2237"/>
    <w:rsid w:val="FFFD22D1"/>
    <w:rsid w:val="FFFEC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12">
    <w:name w:val="footer"/>
    <w:basedOn w:val="1"/>
    <w:link w:val="37"/>
    <w:qFormat/>
    <w:uiPriority w:val="0"/>
    <w:pPr>
      <w:tabs>
        <w:tab w:val="center" w:pos="4153"/>
        <w:tab w:val="right" w:pos="8306"/>
      </w:tabs>
      <w:snapToGrid w:val="0"/>
      <w:jc w:val="left"/>
    </w:pPr>
    <w:rPr>
      <w:sz w:val="18"/>
    </w:rPr>
  </w:style>
  <w:style w:type="paragraph" w:styleId="13">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标题 1 字符"/>
    <w:basedOn w:val="16"/>
    <w:link w:val="3"/>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6"/>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6"/>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6"/>
    <w:link w:val="6"/>
    <w:semiHidden/>
    <w:qFormat/>
    <w:uiPriority w:val="9"/>
    <w:rPr>
      <w:rFonts w:cstheme="majorBidi"/>
      <w:color w:val="104862" w:themeColor="accent1" w:themeShade="BF"/>
      <w:sz w:val="28"/>
      <w:szCs w:val="28"/>
    </w:rPr>
  </w:style>
  <w:style w:type="character" w:customStyle="1" w:styleId="23">
    <w:name w:val="标题 5 字符"/>
    <w:basedOn w:val="16"/>
    <w:link w:val="7"/>
    <w:semiHidden/>
    <w:qFormat/>
    <w:uiPriority w:val="9"/>
    <w:rPr>
      <w:rFonts w:cstheme="majorBidi"/>
      <w:color w:val="104862" w:themeColor="accent1" w:themeShade="BF"/>
      <w:sz w:val="24"/>
      <w:szCs w:val="24"/>
    </w:rPr>
  </w:style>
  <w:style w:type="character" w:customStyle="1" w:styleId="24">
    <w:name w:val="标题 6 字符"/>
    <w:basedOn w:val="16"/>
    <w:link w:val="8"/>
    <w:semiHidden/>
    <w:qFormat/>
    <w:uiPriority w:val="9"/>
    <w:rPr>
      <w:rFonts w:cstheme="majorBidi"/>
      <w:b/>
      <w:bCs/>
      <w:color w:val="104862" w:themeColor="accent1" w:themeShade="BF"/>
    </w:rPr>
  </w:style>
  <w:style w:type="character" w:customStyle="1" w:styleId="25">
    <w:name w:val="标题 7 字符"/>
    <w:basedOn w:val="16"/>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6"/>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6"/>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6"/>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6"/>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6"/>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6"/>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6"/>
    <w:link w:val="34"/>
    <w:qFormat/>
    <w:uiPriority w:val="30"/>
    <w:rPr>
      <w:i/>
      <w:iCs/>
      <w:color w:val="104862" w:themeColor="accent1" w:themeShade="BF"/>
    </w:rPr>
  </w:style>
  <w:style w:type="character" w:customStyle="1" w:styleId="36">
    <w:name w:val="明显参考1"/>
    <w:basedOn w:val="16"/>
    <w:qFormat/>
    <w:uiPriority w:val="32"/>
    <w:rPr>
      <w:b/>
      <w:bCs/>
      <w:smallCaps/>
      <w:color w:val="104862" w:themeColor="accent1" w:themeShade="BF"/>
      <w:spacing w:val="5"/>
    </w:rPr>
  </w:style>
  <w:style w:type="character" w:customStyle="1" w:styleId="37">
    <w:name w:val="页脚 字符"/>
    <w:basedOn w:val="16"/>
    <w:link w:val="12"/>
    <w:qFormat/>
    <w:uiPriority w:val="0"/>
    <w:rPr>
      <w:sz w:val="18"/>
    </w:rPr>
  </w:style>
  <w:style w:type="character" w:customStyle="1" w:styleId="38">
    <w:name w:val="页眉 字符"/>
    <w:basedOn w:val="16"/>
    <w:link w:val="1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1497</Words>
  <Characters>1543</Characters>
  <Lines>128</Lines>
  <Paragraphs>116</Paragraphs>
  <TotalTime>6</TotalTime>
  <ScaleCrop>false</ScaleCrop>
  <LinksUpToDate>false</LinksUpToDate>
  <CharactersWithSpaces>2924</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2025-09-02T07:56:00Z</dcterms:created>
  <dc:creator>PJ Li</dc:creator>
  <cp:lastModifiedBy>何小波</cp:lastModifiedBy>
  <cp:lastPrinted>2025-09-23T00:58:00Z</cp:lastPrinted>
  <dcterms:modified xsi:type="dcterms:W3CDTF">2025-10-31T08:14:44Z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ies>
</file>