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pacing w:line="560" w:lineRule="exact"/>
        <w:jc w:val="center"/>
        <w:rPr>
          <w:rFonts w:hint="default" w:ascii="Times New Roman" w:hAnsi="Times New Roman" w:eastAsia="方正小标宋简体" w:cs="Times New Roman"/>
          <w:sz w:val="44"/>
          <w:szCs w:val="44"/>
          <w:lang w:eastAsia="zh-CN"/>
        </w:rPr>
      </w:pPr>
      <w:r>
        <w:rPr>
          <w:rFonts w:hint="default" w:ascii="Times New Roman" w:hAnsi="Times New Roman" w:eastAsia="方正小标宋简体" w:cs="Times New Roman"/>
          <w:sz w:val="44"/>
          <w:szCs w:val="44"/>
          <w:lang w:val="en-US" w:eastAsia="zh-CN"/>
        </w:rPr>
        <w:t>2025年</w:t>
      </w:r>
      <w:r>
        <w:rPr>
          <w:rFonts w:hint="default" w:ascii="Times New Roman" w:hAnsi="Times New Roman" w:eastAsia="方正小标宋简体" w:cs="Times New Roman"/>
          <w:sz w:val="44"/>
          <w:szCs w:val="44"/>
          <w:lang w:eastAsia="zh-CN"/>
        </w:rPr>
        <w:t>梅县区水产健康养殖和生态养殖示范区</w:t>
      </w:r>
    </w:p>
    <w:p>
      <w:pPr>
        <w:widowControl w:val="0"/>
        <w:spacing w:line="560" w:lineRule="exact"/>
        <w:jc w:val="center"/>
        <w:rPr>
          <w:rFonts w:hint="default" w:ascii="Times New Roman" w:hAnsi="Times New Roman" w:eastAsia="方正小标宋简体" w:cs="Times New Roman"/>
          <w:sz w:val="44"/>
          <w:szCs w:val="44"/>
          <w:lang w:eastAsia="zh-CN"/>
        </w:rPr>
      </w:pPr>
      <w:r>
        <w:rPr>
          <w:rFonts w:hint="default" w:ascii="Times New Roman" w:hAnsi="Times New Roman" w:eastAsia="方正小标宋简体" w:cs="Times New Roman"/>
          <w:sz w:val="44"/>
          <w:szCs w:val="44"/>
          <w:lang w:eastAsia="zh-CN"/>
        </w:rPr>
        <w:t>示范创建工程项目申报指南</w:t>
      </w:r>
    </w:p>
    <w:p>
      <w:pPr>
        <w:widowControl w:val="0"/>
        <w:spacing w:line="560" w:lineRule="exact"/>
        <w:rPr>
          <w:rFonts w:hint="default" w:ascii="Times New Roman" w:hAnsi="Times New Roman" w:cs="Times New Roman"/>
          <w:lang w:eastAsia="zh-CN"/>
        </w:rPr>
      </w:pPr>
    </w:p>
    <w:p>
      <w:pPr>
        <w:widowControl w:val="0"/>
        <w:kinsoku/>
        <w:spacing w:line="560" w:lineRule="exact"/>
        <w:ind w:firstLine="640" w:firstLineChars="200"/>
        <w:jc w:val="both"/>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为全力打造水产健康养殖和生态养殖示范区，补齐我区渔业基础设施短板，全面增强以企业为主体的创新体系，加快现代渔业产业结构转型升级，着力构建梅县区现代渔业生产体系、经营体系和产业体系，推进梅县区渔业绿色高质量发展。根据《梅县区水产健康养殖和生态养殖示范区示范创建工程项目实施方案》，为</w:t>
      </w:r>
      <w:r>
        <w:rPr>
          <w:rFonts w:hint="default" w:ascii="Times New Roman" w:hAnsi="Times New Roman" w:eastAsia="仿宋_GB2312" w:cs="Times New Roman"/>
          <w:sz w:val="32"/>
          <w:szCs w:val="32"/>
          <w:lang w:eastAsia="zh-CN"/>
        </w:rPr>
        <w:t>做好</w:t>
      </w:r>
      <w:r>
        <w:rPr>
          <w:rFonts w:hint="default" w:ascii="Times New Roman" w:hAnsi="Times New Roman" w:eastAsia="仿宋_GB2312" w:cs="Times New Roman"/>
          <w:sz w:val="32"/>
          <w:szCs w:val="32"/>
          <w:lang w:val="en-US" w:eastAsia="zh-CN"/>
        </w:rPr>
        <w:t>2025年梅县</w:t>
      </w:r>
      <w:r>
        <w:rPr>
          <w:rFonts w:hint="default" w:ascii="Times New Roman" w:hAnsi="Times New Roman" w:eastAsia="仿宋_GB2312" w:cs="Times New Roman"/>
          <w:sz w:val="32"/>
          <w:szCs w:val="32"/>
          <w:lang w:val="en-US" w:eastAsia="zh-CN"/>
        </w:rPr>
        <w:t>区水产健康养殖和生态养殖示范区示范创建工程</w:t>
      </w:r>
      <w:r>
        <w:rPr>
          <w:rFonts w:hint="default" w:ascii="Times New Roman" w:hAnsi="Times New Roman" w:eastAsia="仿宋_GB2312" w:cs="Times New Roman"/>
          <w:sz w:val="32"/>
          <w:szCs w:val="32"/>
          <w:lang w:eastAsia="zh-CN"/>
        </w:rPr>
        <w:t>项目的申报及实施工作，制订本项目申报指南。</w:t>
      </w:r>
    </w:p>
    <w:p>
      <w:pPr>
        <w:widowControl w:val="0"/>
        <w:kinsoku/>
        <w:spacing w:line="560" w:lineRule="exact"/>
        <w:ind w:firstLine="640" w:firstLineChars="200"/>
        <w:jc w:val="both"/>
        <w:rPr>
          <w:rFonts w:hint="default" w:ascii="Times New Roman" w:hAnsi="Times New Roman" w:eastAsia="黑体" w:cs="Times New Roman"/>
          <w:sz w:val="32"/>
          <w:szCs w:val="32"/>
          <w:lang w:eastAsia="zh-CN"/>
        </w:rPr>
      </w:pPr>
      <w:r>
        <w:rPr>
          <w:rFonts w:hint="default" w:ascii="Times New Roman" w:hAnsi="Times New Roman" w:eastAsia="黑体" w:cs="Times New Roman"/>
          <w:sz w:val="32"/>
          <w:szCs w:val="32"/>
          <w:lang w:eastAsia="zh-CN"/>
        </w:rPr>
        <w:t>一、项目设置及实施要求</w:t>
      </w:r>
    </w:p>
    <w:p>
      <w:pPr>
        <w:widowControl w:val="0"/>
        <w:kinsoku/>
        <w:spacing w:line="560" w:lineRule="exact"/>
        <w:ind w:firstLine="640" w:firstLineChars="200"/>
        <w:jc w:val="both"/>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val="en-US" w:eastAsia="zh-CN"/>
        </w:rPr>
        <w:t>2025年</w:t>
      </w:r>
      <w:r>
        <w:rPr>
          <w:rFonts w:hint="default" w:ascii="Times New Roman" w:hAnsi="Times New Roman" w:eastAsia="仿宋_GB2312" w:cs="Times New Roman"/>
          <w:sz w:val="32"/>
          <w:szCs w:val="32"/>
          <w:lang w:eastAsia="zh-CN"/>
        </w:rPr>
        <w:t>梅县区水产健康养殖和生态养殖示范区示范创建工程项目建设补助资金共</w:t>
      </w:r>
      <w:r>
        <w:rPr>
          <w:rFonts w:hint="default" w:ascii="Times New Roman" w:hAnsi="Times New Roman" w:eastAsia="仿宋_GB2312" w:cs="Times New Roman"/>
          <w:sz w:val="32"/>
          <w:szCs w:val="32"/>
          <w:lang w:val="en-US" w:eastAsia="zh-CN"/>
        </w:rPr>
        <w:t>420</w:t>
      </w:r>
      <w:r>
        <w:rPr>
          <w:rFonts w:hint="default" w:ascii="Times New Roman" w:hAnsi="Times New Roman" w:eastAsia="仿宋_GB2312" w:cs="Times New Roman"/>
          <w:sz w:val="32"/>
          <w:szCs w:val="32"/>
          <w:lang w:eastAsia="zh-CN"/>
        </w:rPr>
        <w:t>万元。原则上建设期限为1年</w:t>
      </w:r>
      <w:r>
        <w:rPr>
          <w:rFonts w:hint="default" w:ascii="Times New Roman" w:hAnsi="Times New Roman" w:eastAsia="仿宋_GB2312" w:cs="Times New Roman"/>
          <w:sz w:val="32"/>
          <w:szCs w:val="32"/>
          <w:lang w:eastAsia="zh-CN"/>
        </w:rPr>
        <w:t>，先建后补，项目通过验收后拨付财政奖补资金。主要有三个项目类型，建设内容如下：</w:t>
      </w:r>
    </w:p>
    <w:p>
      <w:pPr>
        <w:widowControl w:val="0"/>
        <w:kinsoku/>
        <w:spacing w:line="560" w:lineRule="exact"/>
        <w:ind w:firstLine="640" w:firstLineChars="200"/>
        <w:jc w:val="both"/>
        <w:rPr>
          <w:rFonts w:hint="default" w:ascii="Times New Roman" w:hAnsi="Times New Roman" w:eastAsia="楷体_GB2312" w:cs="Times New Roman"/>
          <w:sz w:val="32"/>
          <w:szCs w:val="32"/>
          <w:lang w:eastAsia="zh-CN"/>
        </w:rPr>
      </w:pPr>
      <w:r>
        <w:rPr>
          <w:rFonts w:hint="default" w:ascii="Times New Roman" w:hAnsi="Times New Roman" w:eastAsia="楷体_GB2312" w:cs="Times New Roman"/>
          <w:sz w:val="32"/>
          <w:szCs w:val="32"/>
          <w:lang w:eastAsia="zh-CN"/>
        </w:rPr>
        <w:t>（一）推广池塘标准化改造与养殖尾水治理项目</w:t>
      </w:r>
    </w:p>
    <w:p>
      <w:pPr>
        <w:widowControl w:val="0"/>
        <w:kinsoku/>
        <w:spacing w:line="560" w:lineRule="exact"/>
        <w:ind w:firstLine="640" w:firstLineChars="200"/>
        <w:jc w:val="both"/>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资金安排：拟建设</w:t>
      </w: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lang w:eastAsia="zh-CN"/>
        </w:rPr>
        <w:t>个示范点，项目补助资金50万元。</w:t>
      </w:r>
    </w:p>
    <w:p>
      <w:pPr>
        <w:widowControl w:val="0"/>
        <w:kinsoku/>
        <w:spacing w:line="560" w:lineRule="exact"/>
        <w:ind w:firstLine="640" w:firstLineChars="200"/>
        <w:jc w:val="both"/>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实施要求：</w:t>
      </w:r>
    </w:p>
    <w:p>
      <w:pPr>
        <w:widowControl w:val="0"/>
        <w:kinsoku/>
        <w:spacing w:line="560" w:lineRule="exact"/>
        <w:ind w:firstLine="640" w:firstLineChars="200"/>
        <w:jc w:val="both"/>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1.对连</w:t>
      </w:r>
      <w:r>
        <w:rPr>
          <w:rFonts w:hint="default" w:ascii="Times New Roman" w:hAnsi="Times New Roman" w:eastAsia="仿宋_GB2312" w:cs="Times New Roman"/>
          <w:sz w:val="32"/>
          <w:szCs w:val="32"/>
          <w:lang w:eastAsia="zh-CN"/>
        </w:rPr>
        <w:t>片50亩养殖池塘</w:t>
      </w:r>
      <w:r>
        <w:rPr>
          <w:rFonts w:hint="default" w:ascii="Times New Roman" w:hAnsi="Times New Roman" w:eastAsia="仿宋_GB2312" w:cs="Times New Roman"/>
          <w:sz w:val="32"/>
          <w:szCs w:val="32"/>
          <w:lang w:eastAsia="zh-CN"/>
        </w:rPr>
        <w:t>进行标准化改造，主要包括：池塘整形清淤、池塘挖沟起垄、池塘护坡、生产道路、看护及管理用房、泵房泵站、进排水沟渠及管道实施改造，完善配备养殖设备及电力、水质监控系统、增氧设备、投料设备等，补助资金不得用于购买鱼苗、饲料、渔药。</w:t>
      </w:r>
    </w:p>
    <w:p>
      <w:pPr>
        <w:widowControl w:val="0"/>
        <w:kinsoku/>
        <w:spacing w:line="560" w:lineRule="exact"/>
        <w:ind w:firstLine="640" w:firstLineChars="200"/>
        <w:jc w:val="both"/>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2.池塘尾水治理，主要包括复合人工湿地尾水治理模式、“三池两坝”（处理塘+过滤坝）尾水治理模式、池塘工程化循环水模式、池塘微生物组工程化循环水治理模式、大水面多营养搭配复合立体生态养殖模式等国家与我省推广的尾水处理模式。建设内容包括但不限于：生态沟渠、沉淀池、生物接触氧化池、集成微生物组曝气净化床、潜流/表流湿地、生态塘、过滤坝、集污系统以及养殖水槽、曝气增氧、吸污系统、精准投饲等环保养殖设施设备。</w:t>
      </w:r>
    </w:p>
    <w:p>
      <w:pPr>
        <w:widowControl w:val="0"/>
        <w:kinsoku/>
        <w:spacing w:line="560" w:lineRule="exact"/>
        <w:ind w:firstLine="640" w:firstLineChars="200"/>
        <w:jc w:val="both"/>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绩效目标：对养殖池塘进行升级改造，并配套建设尾水综合治理设施，尾水处理后养殖尾水资源化利用或达标排放。</w:t>
      </w:r>
    </w:p>
    <w:p>
      <w:pPr>
        <w:widowControl w:val="0"/>
        <w:kinsoku/>
        <w:spacing w:line="560" w:lineRule="exact"/>
        <w:ind w:firstLine="640" w:firstLineChars="200"/>
        <w:jc w:val="both"/>
        <w:rPr>
          <w:rFonts w:hint="default" w:ascii="Times New Roman" w:hAnsi="Times New Roman" w:eastAsia="楷体_GB2312" w:cs="Times New Roman"/>
          <w:sz w:val="32"/>
          <w:szCs w:val="32"/>
          <w:lang w:eastAsia="zh-CN"/>
        </w:rPr>
      </w:pPr>
      <w:r>
        <w:rPr>
          <w:rFonts w:hint="default" w:ascii="Times New Roman" w:hAnsi="Times New Roman" w:eastAsia="楷体_GB2312" w:cs="Times New Roman"/>
          <w:sz w:val="32"/>
          <w:szCs w:val="32"/>
          <w:lang w:eastAsia="zh-CN"/>
        </w:rPr>
        <w:t>（二）水产种业体系建设项目</w:t>
      </w:r>
    </w:p>
    <w:p>
      <w:pPr>
        <w:widowControl w:val="0"/>
        <w:kinsoku/>
        <w:spacing w:line="560" w:lineRule="exact"/>
        <w:ind w:firstLine="640" w:firstLineChars="200"/>
        <w:jc w:val="both"/>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资金安排：</w:t>
      </w:r>
      <w:r>
        <w:rPr>
          <w:rFonts w:hint="default" w:ascii="Times New Roman" w:hAnsi="Times New Roman" w:eastAsia="仿宋_GB2312" w:cs="Times New Roman"/>
          <w:sz w:val="32"/>
          <w:szCs w:val="32"/>
          <w:lang w:eastAsia="zh-CN"/>
        </w:rPr>
        <w:t>建设补助资金共350万元</w:t>
      </w: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eastAsia="zh-CN"/>
        </w:rPr>
        <w:t>拟改扩</w:t>
      </w:r>
      <w:r>
        <w:rPr>
          <w:rFonts w:hint="default" w:ascii="Times New Roman" w:hAnsi="Times New Roman" w:eastAsia="仿宋_GB2312" w:cs="Times New Roman"/>
          <w:sz w:val="32"/>
          <w:szCs w:val="32"/>
          <w:lang w:eastAsia="zh-CN"/>
        </w:rPr>
        <w:t>建1个水产种苗繁育场，补助资金150万元；拟新建1个标准水产种苗繁育场，补助资金150万元；拟对梅县绿色健康渔业示范园区工厂化育苗车间升级改造，补助资金50万元。</w:t>
      </w:r>
    </w:p>
    <w:p>
      <w:pPr>
        <w:widowControl w:val="0"/>
        <w:kinsoku/>
        <w:spacing w:line="560" w:lineRule="exact"/>
        <w:ind w:firstLine="640" w:firstLineChars="200"/>
        <w:jc w:val="both"/>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实施要求：</w:t>
      </w:r>
    </w:p>
    <w:p>
      <w:pPr>
        <w:widowControl w:val="0"/>
        <w:kinsoku/>
        <w:spacing w:line="560" w:lineRule="exact"/>
        <w:ind w:firstLine="640" w:firstLineChars="200"/>
        <w:jc w:val="both"/>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1.改扩建水产种苗繁育场</w:t>
      </w:r>
    </w:p>
    <w:p>
      <w:pPr>
        <w:widowControl w:val="0"/>
        <w:kinsoku/>
        <w:spacing w:line="560" w:lineRule="exact"/>
        <w:ind w:firstLine="640" w:firstLineChars="200"/>
        <w:jc w:val="both"/>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（1）扩建亲鱼、鱼苗培育塘面积不少</w:t>
      </w:r>
      <w:r>
        <w:rPr>
          <w:rFonts w:hint="default" w:ascii="Times New Roman" w:hAnsi="Times New Roman" w:eastAsia="仿宋_GB2312" w:cs="Times New Roman"/>
          <w:sz w:val="32"/>
          <w:szCs w:val="32"/>
          <w:lang w:eastAsia="zh-CN"/>
        </w:rPr>
        <w:t>于20亩；</w:t>
      </w:r>
      <w:r>
        <w:rPr>
          <w:rFonts w:hint="default" w:ascii="Times New Roman" w:hAnsi="Times New Roman" w:eastAsia="仿宋_GB2312" w:cs="Times New Roman"/>
          <w:sz w:val="32"/>
          <w:szCs w:val="32"/>
          <w:lang w:eastAsia="zh-CN"/>
        </w:rPr>
        <w:t>亲鱼、鱼苗培育塘要求塘堤标准化，水、电、交通方便；</w:t>
      </w:r>
    </w:p>
    <w:p>
      <w:pPr>
        <w:widowControl w:val="0"/>
        <w:kinsoku/>
        <w:spacing w:line="560" w:lineRule="exact"/>
        <w:ind w:firstLine="640" w:firstLineChars="200"/>
        <w:jc w:val="both"/>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（2）增加添置水花设施设备，增加或升级改造产卵池、孵化环道、出水花池，购置孵化桶、孵化箱、增氧、水质监测、渔病检测等设备；</w:t>
      </w:r>
    </w:p>
    <w:p>
      <w:pPr>
        <w:widowControl w:val="0"/>
        <w:kinsoku/>
        <w:spacing w:line="560" w:lineRule="exact"/>
        <w:ind w:firstLine="640" w:firstLineChars="200"/>
        <w:jc w:val="both"/>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（3）完善场内道路、进排水、电路、养殖尾水处理基础设施，使场容场明显提升，补助资金不得用于购买鱼苗、饲料、渔药。</w:t>
      </w:r>
    </w:p>
    <w:p>
      <w:pPr>
        <w:widowControl w:val="0"/>
        <w:kinsoku/>
        <w:spacing w:line="560" w:lineRule="exact"/>
        <w:ind w:firstLine="640" w:firstLineChars="200"/>
        <w:jc w:val="both"/>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绩效目标：扩建后水花产量</w:t>
      </w:r>
      <w:r>
        <w:rPr>
          <w:rFonts w:hint="default" w:ascii="Times New Roman" w:hAnsi="Times New Roman" w:eastAsia="仿宋_GB2312" w:cs="Times New Roman"/>
          <w:sz w:val="32"/>
          <w:szCs w:val="32"/>
          <w:lang w:eastAsia="zh-CN"/>
        </w:rPr>
        <w:t>比建设前提高50%</w:t>
      </w:r>
      <w:r>
        <w:rPr>
          <w:rFonts w:hint="default" w:ascii="Times New Roman" w:hAnsi="Times New Roman" w:eastAsia="仿宋_GB2312" w:cs="Times New Roman"/>
          <w:sz w:val="32"/>
          <w:szCs w:val="32"/>
          <w:lang w:eastAsia="zh-CN"/>
        </w:rPr>
        <w:t>，鱼苗产量提高30％，繁殖用水达标排放。</w:t>
      </w:r>
    </w:p>
    <w:p>
      <w:pPr>
        <w:widowControl w:val="0"/>
        <w:kinsoku/>
        <w:spacing w:line="560" w:lineRule="exact"/>
        <w:ind w:firstLine="640" w:firstLineChars="200"/>
        <w:jc w:val="both"/>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2.新建高标准水产种苗繁育场</w:t>
      </w:r>
    </w:p>
    <w:p>
      <w:pPr>
        <w:widowControl w:val="0"/>
        <w:kinsoku/>
        <w:spacing w:line="560" w:lineRule="exact"/>
        <w:ind w:firstLine="640" w:firstLineChars="200"/>
        <w:jc w:val="both"/>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（1）</w:t>
      </w:r>
      <w:r>
        <w:rPr>
          <w:rFonts w:hint="default" w:ascii="Times New Roman" w:hAnsi="Times New Roman" w:eastAsia="仿宋_GB2312" w:cs="Times New Roman"/>
          <w:sz w:val="32"/>
          <w:szCs w:val="32"/>
          <w:lang w:eastAsia="zh-CN"/>
        </w:rPr>
        <w:t>占地面积不少于30亩，化验室不少于30平方米</w:t>
      </w:r>
      <w:r>
        <w:rPr>
          <w:rFonts w:hint="default" w:ascii="Times New Roman" w:hAnsi="Times New Roman" w:eastAsia="仿宋_GB2312" w:cs="Times New Roman"/>
          <w:sz w:val="32"/>
          <w:szCs w:val="32"/>
          <w:lang w:eastAsia="zh-CN"/>
        </w:rPr>
        <w:t>；</w:t>
      </w:r>
    </w:p>
    <w:p>
      <w:pPr>
        <w:widowControl w:val="0"/>
        <w:kinsoku/>
        <w:spacing w:line="560" w:lineRule="exact"/>
        <w:ind w:firstLine="640" w:firstLineChars="200"/>
        <w:jc w:val="both"/>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（2）</w:t>
      </w:r>
      <w:r>
        <w:rPr>
          <w:rFonts w:hint="default" w:ascii="Times New Roman" w:hAnsi="Times New Roman" w:eastAsia="仿宋_GB2312" w:cs="Times New Roman"/>
          <w:sz w:val="32"/>
          <w:szCs w:val="32"/>
          <w:lang w:eastAsia="zh-CN"/>
        </w:rPr>
        <w:t>新建300平方米以上的工</w:t>
      </w:r>
      <w:r>
        <w:rPr>
          <w:rFonts w:hint="default" w:ascii="Times New Roman" w:hAnsi="Times New Roman" w:eastAsia="仿宋_GB2312" w:cs="Times New Roman"/>
          <w:sz w:val="32"/>
          <w:szCs w:val="32"/>
          <w:lang w:eastAsia="zh-CN"/>
        </w:rPr>
        <w:t>厂化育苗车间，车间内设备设施完善；</w:t>
      </w:r>
    </w:p>
    <w:p>
      <w:pPr>
        <w:widowControl w:val="0"/>
        <w:kinsoku/>
        <w:spacing w:line="560" w:lineRule="exact"/>
        <w:ind w:firstLine="640" w:firstLineChars="200"/>
        <w:jc w:val="both"/>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（3）新</w:t>
      </w:r>
      <w:r>
        <w:rPr>
          <w:rFonts w:hint="default" w:ascii="Times New Roman" w:hAnsi="Times New Roman" w:eastAsia="仿宋_GB2312" w:cs="Times New Roman"/>
          <w:sz w:val="32"/>
          <w:szCs w:val="32"/>
          <w:lang w:eastAsia="zh-CN"/>
        </w:rPr>
        <w:t>建不少于100平方米亲鱼暂养池，200平方米鱼苗暂养池，200平方米的养殖生产尾水处理池，500平方米的蓄水池</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eastAsia="zh-CN"/>
        </w:rPr>
        <w:t>100平方米</w:t>
      </w:r>
      <w:r>
        <w:rPr>
          <w:rFonts w:hint="default" w:ascii="Times New Roman" w:hAnsi="Times New Roman" w:eastAsia="仿宋_GB2312" w:cs="Times New Roman"/>
          <w:sz w:val="32"/>
          <w:szCs w:val="32"/>
          <w:lang w:eastAsia="zh-CN"/>
        </w:rPr>
        <w:t>的试验池，室外繁殖场所需有产卵场、孵化环道、水花池等设施；</w:t>
      </w:r>
    </w:p>
    <w:p>
      <w:pPr>
        <w:widowControl w:val="0"/>
        <w:kinsoku/>
        <w:spacing w:line="560" w:lineRule="exact"/>
        <w:ind w:firstLine="640" w:firstLineChars="200"/>
        <w:jc w:val="both"/>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（4）亲鱼、鱼苗培育塘要求塘堤标准化，进排水分离；</w:t>
      </w:r>
    </w:p>
    <w:p>
      <w:pPr>
        <w:widowControl w:val="0"/>
        <w:kinsoku/>
        <w:spacing w:line="560" w:lineRule="exact"/>
        <w:ind w:firstLine="640" w:firstLineChars="200"/>
        <w:jc w:val="both"/>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（5）场内道路、进排水、电路、养殖尾水处理基础设施完善，场容场貌整洁干净，补助资金不得用于购买鱼苗、饲料、渔药。</w:t>
      </w:r>
    </w:p>
    <w:p>
      <w:pPr>
        <w:widowControl w:val="0"/>
        <w:kinsoku/>
        <w:spacing w:line="560" w:lineRule="exact"/>
        <w:ind w:firstLine="640" w:firstLineChars="200"/>
        <w:jc w:val="both"/>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绩效目标：生产目标</w:t>
      </w:r>
      <w:r>
        <w:rPr>
          <w:rFonts w:hint="default" w:ascii="Times New Roman" w:hAnsi="Times New Roman" w:eastAsia="仿宋_GB2312" w:cs="Times New Roman"/>
          <w:sz w:val="32"/>
          <w:szCs w:val="32"/>
          <w:lang w:eastAsia="zh-CN"/>
        </w:rPr>
        <w:t>每年水花产量3亿尾，鱼苗产量0.2亿尾，繁殖用水达标排放。</w:t>
      </w:r>
    </w:p>
    <w:p>
      <w:pPr>
        <w:widowControl w:val="0"/>
        <w:kinsoku/>
        <w:spacing w:line="560" w:lineRule="exact"/>
        <w:ind w:firstLine="640" w:firstLineChars="200"/>
        <w:jc w:val="both"/>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3.梅县绿色健康渔业示范园区工厂化育苗车间升级改造</w:t>
      </w:r>
    </w:p>
    <w:p>
      <w:pPr>
        <w:widowControl w:val="0"/>
        <w:kinsoku/>
        <w:spacing w:line="560" w:lineRule="exact"/>
        <w:ind w:firstLine="640" w:firstLineChars="200"/>
        <w:jc w:val="both"/>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实施要求：支持建设繁殖车间增氧和加热系统、进排水系统等标准化生产设施升级改造，优先选择空气能、太阳能光伏板发电加热方式及保温方案，以降低电量消耗；建设完善育苗循环水利用和养殖尾水处理，向节水、节能，高产、高效的生产发展，补助资金不得用于购买鱼苗、饲料、渔药。</w:t>
      </w:r>
    </w:p>
    <w:p>
      <w:pPr>
        <w:widowControl w:val="0"/>
        <w:kinsoku/>
        <w:spacing w:line="560" w:lineRule="exact"/>
        <w:ind w:firstLine="640" w:firstLineChars="200"/>
        <w:jc w:val="both"/>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绩效目标：完善工厂化育苗车间设施设备，可实现全年鱼苗繁育养殖工作。</w:t>
      </w:r>
    </w:p>
    <w:p>
      <w:pPr>
        <w:widowControl w:val="0"/>
        <w:kinsoku/>
        <w:spacing w:line="560" w:lineRule="exact"/>
        <w:ind w:firstLine="640" w:firstLineChars="200"/>
        <w:jc w:val="both"/>
        <w:rPr>
          <w:rFonts w:hint="default" w:ascii="Times New Roman" w:hAnsi="Times New Roman" w:eastAsia="仿宋_GB2312" w:cs="Times New Roman"/>
          <w:sz w:val="32"/>
          <w:szCs w:val="32"/>
          <w:lang w:eastAsia="zh-CN"/>
        </w:rPr>
      </w:pPr>
      <w:r>
        <w:rPr>
          <w:rFonts w:hint="default" w:ascii="Times New Roman" w:hAnsi="Times New Roman" w:eastAsia="楷体_GB2312" w:cs="Times New Roman"/>
          <w:sz w:val="32"/>
          <w:szCs w:val="32"/>
          <w:lang w:eastAsia="zh-CN"/>
        </w:rPr>
        <w:t>（三）推广特色水产品养殖技术模式项目</w:t>
      </w:r>
    </w:p>
    <w:p>
      <w:pPr>
        <w:widowControl w:val="0"/>
        <w:kinsoku/>
        <w:spacing w:line="560" w:lineRule="exact"/>
        <w:ind w:firstLine="640" w:firstLineChars="200"/>
        <w:jc w:val="both"/>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资金安排：</w:t>
      </w:r>
      <w:r>
        <w:rPr>
          <w:rFonts w:hint="default" w:ascii="Times New Roman" w:hAnsi="Times New Roman" w:eastAsia="仿宋_GB2312" w:cs="Times New Roman"/>
          <w:sz w:val="32"/>
          <w:szCs w:val="32"/>
          <w:lang w:eastAsia="zh-CN"/>
        </w:rPr>
        <w:t>拟建设</w:t>
      </w: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lang w:eastAsia="zh-CN"/>
        </w:rPr>
        <w:t>个示范点，开展特色水产品种试验示范养殖，建设补助资金20万元。</w:t>
      </w:r>
    </w:p>
    <w:p>
      <w:pPr>
        <w:widowControl w:val="0"/>
        <w:kinsoku/>
        <w:spacing w:line="560" w:lineRule="exact"/>
        <w:ind w:firstLine="640" w:firstLineChars="200"/>
        <w:jc w:val="both"/>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实施要求：新发展赤眼鳟、大口黑鲈、黄颡鱼、优质鲤鲫、南美白对虾等特色水产品养殖，主要包括养殖设施、养殖尾水排放治理改造和购置增氧机、投料机、水质检测仪等设备，补助资金不得用于购买鱼苗、饲料、渔药。</w:t>
      </w:r>
    </w:p>
    <w:p>
      <w:pPr>
        <w:widowControl w:val="0"/>
        <w:kinsoku/>
        <w:spacing w:line="560" w:lineRule="exact"/>
        <w:ind w:firstLine="640" w:firstLineChars="200"/>
        <w:jc w:val="both"/>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绩效目标：要求形成特色水产品养殖技术规程，养殖设施设备条件达到养殖品种养殖技术要求，养殖尾水达标排放。</w:t>
      </w:r>
    </w:p>
    <w:p>
      <w:pPr>
        <w:widowControl w:val="0"/>
        <w:kinsoku/>
        <w:spacing w:line="560" w:lineRule="exact"/>
        <w:ind w:firstLine="640" w:firstLineChars="200"/>
        <w:jc w:val="both"/>
        <w:rPr>
          <w:rFonts w:hint="default" w:ascii="Times New Roman" w:hAnsi="Times New Roman" w:eastAsia="黑体" w:cs="Times New Roman"/>
          <w:sz w:val="32"/>
          <w:szCs w:val="32"/>
          <w:lang w:eastAsia="zh-CN"/>
        </w:rPr>
      </w:pPr>
      <w:r>
        <w:rPr>
          <w:rFonts w:hint="default" w:ascii="Times New Roman" w:hAnsi="Times New Roman" w:eastAsia="黑体" w:cs="Times New Roman"/>
          <w:sz w:val="32"/>
          <w:szCs w:val="32"/>
          <w:lang w:eastAsia="zh-CN"/>
        </w:rPr>
        <w:t>二、申报条件</w:t>
      </w:r>
    </w:p>
    <w:p>
      <w:pPr>
        <w:widowControl w:val="0"/>
        <w:kinsoku/>
        <w:spacing w:line="560" w:lineRule="exact"/>
        <w:ind w:firstLine="640" w:firstLineChars="200"/>
        <w:jc w:val="both"/>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1.在梅县区注册登记的水产专业合作社、养殖企业、养殖个体户、家庭农场为申报主体。</w:t>
      </w:r>
    </w:p>
    <w:p>
      <w:pPr>
        <w:widowControl w:val="0"/>
        <w:kinsoku/>
        <w:spacing w:line="560" w:lineRule="exact"/>
        <w:ind w:firstLine="640" w:firstLineChars="200"/>
        <w:jc w:val="both"/>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2.项目建设的地点必须权属清晰，无争议纠纷，申报主体需提供水域滩涂养殖证或者养殖水域承包合同，项目建设地点必须符合梅县区养殖水域滩涂规划，不能在水域滩涂禁养区、基本农田保护区、林地等国家禁止建设区内，并取得当地政府同意，项目建设应建设养殖排放尾水处理设施或纳入区域养殖尾水处理点。</w:t>
      </w:r>
    </w:p>
    <w:p>
      <w:pPr>
        <w:widowControl w:val="0"/>
        <w:kinsoku/>
        <w:spacing w:line="560" w:lineRule="exact"/>
        <w:ind w:firstLine="640" w:firstLineChars="200"/>
        <w:jc w:val="both"/>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3.申报主体需有完善的组织管理制度，运作规范，具有健全的财务管理制度和良好的信用记录。</w:t>
      </w:r>
    </w:p>
    <w:p>
      <w:pPr>
        <w:widowControl w:val="0"/>
        <w:kinsoku/>
        <w:spacing w:line="560" w:lineRule="exact"/>
        <w:ind w:firstLine="640" w:firstLineChars="200"/>
        <w:jc w:val="both"/>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4.为避免资金重复建设，提高资金使用效益，同一个申报主体不可申报</w:t>
      </w:r>
      <w:r>
        <w:rPr>
          <w:rFonts w:hint="default" w:ascii="Times New Roman" w:hAnsi="Times New Roman" w:eastAsia="仿宋_GB2312" w:cs="Times New Roman"/>
          <w:sz w:val="32"/>
          <w:szCs w:val="32"/>
          <w:lang w:eastAsia="zh-CN"/>
        </w:rPr>
        <w:t>2个项</w:t>
      </w:r>
      <w:r>
        <w:rPr>
          <w:rFonts w:hint="default" w:ascii="Times New Roman" w:hAnsi="Times New Roman" w:eastAsia="仿宋_GB2312" w:cs="Times New Roman"/>
          <w:sz w:val="32"/>
          <w:szCs w:val="32"/>
          <w:lang w:eastAsia="zh-CN"/>
        </w:rPr>
        <w:t>目类型，建设前三年内获得过同类型上级项目补助资金的企业不得进行申报。</w:t>
      </w:r>
    </w:p>
    <w:p>
      <w:pPr>
        <w:widowControl w:val="0"/>
        <w:kinsoku/>
        <w:spacing w:line="560" w:lineRule="exact"/>
        <w:ind w:firstLine="640" w:firstLineChars="200"/>
        <w:jc w:val="both"/>
        <w:rPr>
          <w:rFonts w:hint="default" w:ascii="Times New Roman" w:hAnsi="Times New Roman" w:eastAsia="黑体" w:cs="Times New Roman"/>
          <w:sz w:val="32"/>
          <w:szCs w:val="32"/>
          <w:lang w:eastAsia="zh-CN"/>
        </w:rPr>
      </w:pPr>
      <w:r>
        <w:rPr>
          <w:rFonts w:hint="default" w:ascii="Times New Roman" w:hAnsi="Times New Roman" w:eastAsia="黑体" w:cs="Times New Roman"/>
          <w:sz w:val="32"/>
          <w:szCs w:val="32"/>
          <w:lang w:eastAsia="zh-CN"/>
        </w:rPr>
        <w:t>三、申报程序</w:t>
      </w:r>
    </w:p>
    <w:p>
      <w:pPr>
        <w:widowControl w:val="0"/>
        <w:kinsoku/>
        <w:spacing w:line="560" w:lineRule="exact"/>
        <w:ind w:firstLine="640" w:firstLineChars="200"/>
        <w:jc w:val="both"/>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拟申报项目的主体向村委、镇主管部门提出申请，经村镇审核后上报区农业农村局。区农业农村局再组织专家遴选确定实施主体。</w:t>
      </w:r>
    </w:p>
    <w:p>
      <w:pPr>
        <w:widowControl w:val="0"/>
        <w:kinsoku/>
        <w:spacing w:line="560" w:lineRule="exact"/>
        <w:ind w:firstLine="640" w:firstLineChars="200"/>
        <w:jc w:val="both"/>
        <w:rPr>
          <w:rFonts w:hint="default" w:ascii="Times New Roman" w:hAnsi="Times New Roman" w:eastAsia="黑体" w:cs="Times New Roman"/>
          <w:sz w:val="32"/>
          <w:szCs w:val="32"/>
          <w:lang w:eastAsia="zh-CN"/>
        </w:rPr>
      </w:pPr>
      <w:r>
        <w:rPr>
          <w:rFonts w:hint="default" w:ascii="Times New Roman" w:hAnsi="Times New Roman" w:eastAsia="黑体" w:cs="Times New Roman"/>
          <w:sz w:val="32"/>
          <w:szCs w:val="32"/>
          <w:lang w:eastAsia="zh-CN"/>
        </w:rPr>
        <w:t>四、申报材料及要求</w:t>
      </w:r>
    </w:p>
    <w:p>
      <w:pPr>
        <w:widowControl w:val="0"/>
        <w:kinsoku/>
        <w:spacing w:line="560" w:lineRule="exact"/>
        <w:ind w:firstLine="640" w:firstLineChars="200"/>
        <w:jc w:val="both"/>
        <w:rPr>
          <w:rFonts w:hint="default" w:ascii="Times New Roman" w:hAnsi="Times New Roman" w:eastAsia="仿宋_GB2312" w:cs="Times New Roman"/>
          <w:sz w:val="32"/>
          <w:szCs w:val="32"/>
          <w:lang w:eastAsia="zh-CN"/>
        </w:rPr>
      </w:pPr>
      <w:r>
        <w:rPr>
          <w:rFonts w:hint="default" w:ascii="Times New Roman" w:hAnsi="Times New Roman" w:eastAsia="楷体_GB2312" w:cs="Times New Roman"/>
          <w:sz w:val="32"/>
          <w:szCs w:val="32"/>
          <w:lang w:eastAsia="zh-CN"/>
        </w:rPr>
        <w:t>（一）申报材料应真实、完整、可行、合规，申报主体应提供以下申报材料：</w:t>
      </w:r>
    </w:p>
    <w:p>
      <w:pPr>
        <w:widowControl w:val="0"/>
        <w:kinsoku/>
        <w:spacing w:line="560" w:lineRule="exact"/>
        <w:ind w:firstLine="640" w:firstLineChars="200"/>
        <w:jc w:val="both"/>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1.项目申报书（详见附件）</w:t>
      </w:r>
    </w:p>
    <w:p>
      <w:pPr>
        <w:widowControl w:val="0"/>
        <w:kinsoku/>
        <w:spacing w:line="560" w:lineRule="exact"/>
        <w:ind w:firstLine="640" w:firstLineChars="200"/>
        <w:jc w:val="both"/>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2.项目承诺书（详见附件）</w:t>
      </w:r>
    </w:p>
    <w:p>
      <w:pPr>
        <w:widowControl w:val="0"/>
        <w:kinsoku/>
        <w:spacing w:line="560" w:lineRule="exact"/>
        <w:ind w:firstLine="640" w:firstLineChars="200"/>
        <w:jc w:val="both"/>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3.项目实施方案</w:t>
      </w:r>
    </w:p>
    <w:p>
      <w:pPr>
        <w:widowControl w:val="0"/>
        <w:kinsoku/>
        <w:spacing w:line="560" w:lineRule="exact"/>
        <w:ind w:firstLine="640" w:firstLineChars="200"/>
        <w:jc w:val="both"/>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4.申报单位相关材</w:t>
      </w:r>
      <w:r>
        <w:rPr>
          <w:rFonts w:hint="default" w:ascii="Times New Roman" w:hAnsi="Times New Roman" w:eastAsia="仿宋_GB2312" w:cs="Times New Roman"/>
          <w:sz w:val="32"/>
          <w:szCs w:val="32"/>
          <w:lang w:eastAsia="zh-CN"/>
        </w:rPr>
        <w:t>料：营业执照、法人相关材料、202</w:t>
      </w: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lang w:eastAsia="zh-CN"/>
        </w:rPr>
        <w:t>年度财务报表、水域滩涂养殖证或者承包合同、建设</w:t>
      </w:r>
      <w:r>
        <w:rPr>
          <w:rFonts w:hint="default" w:ascii="Times New Roman" w:hAnsi="Times New Roman" w:eastAsia="仿宋_GB2312" w:cs="Times New Roman"/>
          <w:sz w:val="32"/>
          <w:szCs w:val="32"/>
          <w:lang w:eastAsia="zh-CN"/>
        </w:rPr>
        <w:t>前平面图、建设后效果图、生产档案资料、荣誉证书等。</w:t>
      </w:r>
    </w:p>
    <w:p>
      <w:pPr>
        <w:widowControl w:val="0"/>
        <w:kinsoku/>
        <w:spacing w:line="560" w:lineRule="exact"/>
        <w:ind w:firstLine="640" w:firstLineChars="200"/>
        <w:jc w:val="both"/>
        <w:rPr>
          <w:rFonts w:hint="default" w:ascii="Times New Roman" w:hAnsi="Times New Roman" w:eastAsia="仿宋_GB2312" w:cs="Times New Roman"/>
          <w:sz w:val="32"/>
          <w:szCs w:val="32"/>
          <w:lang w:eastAsia="zh-CN"/>
        </w:rPr>
      </w:pPr>
      <w:r>
        <w:rPr>
          <w:rFonts w:hint="default" w:ascii="Times New Roman" w:hAnsi="Times New Roman" w:eastAsia="楷体_GB2312" w:cs="Times New Roman"/>
          <w:sz w:val="32"/>
          <w:szCs w:val="32"/>
          <w:lang w:eastAsia="zh-CN"/>
        </w:rPr>
        <w:t>（二）报送时间：</w:t>
      </w:r>
      <w:r>
        <w:rPr>
          <w:rFonts w:hint="default" w:ascii="Times New Roman" w:hAnsi="Times New Roman" w:eastAsia="仿宋_GB2312" w:cs="Times New Roman"/>
          <w:sz w:val="32"/>
          <w:szCs w:val="32"/>
        </w:rPr>
        <w:t>请申报</w:t>
      </w:r>
      <w:r>
        <w:rPr>
          <w:rFonts w:hint="default" w:ascii="Times New Roman" w:hAnsi="Times New Roman" w:eastAsia="仿宋_GB2312" w:cs="Times New Roman"/>
          <w:sz w:val="32"/>
          <w:szCs w:val="32"/>
        </w:rPr>
        <w:t>单位于202</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年</w:t>
      </w:r>
      <w:r>
        <w:rPr>
          <w:rFonts w:hint="default" w:ascii="Times New Roman" w:hAnsi="Times New Roman" w:eastAsia="仿宋_GB2312" w:cs="Times New Roman"/>
          <w:sz w:val="32"/>
          <w:szCs w:val="32"/>
          <w:highlight w:val="none"/>
          <w:lang w:val="en-US" w:eastAsia="zh-CN"/>
        </w:rPr>
        <w:t>9</w:t>
      </w:r>
      <w:r>
        <w:rPr>
          <w:rFonts w:hint="default" w:ascii="Times New Roman" w:hAnsi="Times New Roman" w:eastAsia="仿宋_GB2312" w:cs="Times New Roman"/>
          <w:sz w:val="32"/>
          <w:szCs w:val="32"/>
          <w:highlight w:val="none"/>
        </w:rPr>
        <w:t>月</w:t>
      </w:r>
      <w:r>
        <w:rPr>
          <w:rFonts w:hint="default" w:ascii="Times New Roman" w:hAnsi="Times New Roman" w:eastAsia="仿宋_GB2312" w:cs="Times New Roman"/>
          <w:sz w:val="32"/>
          <w:szCs w:val="32"/>
          <w:highlight w:val="none"/>
          <w:lang w:val="en-US" w:eastAsia="zh-CN"/>
        </w:rPr>
        <w:t>17</w:t>
      </w:r>
      <w:r>
        <w:rPr>
          <w:rFonts w:hint="default" w:ascii="Times New Roman" w:hAnsi="Times New Roman" w:eastAsia="仿宋_GB2312" w:cs="Times New Roman"/>
          <w:sz w:val="32"/>
          <w:szCs w:val="32"/>
        </w:rPr>
        <w:t>日前将申报材料一式</w:t>
      </w:r>
      <w:r>
        <w:rPr>
          <w:rFonts w:hint="default" w:ascii="Times New Roman" w:hAnsi="Times New Roman" w:eastAsia="仿宋_GB2312" w:cs="Times New Roman"/>
          <w:sz w:val="32"/>
          <w:szCs w:val="32"/>
          <w:lang w:eastAsia="zh-CN"/>
        </w:rPr>
        <w:t>5</w:t>
      </w:r>
      <w:r>
        <w:rPr>
          <w:rFonts w:hint="default" w:ascii="Times New Roman" w:hAnsi="Times New Roman" w:eastAsia="仿宋_GB2312" w:cs="Times New Roman"/>
          <w:sz w:val="32"/>
          <w:szCs w:val="32"/>
        </w:rPr>
        <w:t>份</w:t>
      </w:r>
      <w:r>
        <w:rPr>
          <w:rFonts w:hint="default" w:ascii="Times New Roman" w:hAnsi="Times New Roman" w:eastAsia="仿宋_GB2312" w:cs="Times New Roman"/>
          <w:sz w:val="32"/>
          <w:szCs w:val="32"/>
          <w:lang w:eastAsia="zh-CN"/>
        </w:rPr>
        <w:t>报各镇畜牧水产组，镇审核同意后于</w:t>
      </w:r>
      <w:r>
        <w:rPr>
          <w:rFonts w:hint="default" w:ascii="Times New Roman" w:hAnsi="Times New Roman" w:eastAsia="仿宋_GB2312" w:cs="Times New Roman"/>
          <w:sz w:val="32"/>
          <w:szCs w:val="32"/>
          <w:lang w:val="en-US" w:eastAsia="zh-CN"/>
        </w:rPr>
        <w:t>2025年9月19日前</w:t>
      </w:r>
      <w:r>
        <w:rPr>
          <w:rFonts w:hint="default" w:ascii="Times New Roman" w:hAnsi="Times New Roman" w:eastAsia="仿宋_GB2312" w:cs="Times New Roman"/>
          <w:sz w:val="32"/>
          <w:szCs w:val="32"/>
          <w:lang w:eastAsia="zh-CN"/>
        </w:rPr>
        <w:t>上报</w:t>
      </w:r>
      <w:r>
        <w:rPr>
          <w:rFonts w:hint="default" w:ascii="Times New Roman" w:hAnsi="Times New Roman" w:eastAsia="仿宋_GB2312" w:cs="Times New Roman"/>
          <w:sz w:val="32"/>
          <w:szCs w:val="32"/>
        </w:rPr>
        <w:t>梅县区农业农村局渔业</w:t>
      </w:r>
      <w:r>
        <w:rPr>
          <w:rFonts w:hint="default" w:ascii="Times New Roman" w:hAnsi="Times New Roman" w:eastAsia="仿宋_GB2312" w:cs="Times New Roman"/>
          <w:sz w:val="32"/>
          <w:szCs w:val="32"/>
          <w:lang w:eastAsia="zh-CN"/>
        </w:rPr>
        <w:t>管理</w:t>
      </w:r>
      <w:r>
        <w:rPr>
          <w:rFonts w:hint="default" w:ascii="Times New Roman" w:hAnsi="Times New Roman" w:eastAsia="仿宋_GB2312" w:cs="Times New Roman"/>
          <w:sz w:val="32"/>
          <w:szCs w:val="32"/>
        </w:rPr>
        <w:t>股</w:t>
      </w:r>
      <w:r>
        <w:rPr>
          <w:rFonts w:hint="default" w:ascii="Times New Roman" w:hAnsi="Times New Roman" w:eastAsia="仿宋_GB2312" w:cs="Times New Roman"/>
          <w:sz w:val="32"/>
          <w:szCs w:val="32"/>
          <w:lang w:eastAsia="zh-CN"/>
        </w:rPr>
        <w:t>，电子版发至渔业管理股邮箱：</w:t>
      </w:r>
      <w:r>
        <w:rPr>
          <w:rFonts w:hint="default" w:ascii="Times New Roman" w:hAnsi="Times New Roman" w:cs="Times New Roman"/>
        </w:rPr>
        <w:fldChar w:fldCharType="begin"/>
      </w:r>
      <w:r>
        <w:rPr>
          <w:rFonts w:hint="default" w:ascii="Times New Roman" w:hAnsi="Times New Roman" w:cs="Times New Roman"/>
        </w:rPr>
        <w:instrText xml:space="preserve"> HYPERLINK "mailto:mx2589772@126.com" </w:instrText>
      </w:r>
      <w:r>
        <w:rPr>
          <w:rFonts w:hint="default" w:ascii="Times New Roman" w:hAnsi="Times New Roman" w:cs="Times New Roman"/>
        </w:rPr>
        <w:fldChar w:fldCharType="separate"/>
      </w:r>
      <w:r>
        <w:rPr>
          <w:rFonts w:hint="default" w:ascii="Times New Roman" w:hAnsi="Times New Roman" w:eastAsia="仿宋_GB2312" w:cs="Times New Roman"/>
          <w:sz w:val="32"/>
          <w:szCs w:val="32"/>
          <w:lang w:eastAsia="zh-CN"/>
        </w:rPr>
        <w:t>mx2589772@126.com</w:t>
      </w:r>
      <w:r>
        <w:rPr>
          <w:rFonts w:hint="default" w:ascii="Times New Roman" w:hAnsi="Times New Roman" w:eastAsia="仿宋_GB2312" w:cs="Times New Roman"/>
          <w:sz w:val="32"/>
          <w:szCs w:val="32"/>
          <w:lang w:eastAsia="zh-CN"/>
        </w:rPr>
        <w:fldChar w:fldCharType="end"/>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逾期不予受理</w:t>
      </w:r>
      <w:r>
        <w:rPr>
          <w:rFonts w:hint="default" w:ascii="Times New Roman" w:hAnsi="Times New Roman" w:eastAsia="仿宋_GB2312" w:cs="Times New Roman"/>
          <w:sz w:val="32"/>
          <w:szCs w:val="32"/>
          <w:lang w:eastAsia="zh-CN"/>
        </w:rPr>
        <w:t>。（联系人：赖春涛，联系电话：0753-2589162）</w:t>
      </w:r>
    </w:p>
    <w:p>
      <w:pPr>
        <w:widowControl w:val="0"/>
        <w:kinsoku/>
        <w:spacing w:line="560" w:lineRule="exact"/>
        <w:ind w:firstLine="640" w:firstLineChars="200"/>
        <w:jc w:val="both"/>
        <w:rPr>
          <w:rFonts w:hint="default" w:ascii="Times New Roman" w:hAnsi="Times New Roman" w:eastAsia="仿宋_GB2312" w:cs="Times New Roman"/>
          <w:sz w:val="32"/>
          <w:szCs w:val="32"/>
          <w:lang w:eastAsia="zh-CN"/>
        </w:rPr>
      </w:pPr>
      <w:r>
        <w:rPr>
          <w:rFonts w:hint="default" w:ascii="Times New Roman" w:hAnsi="Times New Roman" w:eastAsia="楷体_GB2312" w:cs="Times New Roman"/>
          <w:sz w:val="32"/>
          <w:szCs w:val="32"/>
          <w:lang w:eastAsia="zh-CN"/>
        </w:rPr>
        <w:t>（三）签订协议：</w:t>
      </w:r>
      <w:r>
        <w:rPr>
          <w:rFonts w:hint="default" w:ascii="Times New Roman" w:hAnsi="Times New Roman" w:eastAsia="仿宋_GB2312" w:cs="Times New Roman"/>
          <w:sz w:val="32"/>
          <w:szCs w:val="32"/>
          <w:lang w:eastAsia="zh-CN"/>
        </w:rPr>
        <w:t>经确认项目实施资格后，签订项目实施协议。</w:t>
      </w:r>
    </w:p>
    <w:p>
      <w:pPr>
        <w:widowControl w:val="0"/>
        <w:kinsoku/>
        <w:autoSpaceDE/>
        <w:autoSpaceDN/>
        <w:adjustRightInd/>
        <w:snapToGrid/>
        <w:spacing w:line="560" w:lineRule="exact"/>
        <w:ind w:firstLine="640" w:firstLineChars="200"/>
        <w:jc w:val="both"/>
        <w:textAlignment w:val="auto"/>
        <w:rPr>
          <w:rFonts w:hint="default" w:ascii="Times New Roman" w:hAnsi="Times New Roman" w:eastAsia="黑体" w:cs="Times New Roman"/>
          <w:sz w:val="32"/>
          <w:szCs w:val="32"/>
          <w:lang w:eastAsia="zh-CN"/>
        </w:rPr>
      </w:pPr>
      <w:r>
        <w:rPr>
          <w:rFonts w:hint="default" w:ascii="Times New Roman" w:hAnsi="Times New Roman" w:eastAsia="黑体" w:cs="Times New Roman"/>
          <w:sz w:val="32"/>
          <w:szCs w:val="32"/>
          <w:lang w:eastAsia="zh-CN"/>
        </w:rPr>
        <w:t>五、项目验收</w:t>
      </w:r>
    </w:p>
    <w:p>
      <w:pPr>
        <w:widowControl w:val="0"/>
        <w:kinsoku/>
        <w:autoSpaceDE/>
        <w:autoSpaceDN/>
        <w:adjustRightInd/>
        <w:snapToGrid/>
        <w:spacing w:line="560" w:lineRule="exact"/>
        <w:ind w:firstLine="640" w:firstLineChars="200"/>
        <w:jc w:val="both"/>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资金拨付实行先建后补，项目建设完成后由实施单位提出申请，上交验收材料一式5份（验收申请、项目申报书、实施合同、工程合同、资金支出凭证、发票、实施前后对比照片等），</w:t>
      </w:r>
      <w:r>
        <w:rPr>
          <w:rFonts w:hint="default" w:ascii="Times New Roman" w:hAnsi="Times New Roman" w:eastAsia="仿宋_GB2312" w:cs="Times New Roman"/>
          <w:sz w:val="32"/>
          <w:szCs w:val="32"/>
        </w:rPr>
        <w:t>项目验收前，须经财政入库第三方财审机构</w:t>
      </w:r>
      <w:r>
        <w:rPr>
          <w:rFonts w:hint="default" w:ascii="Times New Roman" w:hAnsi="Times New Roman" w:eastAsia="仿宋_GB2312" w:cs="Times New Roman"/>
          <w:sz w:val="32"/>
          <w:szCs w:val="32"/>
          <w:lang w:eastAsia="zh-CN"/>
        </w:rPr>
        <w:t>对项目进行结算财审</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eastAsia="zh-CN"/>
        </w:rPr>
        <w:t>通过后，方可提交验收申请。区农业农村局组织专家按照项目实施方案、实施合同和本申报指南中有关实施要求对项目进行验收，验收合格后向区财政申请拨付项目补助资金，验收不合格</w:t>
      </w:r>
      <w:r>
        <w:rPr>
          <w:rFonts w:hint="default" w:ascii="Times New Roman" w:hAnsi="Times New Roman" w:eastAsia="仿宋_GB2312" w:cs="Times New Roman"/>
          <w:sz w:val="32"/>
          <w:szCs w:val="32"/>
          <w:lang w:eastAsia="zh-CN"/>
        </w:rPr>
        <w:t>的</w:t>
      </w:r>
      <w:r>
        <w:rPr>
          <w:rFonts w:hint="default" w:ascii="Times New Roman" w:hAnsi="Times New Roman" w:eastAsia="仿宋_GB2312" w:cs="Times New Roman"/>
          <w:sz w:val="32"/>
          <w:szCs w:val="32"/>
          <w:lang w:eastAsia="zh-CN"/>
        </w:rPr>
        <w:t>给予30天</w:t>
      </w:r>
      <w:r>
        <w:rPr>
          <w:rFonts w:hint="default" w:ascii="Times New Roman" w:hAnsi="Times New Roman" w:eastAsia="仿宋_GB2312" w:cs="Times New Roman"/>
          <w:sz w:val="32"/>
          <w:szCs w:val="32"/>
          <w:lang w:eastAsia="zh-CN"/>
        </w:rPr>
        <w:t>时间进行</w:t>
      </w:r>
      <w:r>
        <w:rPr>
          <w:rFonts w:hint="default" w:ascii="Times New Roman" w:hAnsi="Times New Roman" w:eastAsia="仿宋_GB2312" w:cs="Times New Roman"/>
          <w:sz w:val="32"/>
          <w:szCs w:val="32"/>
          <w:lang w:eastAsia="zh-CN"/>
        </w:rPr>
        <w:t>整改，再组织专家审验，仍不合格的，给予取消补助项目资金。</w:t>
      </w:r>
    </w:p>
    <w:p>
      <w:pPr>
        <w:widowControl w:val="0"/>
        <w:kinsoku/>
        <w:spacing w:line="560" w:lineRule="exact"/>
        <w:ind w:firstLine="640" w:firstLineChars="200"/>
        <w:jc w:val="both"/>
        <w:rPr>
          <w:rFonts w:hint="default" w:ascii="Times New Roman" w:hAnsi="Times New Roman" w:eastAsia="黑体" w:cs="Times New Roman"/>
          <w:sz w:val="32"/>
          <w:szCs w:val="32"/>
          <w:lang w:eastAsia="zh-CN"/>
        </w:rPr>
      </w:pPr>
      <w:r>
        <w:rPr>
          <w:rFonts w:hint="default" w:ascii="Times New Roman" w:hAnsi="Times New Roman" w:eastAsia="黑体" w:cs="Times New Roman"/>
          <w:sz w:val="32"/>
          <w:szCs w:val="32"/>
          <w:lang w:eastAsia="zh-CN"/>
        </w:rPr>
        <w:t>六、其他事项</w:t>
      </w:r>
    </w:p>
    <w:p>
      <w:pPr>
        <w:widowControl w:val="0"/>
        <w:kinsoku/>
        <w:spacing w:line="560" w:lineRule="exact"/>
        <w:ind w:firstLine="640" w:firstLineChars="200"/>
        <w:jc w:val="both"/>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本申报指南由梅州市梅县区农业农村局负责解释。</w:t>
      </w:r>
    </w:p>
    <w:p>
      <w:pPr>
        <w:widowControl w:val="0"/>
        <w:kinsoku/>
        <w:spacing w:line="560" w:lineRule="exact"/>
        <w:ind w:firstLine="640" w:firstLineChars="200"/>
        <w:jc w:val="both"/>
        <w:rPr>
          <w:rFonts w:hint="default" w:ascii="Times New Roman" w:hAnsi="Times New Roman" w:eastAsia="仿宋_GB2312" w:cs="Times New Roman"/>
          <w:sz w:val="32"/>
          <w:szCs w:val="32"/>
          <w:lang w:eastAsia="zh-CN"/>
        </w:rPr>
      </w:pPr>
    </w:p>
    <w:p>
      <w:pPr>
        <w:widowControl w:val="0"/>
        <w:kinsoku/>
        <w:spacing w:line="560" w:lineRule="exact"/>
        <w:ind w:firstLine="640" w:firstLineChars="200"/>
        <w:jc w:val="both"/>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附件</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lang w:eastAsia="zh-CN"/>
        </w:rPr>
        <w:t>1.项目申报书</w:t>
      </w:r>
    </w:p>
    <w:p>
      <w:pPr>
        <w:widowControl w:val="0"/>
        <w:kinsoku/>
        <w:spacing w:line="560" w:lineRule="exact"/>
        <w:ind w:firstLine="1600" w:firstLineChars="500"/>
        <w:jc w:val="both"/>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2.项目承诺书</w:t>
      </w:r>
    </w:p>
    <w:p>
      <w:pPr>
        <w:widowControl w:val="0"/>
        <w:spacing w:line="560" w:lineRule="exact"/>
        <w:ind w:firstLine="640" w:firstLineChars="200"/>
        <w:jc w:val="right"/>
        <w:rPr>
          <w:rFonts w:hint="default" w:ascii="Times New Roman" w:hAnsi="Times New Roman" w:eastAsia="仿宋_GB2312" w:cs="Times New Roman"/>
          <w:sz w:val="32"/>
          <w:szCs w:val="32"/>
          <w:lang w:eastAsia="zh-CN"/>
        </w:rPr>
      </w:pPr>
    </w:p>
    <w:p>
      <w:pPr>
        <w:widowControl w:val="0"/>
        <w:spacing w:line="560" w:lineRule="exact"/>
        <w:ind w:firstLine="640" w:firstLineChars="200"/>
        <w:jc w:val="right"/>
        <w:rPr>
          <w:rFonts w:hint="default" w:ascii="Times New Roman" w:hAnsi="Times New Roman" w:eastAsia="仿宋_GB2312" w:cs="Times New Roman"/>
          <w:sz w:val="32"/>
          <w:szCs w:val="32"/>
          <w:lang w:eastAsia="zh-CN"/>
        </w:rPr>
      </w:pPr>
      <w:bookmarkStart w:id="0" w:name="_GoBack"/>
      <w:bookmarkEnd w:id="0"/>
    </w:p>
    <w:p>
      <w:pPr>
        <w:widowControl w:val="0"/>
        <w:spacing w:line="560" w:lineRule="exact"/>
        <w:ind w:firstLine="640" w:firstLineChars="200"/>
        <w:jc w:val="center"/>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 xml:space="preserve"> </w:t>
      </w:r>
    </w:p>
    <w:sectPr>
      <w:footerReference r:id="rId3" w:type="default"/>
      <w:pgSz w:w="11906" w:h="16839"/>
      <w:pgMar w:top="1440" w:right="1474" w:bottom="1440" w:left="1474" w:header="0" w:footer="907" w:gutter="0"/>
      <w:cols w:space="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sz w:val="28"/>
        <w:szCs w:val="28"/>
      </w:rPr>
    </w:pPr>
    <w:r>
      <w:rPr>
        <w:sz w:val="28"/>
      </w:rPr>
      <w:pict>
        <v:shape id="_x0000_s1027" o:spid="_x0000_s102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5"/>
                </w:pPr>
                <w:r>
                  <w:fldChar w:fldCharType="begin"/>
                </w:r>
                <w:r>
                  <w:instrText xml:space="preserve"> PAGE  \* MERGEFORMAT </w:instrText>
                </w:r>
                <w:r>
                  <w:fldChar w:fldCharType="separate"/>
                </w:r>
                <w:r>
                  <w:t>12</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drawingGridHorizontalSpacing w:val="105"/>
  <w:displayHorizontalDrawingGridEvery w:val="2"/>
  <w:characterSpacingControl w:val="doNotCompress"/>
  <w:hdrShapeDefaults>
    <o:shapelayout v:ext="edit">
      <o:idmap v:ext="edit" data="1"/>
    </o:shapelayout>
  </w:hdrShapeDefaults>
  <w:compat>
    <w:spaceForUL/>
    <w:ulTrailSpace/>
    <w:useFELayout/>
    <w:compatSetting w:name="compatibilityMode" w:uri="http://schemas.microsoft.com/office/word" w:val="12"/>
  </w:compat>
  <w:docVars>
    <w:docVar w:name="commondata" w:val="eyJoZGlkIjoiOGU0NTI4Mzk1MjQ3YWZjOTJiNDJkMGExNWI2ZDY4YmIifQ=="/>
  </w:docVars>
  <w:rsids>
    <w:rsidRoot w:val="00C21BC0"/>
    <w:rsid w:val="000641F5"/>
    <w:rsid w:val="00093FD7"/>
    <w:rsid w:val="000E6DE2"/>
    <w:rsid w:val="00112F48"/>
    <w:rsid w:val="00154CA5"/>
    <w:rsid w:val="00314809"/>
    <w:rsid w:val="00366182"/>
    <w:rsid w:val="003861C6"/>
    <w:rsid w:val="003878E9"/>
    <w:rsid w:val="004343F5"/>
    <w:rsid w:val="004A642A"/>
    <w:rsid w:val="004D0F03"/>
    <w:rsid w:val="004E735B"/>
    <w:rsid w:val="005367D9"/>
    <w:rsid w:val="00661D8D"/>
    <w:rsid w:val="006856FE"/>
    <w:rsid w:val="00732E2A"/>
    <w:rsid w:val="007C4376"/>
    <w:rsid w:val="00862B84"/>
    <w:rsid w:val="00985EDD"/>
    <w:rsid w:val="009B2585"/>
    <w:rsid w:val="009D6193"/>
    <w:rsid w:val="009F752F"/>
    <w:rsid w:val="00A545A0"/>
    <w:rsid w:val="00A918AA"/>
    <w:rsid w:val="00AF0945"/>
    <w:rsid w:val="00B30FCB"/>
    <w:rsid w:val="00B66BAB"/>
    <w:rsid w:val="00B82B5E"/>
    <w:rsid w:val="00B95A5C"/>
    <w:rsid w:val="00C10B09"/>
    <w:rsid w:val="00C21BC0"/>
    <w:rsid w:val="00C73218"/>
    <w:rsid w:val="00D07C30"/>
    <w:rsid w:val="00DF1E45"/>
    <w:rsid w:val="00EA5F2F"/>
    <w:rsid w:val="00FA4B38"/>
    <w:rsid w:val="00FB2756"/>
    <w:rsid w:val="00FD5846"/>
    <w:rsid w:val="01B8456A"/>
    <w:rsid w:val="025C1772"/>
    <w:rsid w:val="030B47EA"/>
    <w:rsid w:val="03412F6A"/>
    <w:rsid w:val="03C67ADF"/>
    <w:rsid w:val="04E749E3"/>
    <w:rsid w:val="05A466AB"/>
    <w:rsid w:val="05C25AB0"/>
    <w:rsid w:val="06577E59"/>
    <w:rsid w:val="073D6DBF"/>
    <w:rsid w:val="090E6DE2"/>
    <w:rsid w:val="0A4540AC"/>
    <w:rsid w:val="0AD95E5A"/>
    <w:rsid w:val="0C536B2B"/>
    <w:rsid w:val="0C896304"/>
    <w:rsid w:val="0E87375B"/>
    <w:rsid w:val="0E9D2F35"/>
    <w:rsid w:val="0EC52649"/>
    <w:rsid w:val="0F5B3FD5"/>
    <w:rsid w:val="0FA37CB2"/>
    <w:rsid w:val="11A02C31"/>
    <w:rsid w:val="122F3E7F"/>
    <w:rsid w:val="1B415A0B"/>
    <w:rsid w:val="1CDA374B"/>
    <w:rsid w:val="1D623693"/>
    <w:rsid w:val="1E8B580D"/>
    <w:rsid w:val="2071599A"/>
    <w:rsid w:val="211A5401"/>
    <w:rsid w:val="212E5E1B"/>
    <w:rsid w:val="21717AB6"/>
    <w:rsid w:val="21BF39AE"/>
    <w:rsid w:val="237815D0"/>
    <w:rsid w:val="244F0582"/>
    <w:rsid w:val="25D61B27"/>
    <w:rsid w:val="26684C8B"/>
    <w:rsid w:val="267B1C9E"/>
    <w:rsid w:val="280F052A"/>
    <w:rsid w:val="2A5516A7"/>
    <w:rsid w:val="2C0C2461"/>
    <w:rsid w:val="2DA71D86"/>
    <w:rsid w:val="31421AD7"/>
    <w:rsid w:val="32E225C2"/>
    <w:rsid w:val="337C2C6B"/>
    <w:rsid w:val="356016F5"/>
    <w:rsid w:val="35C81F43"/>
    <w:rsid w:val="379C3687"/>
    <w:rsid w:val="37A7406B"/>
    <w:rsid w:val="3F3460CC"/>
    <w:rsid w:val="3FEC29B3"/>
    <w:rsid w:val="4004000C"/>
    <w:rsid w:val="414919CC"/>
    <w:rsid w:val="441A66FE"/>
    <w:rsid w:val="4588349D"/>
    <w:rsid w:val="462074BE"/>
    <w:rsid w:val="46CB53EF"/>
    <w:rsid w:val="47AF6ABF"/>
    <w:rsid w:val="47BC5F5B"/>
    <w:rsid w:val="49C1138B"/>
    <w:rsid w:val="4B8244EA"/>
    <w:rsid w:val="4CE95E5F"/>
    <w:rsid w:val="4E2F147C"/>
    <w:rsid w:val="4E5C4BE5"/>
    <w:rsid w:val="50067498"/>
    <w:rsid w:val="5137077B"/>
    <w:rsid w:val="525E180D"/>
    <w:rsid w:val="5AA13B8C"/>
    <w:rsid w:val="5AF135D6"/>
    <w:rsid w:val="5B80794F"/>
    <w:rsid w:val="5B857E0A"/>
    <w:rsid w:val="5DED613B"/>
    <w:rsid w:val="5E310521"/>
    <w:rsid w:val="5E703DB3"/>
    <w:rsid w:val="61D75138"/>
    <w:rsid w:val="632A4928"/>
    <w:rsid w:val="64C45A20"/>
    <w:rsid w:val="665949B9"/>
    <w:rsid w:val="681562AD"/>
    <w:rsid w:val="69366BE8"/>
    <w:rsid w:val="6B8A116F"/>
    <w:rsid w:val="6E6935BC"/>
    <w:rsid w:val="6FD35191"/>
    <w:rsid w:val="6FDC36D0"/>
    <w:rsid w:val="700014CC"/>
    <w:rsid w:val="73944647"/>
    <w:rsid w:val="73BC23E0"/>
    <w:rsid w:val="78D222AD"/>
    <w:rsid w:val="79F67B8A"/>
    <w:rsid w:val="7A477088"/>
    <w:rsid w:val="7A594AB6"/>
    <w:rsid w:val="7AF32E6D"/>
    <w:rsid w:val="7B21213A"/>
    <w:rsid w:val="7FE743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Theme="minorEastAsia"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spacing w:after="0" w:line="360" w:lineRule="auto"/>
      <w:ind w:left="492" w:leftChars="0" w:firstLine="420" w:firstLineChars="200"/>
    </w:pPr>
    <w:rPr>
      <w:rFonts w:ascii="仿宋_GB2312" w:hAnsi="宋体" w:eastAsia="仿宋_GB2312" w:cs="Times New Roman"/>
      <w:sz w:val="30"/>
    </w:rPr>
  </w:style>
  <w:style w:type="paragraph" w:styleId="3">
    <w:name w:val="Body Text Indent"/>
    <w:basedOn w:val="1"/>
    <w:unhideWhenUsed/>
    <w:qFormat/>
    <w:uiPriority w:val="99"/>
    <w:pPr>
      <w:spacing w:after="120"/>
      <w:ind w:left="420" w:leftChars="200"/>
    </w:pPr>
  </w:style>
  <w:style w:type="paragraph" w:styleId="4">
    <w:name w:val="Body Text"/>
    <w:basedOn w:val="1"/>
    <w:semiHidden/>
    <w:qFormat/>
    <w:uiPriority w:val="0"/>
    <w:rPr>
      <w:rFonts w:ascii="仿宋" w:hAnsi="仿宋" w:eastAsia="仿宋" w:cs="仿宋"/>
      <w:sz w:val="31"/>
      <w:szCs w:val="31"/>
    </w:rPr>
  </w:style>
  <w:style w:type="paragraph" w:styleId="5">
    <w:name w:val="footer"/>
    <w:basedOn w:val="1"/>
    <w:qFormat/>
    <w:uiPriority w:val="0"/>
    <w:pPr>
      <w:tabs>
        <w:tab w:val="center" w:pos="4153"/>
        <w:tab w:val="right" w:pos="8306"/>
      </w:tabs>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paragraph" w:styleId="7">
    <w:name w:val="Normal (Web)"/>
    <w:basedOn w:val="1"/>
    <w:unhideWhenUsed/>
    <w:qFormat/>
    <w:uiPriority w:val="99"/>
    <w:pPr>
      <w:spacing w:before="100" w:beforeAutospacing="1" w:after="100" w:afterAutospacing="1"/>
    </w:pPr>
    <w:rPr>
      <w:rFonts w:ascii="宋体" w:hAnsi="宋体" w:eastAsia="宋体" w:cs="宋体"/>
      <w:sz w:val="24"/>
      <w:szCs w:val="24"/>
    </w:rPr>
  </w:style>
  <w:style w:type="character" w:styleId="10">
    <w:name w:val="Hyperlink"/>
    <w:basedOn w:val="9"/>
    <w:qFormat/>
    <w:uiPriority w:val="0"/>
    <w:rPr>
      <w:color w:val="0000FF" w:themeColor="hyperlink"/>
      <w:u w:val="single"/>
    </w:rPr>
  </w:style>
  <w:style w:type="table" w:customStyle="1" w:styleId="11">
    <w:name w:val="Table Normal"/>
    <w:semiHidden/>
    <w:unhideWhenUsed/>
    <w:qFormat/>
    <w:uiPriority w:val="0"/>
    <w:tblPr>
      <w:tblCellMar>
        <w:top w:w="0" w:type="dxa"/>
        <w:left w:w="0" w:type="dxa"/>
        <w:bottom w:w="0" w:type="dxa"/>
        <w:right w:w="0" w:type="dxa"/>
      </w:tblCellMar>
    </w:tblPr>
  </w:style>
  <w:style w:type="paragraph" w:customStyle="1" w:styleId="12">
    <w:name w:val="Table Text"/>
    <w:basedOn w:val="1"/>
    <w:semiHidden/>
    <w:qFormat/>
    <w:uiPriority w:val="0"/>
    <w:rPr>
      <w:rFonts w:ascii="仿宋" w:hAnsi="仿宋" w:eastAsia="仿宋" w:cs="仿宋"/>
      <w:sz w:val="28"/>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2643</Words>
  <Characters>2739</Characters>
  <Lines>43</Lines>
  <Paragraphs>12</Paragraphs>
  <TotalTime>9</TotalTime>
  <ScaleCrop>false</ScaleCrop>
  <LinksUpToDate>false</LinksUpToDate>
  <CharactersWithSpaces>2740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2022-11-15T11:47:00Z</dcterms:created>
  <dc:creator>李怡欢</dc:creator>
  <cp:lastModifiedBy>打字室女工</cp:lastModifiedBy>
  <cp:lastPrinted>2025-08-29T07:49:00Z</cp:lastPrinted>
  <dcterms:modified xsi:type="dcterms:W3CDTF">2025-09-03T03:07:17Z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2024-03-04T09:44:57Z</vt:filetime>
  </property>
  <property fmtid="{D5CDD505-2E9C-101B-9397-08002B2CF9AE}" pid="4" name="KSOProductBuildVer">
    <vt:lpwstr>2052-11.1.0.10700</vt:lpwstr>
  </property>
  <property fmtid="{D5CDD505-2E9C-101B-9397-08002B2CF9AE}" pid="5" name="ICV">
    <vt:lpwstr>9B470BC7D4764F769EF245F0391CF8AC_13</vt:lpwstr>
  </property>
</Properties>
</file>