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rPr>
          <w:rFonts w:ascii="黑体" w:hAnsi="黑体" w:eastAsia="黑体"/>
          <w:sz w:val="32"/>
          <w:szCs w:val="32"/>
        </w:rPr>
      </w:pPr>
      <w:r>
        <w:rPr>
          <w:rFonts w:hint="eastAsia" w:ascii="黑体" w:hAnsi="黑体" w:eastAsia="黑体"/>
          <w:sz w:val="32"/>
          <w:szCs w:val="32"/>
        </w:rPr>
        <w:t>附件1</w:t>
      </w:r>
    </w:p>
    <w:p>
      <w:pPr>
        <w:pStyle w:val="4"/>
        <w:shd w:val="clear" w:color="auto" w:fill="FFFFFF"/>
        <w:spacing w:before="0" w:beforeAutospacing="0" w:after="0" w:afterAutospacing="0" w:line="560" w:lineRule="exact"/>
        <w:rPr>
          <w:rFonts w:ascii="黑体" w:hAnsi="黑体" w:eastAsia="黑体"/>
          <w:sz w:val="32"/>
          <w:szCs w:val="32"/>
        </w:rPr>
      </w:pPr>
    </w:p>
    <w:p>
      <w:pPr>
        <w:spacing w:line="560" w:lineRule="exact"/>
        <w:jc w:val="center"/>
        <w:rPr>
          <w:rFonts w:ascii="方正小标宋简体" w:eastAsia="方正小标宋简体" w:hAnsiTheme="minorEastAsia"/>
          <w:sz w:val="44"/>
          <w:szCs w:val="44"/>
        </w:rPr>
      </w:pPr>
      <w:r>
        <w:rPr>
          <w:rFonts w:hint="eastAsia" w:ascii="方正小标宋简体" w:hAnsi="方正小标宋简体" w:eastAsia="方正小标宋简体"/>
          <w:spacing w:val="-10"/>
          <w:sz w:val="44"/>
          <w:szCs w:val="44"/>
        </w:rPr>
        <w:t>2025年梅县区</w:t>
      </w:r>
      <w:r>
        <w:rPr>
          <w:rFonts w:hint="eastAsia" w:ascii="方正小标宋简体" w:eastAsia="方正小标宋简体" w:hAnsiTheme="minorEastAsia"/>
          <w:sz w:val="44"/>
          <w:szCs w:val="44"/>
        </w:rPr>
        <w:t>粮油（水稻）规模种植主体</w:t>
      </w:r>
    </w:p>
    <w:p>
      <w:pPr>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单产提升</w:t>
      </w:r>
      <w:r>
        <w:rPr>
          <w:rFonts w:hint="eastAsia" w:ascii="方正小标宋简体" w:hAnsi="方正小标宋简体" w:eastAsia="方正小标宋简体"/>
          <w:spacing w:val="-10"/>
          <w:sz w:val="44"/>
          <w:szCs w:val="44"/>
        </w:rPr>
        <w:t>项目申报指南</w:t>
      </w:r>
    </w:p>
    <w:p>
      <w:pPr>
        <w:pStyle w:val="4"/>
        <w:shd w:val="clear" w:color="auto" w:fill="FFFFFF"/>
        <w:spacing w:before="0" w:beforeAutospacing="0" w:after="0" w:afterAutospacing="0" w:line="560" w:lineRule="exact"/>
        <w:jc w:val="center"/>
        <w:rPr>
          <w:rFonts w:ascii="仿宋_GB2312" w:eastAsia="仿宋_GB2312"/>
          <w:sz w:val="32"/>
          <w:szCs w:val="32"/>
        </w:rPr>
      </w:pPr>
    </w:p>
    <w:p>
      <w:pPr>
        <w:pStyle w:val="8"/>
        <w:numPr>
          <w:ilvl w:val="0"/>
          <w:numId w:val="1"/>
        </w:numPr>
        <w:spacing w:line="560" w:lineRule="exact"/>
        <w:ind w:right="81" w:firstLineChars="0"/>
        <w:rPr>
          <w:rFonts w:ascii="黑体" w:hAnsi="黑体" w:eastAsia="黑体"/>
          <w:kern w:val="0"/>
          <w:sz w:val="32"/>
          <w:szCs w:val="32"/>
        </w:rPr>
      </w:pPr>
      <w:r>
        <w:rPr>
          <w:rFonts w:hint="eastAsia" w:ascii="黑体" w:hAnsi="黑体" w:eastAsia="黑体"/>
          <w:kern w:val="0"/>
          <w:sz w:val="32"/>
          <w:szCs w:val="32"/>
        </w:rPr>
        <w:t>项目内容</w:t>
      </w:r>
    </w:p>
    <w:p>
      <w:pPr>
        <w:spacing w:line="560" w:lineRule="exact"/>
        <w:ind w:right="81" w:firstLine="640" w:firstLineChars="200"/>
        <w:rPr>
          <w:rFonts w:ascii="仿宋_GB2312" w:hAnsi="仿宋_GB2312" w:eastAsia="仿宋_GB2312" w:cs="仿宋_GB2312"/>
          <w:kern w:val="0"/>
          <w:sz w:val="32"/>
          <w:szCs w:val="32"/>
        </w:rPr>
      </w:pPr>
      <w:r>
        <w:rPr>
          <w:rFonts w:hint="eastAsia" w:ascii="仿宋_GB2312" w:eastAsia="仿宋_GB2312" w:hAnsiTheme="minorEastAsia"/>
          <w:color w:val="000000"/>
          <w:sz w:val="32"/>
          <w:szCs w:val="32"/>
        </w:rPr>
        <w:t>2025年在我区落实粮油（水稻）规模种植主体单产提升面积1.2万亩次，补助资金60万元，每亩补助不超过50元，</w:t>
      </w:r>
      <w:r>
        <w:rPr>
          <w:rFonts w:hint="eastAsia" w:ascii="仿宋_GB2312" w:eastAsia="仿宋_GB2312" w:hAnsiTheme="minorEastAsia"/>
          <w:sz w:val="32"/>
          <w:szCs w:val="32"/>
        </w:rPr>
        <w:t>每个规模种粮主体补助金额最高不超过10万元。</w:t>
      </w:r>
      <w:r>
        <w:rPr>
          <w:rFonts w:hint="eastAsia" w:ascii="仿宋_GB2312" w:eastAsia="仿宋_GB2312" w:hAnsiTheme="minorEastAsia"/>
          <w:color w:val="000000" w:themeColor="text1"/>
          <w:sz w:val="32"/>
          <w:szCs w:val="32"/>
          <w14:textFill>
            <w14:solidFill>
              <w14:schemeClr w14:val="tx1"/>
            </w14:solidFill>
          </w14:textFill>
        </w:rPr>
        <w:t>主要推广</w:t>
      </w:r>
      <w:r>
        <w:rPr>
          <w:rFonts w:hint="eastAsia" w:ascii="仿宋_GB2312" w:hAnsi="仿宋_GB2312" w:eastAsia="仿宋_GB2312" w:cs="仿宋_GB2312"/>
          <w:kern w:val="0"/>
          <w:sz w:val="32"/>
          <w:szCs w:val="32"/>
        </w:rPr>
        <w:t>高产优质水稻品种或加工专用型品种，因地制宜增加亩均栽插密度，提高机械平整地和机插机抛作业水平，持续推进机插侧深施肥减量化，推广“一喷多促”技术；加强水稻“三虫两病一螺”综合防治和台风、洪涝等气象灾害防御减损及灾后补种。大力推广工厂化集中育秧，减少直播稻。</w:t>
      </w:r>
    </w:p>
    <w:p>
      <w:pPr>
        <w:spacing w:line="560" w:lineRule="exact"/>
        <w:ind w:right="81" w:firstLine="640" w:firstLineChars="200"/>
        <w:rPr>
          <w:rFonts w:ascii="黑体" w:hAnsi="黑体" w:eastAsia="黑体"/>
          <w:kern w:val="0"/>
          <w:sz w:val="32"/>
          <w:szCs w:val="32"/>
        </w:rPr>
      </w:pPr>
      <w:r>
        <w:rPr>
          <w:rFonts w:hint="eastAsia" w:ascii="黑体" w:hAnsi="黑体" w:eastAsia="黑体"/>
          <w:kern w:val="0"/>
          <w:sz w:val="32"/>
          <w:szCs w:val="32"/>
        </w:rPr>
        <w:t>二、申报要求</w:t>
      </w:r>
    </w:p>
    <w:p>
      <w:pPr>
        <w:spacing w:line="560" w:lineRule="exact"/>
        <w:ind w:firstLine="627" w:firstLineChars="196"/>
        <w:rPr>
          <w:rFonts w:ascii="楷体" w:hAnsi="楷体" w:eastAsia="楷体"/>
          <w:sz w:val="32"/>
          <w:szCs w:val="32"/>
        </w:rPr>
      </w:pPr>
      <w:r>
        <w:rPr>
          <w:rFonts w:hint="eastAsia" w:ascii="楷体" w:hAnsi="楷体" w:eastAsia="楷体"/>
          <w:sz w:val="32"/>
          <w:szCs w:val="32"/>
        </w:rPr>
        <w:t>(一)申报范围</w:t>
      </w:r>
    </w:p>
    <w:p>
      <w:pPr>
        <w:adjustRightInd w:val="0"/>
        <w:snapToGrid w:val="0"/>
        <w:spacing w:line="560" w:lineRule="exact"/>
        <w:ind w:firstLine="640" w:firstLineChars="200"/>
        <w:rPr>
          <w:rFonts w:ascii="仿宋_GB2312" w:hAnsi="仿宋_GB2312" w:eastAsia="仿宋_GB2312" w:cs="仿宋_GB2312"/>
          <w:snapToGrid w:val="0"/>
          <w:kern w:val="0"/>
          <w:sz w:val="32"/>
          <w:szCs w:val="32"/>
          <w:shd w:val="clear" w:color="auto" w:fill="FFFFFF"/>
        </w:rPr>
      </w:pPr>
      <w:r>
        <w:rPr>
          <w:rFonts w:hint="eastAsia" w:ascii="仿宋_GB2312" w:eastAsia="仿宋_GB2312" w:hAnsiTheme="minorEastAsia"/>
          <w:sz w:val="32"/>
          <w:szCs w:val="32"/>
        </w:rPr>
        <w:t>梅县区</w:t>
      </w:r>
      <w:r>
        <w:rPr>
          <w:rFonts w:hint="eastAsia" w:ascii="仿宋_GB2312" w:hAnsi="仿宋_GB2312" w:eastAsia="仿宋_GB2312" w:cs="仿宋_GB2312"/>
          <w:snapToGrid w:val="0"/>
          <w:kern w:val="0"/>
          <w:sz w:val="32"/>
          <w:szCs w:val="32"/>
          <w:shd w:val="clear" w:color="auto" w:fill="FFFFFF"/>
        </w:rPr>
        <w:t>从事粮油规模种植的大户、家庭农场、农民合作社、农业企业等农业经营主体，以及组织粮油规模种植且实际承担粮油生产成本的村集体经济组织。已承担2025年中央财政绿色高产高效行动等类似项目任务的主体不得重复申报，为其他主体和农户开展托管的社会化服务面积不作为奖补对象种植面积。</w:t>
      </w:r>
    </w:p>
    <w:p>
      <w:pPr>
        <w:spacing w:line="560" w:lineRule="exact"/>
        <w:ind w:firstLine="627" w:firstLineChars="196"/>
        <w:rPr>
          <w:rFonts w:ascii="楷体" w:hAnsi="楷体" w:eastAsia="楷体"/>
          <w:sz w:val="32"/>
          <w:szCs w:val="32"/>
        </w:rPr>
      </w:pPr>
      <w:r>
        <w:rPr>
          <w:rFonts w:hint="eastAsia" w:ascii="楷体" w:hAnsi="楷体" w:eastAsia="楷体"/>
          <w:sz w:val="32"/>
          <w:szCs w:val="32"/>
        </w:rPr>
        <w:t>(二)申报程序</w:t>
      </w:r>
    </w:p>
    <w:p>
      <w:pPr>
        <w:pStyle w:val="4"/>
        <w:shd w:val="clear" w:color="auto" w:fill="FFFFFF"/>
        <w:spacing w:before="0" w:beforeAutospacing="0" w:after="0" w:afterAutospacing="0" w:line="560" w:lineRule="exact"/>
        <w:ind w:firstLine="627" w:firstLineChars="196"/>
        <w:rPr>
          <w:rFonts w:ascii="仿宋_GB2312" w:eastAsia="仿宋_GB2312"/>
          <w:sz w:val="32"/>
          <w:szCs w:val="32"/>
        </w:rPr>
      </w:pPr>
      <w:r>
        <w:rPr>
          <w:rFonts w:hint="eastAsia" w:ascii="仿宋_GB2312" w:hAnsi="仿宋_GB2312" w:eastAsia="仿宋_GB2312"/>
          <w:sz w:val="32"/>
          <w:szCs w:val="32"/>
        </w:rPr>
        <w:t>申报主体</w:t>
      </w:r>
      <w:r>
        <w:rPr>
          <w:rFonts w:hint="eastAsia" w:ascii="仿宋_GB2312" w:hAnsi="楷体_GB2312" w:eastAsia="仿宋_GB2312"/>
          <w:sz w:val="32"/>
          <w:szCs w:val="32"/>
        </w:rPr>
        <w:t>于6月18日前</w:t>
      </w:r>
      <w:r>
        <w:rPr>
          <w:rFonts w:hint="eastAsia" w:ascii="仿宋_GB2312" w:hAnsi="仿宋_GB2312" w:eastAsia="仿宋_GB2312"/>
          <w:sz w:val="32"/>
          <w:szCs w:val="32"/>
        </w:rPr>
        <w:t>向各镇提出申请，经各镇审核盖章后于6月20日前推荐上报区农业农村局。</w:t>
      </w:r>
    </w:p>
    <w:p>
      <w:pPr>
        <w:pStyle w:val="4"/>
        <w:shd w:val="clear" w:color="auto" w:fill="FFFFFF"/>
        <w:spacing w:before="0" w:beforeAutospacing="0" w:after="0" w:afterAutospacing="0" w:line="560" w:lineRule="exact"/>
        <w:ind w:firstLine="640" w:firstLineChars="200"/>
        <w:rPr>
          <w:rFonts w:ascii="楷体" w:hAnsi="楷体" w:eastAsia="楷体" w:cstheme="minorBidi"/>
          <w:kern w:val="2"/>
          <w:sz w:val="32"/>
          <w:szCs w:val="32"/>
        </w:rPr>
      </w:pPr>
      <w:r>
        <w:rPr>
          <w:rFonts w:hint="eastAsia" w:ascii="楷体" w:hAnsi="楷体" w:eastAsia="楷体" w:cstheme="minorBidi"/>
          <w:kern w:val="2"/>
          <w:sz w:val="32"/>
          <w:szCs w:val="32"/>
        </w:rPr>
        <w:t>(三)申报条件</w:t>
      </w:r>
    </w:p>
    <w:p>
      <w:pPr>
        <w:spacing w:line="560" w:lineRule="exact"/>
        <w:rPr>
          <w:rFonts w:ascii="仿宋_GB2312" w:eastAsia="仿宋_GB2312"/>
          <w:sz w:val="32"/>
          <w:szCs w:val="32"/>
        </w:rPr>
      </w:pPr>
      <w:r>
        <w:rPr>
          <w:rFonts w:hint="eastAsia" w:ascii="仿宋_GB2312" w:hAnsi="仿宋_GB2312" w:eastAsia="仿宋_GB2312"/>
          <w:sz w:val="32"/>
          <w:szCs w:val="32"/>
        </w:rPr>
        <w:t xml:space="preserve">    1.</w:t>
      </w:r>
      <w:r>
        <w:rPr>
          <w:rFonts w:hint="eastAsia" w:ascii="仿宋_GB2312" w:hAnsi="宋体" w:eastAsia="仿宋_GB2312"/>
          <w:sz w:val="32"/>
          <w:szCs w:val="32"/>
        </w:rPr>
        <w:t>从事粮油规模种植生产的大户、家庭农场、农民合作社、农业企业等农业经营主体，</w:t>
      </w:r>
      <w:r>
        <w:rPr>
          <w:rFonts w:hint="eastAsia" w:ascii="仿宋_GB2312" w:hAnsi="仿宋_GB2312" w:eastAsia="仿宋_GB2312" w:cs="仿宋_GB2312"/>
          <w:snapToGrid w:val="0"/>
          <w:kern w:val="0"/>
          <w:sz w:val="32"/>
          <w:szCs w:val="32"/>
          <w:shd w:val="clear" w:color="auto" w:fill="FFFFFF"/>
        </w:rPr>
        <w:t>以及组织粮油规模种植且实际承担粮油生产成本的村集体经济组织。</w:t>
      </w:r>
      <w:r>
        <w:rPr>
          <w:rFonts w:hint="eastAsia" w:ascii="仿宋_GB2312" w:hAnsi="宋体" w:eastAsia="仿宋_GB2312"/>
          <w:sz w:val="32"/>
          <w:szCs w:val="32"/>
        </w:rPr>
        <w:t>种植基地10亩及以上，符合适度规模经营且种植水稻。</w:t>
      </w:r>
    </w:p>
    <w:p>
      <w:pPr>
        <w:spacing w:line="560" w:lineRule="exact"/>
        <w:ind w:left="12" w:right="30" w:firstLine="640" w:firstLineChars="200"/>
        <w:rPr>
          <w:rFonts w:ascii="仿宋_GB2312" w:hAnsi="仿宋_GB2312" w:eastAsia="仿宋_GB2312" w:cs="仿宋_GB2312"/>
          <w:snapToGrid w:val="0"/>
          <w:kern w:val="0"/>
          <w:sz w:val="32"/>
          <w:szCs w:val="32"/>
          <w:shd w:val="clear" w:color="auto" w:fill="FFFFFF"/>
        </w:rPr>
      </w:pPr>
      <w:r>
        <w:rPr>
          <w:rFonts w:hint="eastAsia" w:ascii="仿宋_GB2312" w:hAnsi="仿宋_GB2312" w:eastAsia="仿宋_GB2312" w:cs="宋体"/>
          <w:kern w:val="0"/>
          <w:sz w:val="32"/>
          <w:szCs w:val="32"/>
        </w:rPr>
        <w:t>2.</w:t>
      </w:r>
      <w:r>
        <w:rPr>
          <w:rFonts w:hint="eastAsia" w:ascii="仿宋_GB2312" w:hAnsi="宋体" w:eastAsia="仿宋_GB2312"/>
          <w:sz w:val="32"/>
          <w:szCs w:val="32"/>
        </w:rPr>
        <w:t>种植基地具有区位优势明显、交通方便、土质肥沃、排灌良好等较完善的种植管理条件，水稻单产提升能力较强</w:t>
      </w:r>
      <w:r>
        <w:rPr>
          <w:rFonts w:hint="eastAsia" w:ascii="仿宋_GB2312" w:hAnsi="仿宋_GB2312" w:eastAsia="仿宋_GB2312" w:cs="宋体"/>
          <w:kern w:val="0"/>
          <w:sz w:val="32"/>
          <w:szCs w:val="32"/>
        </w:rPr>
        <w:t>。</w:t>
      </w:r>
      <w:r>
        <w:rPr>
          <w:rFonts w:hint="eastAsia" w:ascii="仿宋_GB2312" w:hAnsi="仿宋_GB2312" w:eastAsia="仿宋_GB2312" w:cs="仿宋_GB2312"/>
          <w:snapToGrid w:val="0"/>
          <w:kern w:val="0"/>
          <w:sz w:val="32"/>
          <w:szCs w:val="32"/>
          <w:shd w:val="clear" w:color="auto" w:fill="FFFFFF"/>
        </w:rPr>
        <w:t>单产提升目标应高于我区2024年晚稻平均单产水平1%以上。单产没有提升，或提升效果没有超过1%的，不作为奖补对象。</w:t>
      </w:r>
    </w:p>
    <w:p>
      <w:pPr>
        <w:spacing w:line="560" w:lineRule="exact"/>
        <w:ind w:left="12" w:right="30" w:firstLine="640" w:firstLineChars="200"/>
        <w:rPr>
          <w:rFonts w:ascii="仿宋_GB2312" w:eastAsia="仿宋_GB2312" w:cs="新宋体" w:hAnsiTheme="minorEastAsia"/>
          <w:spacing w:val="3"/>
          <w:sz w:val="32"/>
          <w:szCs w:val="32"/>
        </w:rPr>
      </w:pPr>
      <w:r>
        <w:rPr>
          <w:rFonts w:hint="eastAsia" w:ascii="仿宋_GB2312" w:hAnsi="仿宋_GB2312" w:eastAsia="仿宋_GB2312" w:cs="宋体"/>
          <w:kern w:val="0"/>
          <w:sz w:val="32"/>
          <w:szCs w:val="32"/>
        </w:rPr>
        <w:t>3.提供土地流转合同（复印件）或村委证明等相关佐证材料。</w:t>
      </w:r>
    </w:p>
    <w:p>
      <w:pPr>
        <w:spacing w:line="560" w:lineRule="exact"/>
        <w:ind w:left="12" w:right="30" w:firstLine="640" w:firstLineChars="200"/>
        <w:rPr>
          <w:rFonts w:ascii="仿宋_GB2312" w:eastAsia="仿宋_GB2312" w:cs="新宋体" w:hAnsiTheme="minorEastAsia"/>
          <w:spacing w:val="3"/>
          <w:sz w:val="32"/>
          <w:szCs w:val="32"/>
        </w:rPr>
      </w:pPr>
      <w:r>
        <w:rPr>
          <w:rFonts w:hint="eastAsia" w:ascii="黑体" w:hAnsi="黑体" w:eastAsia="黑体"/>
          <w:sz w:val="32"/>
          <w:szCs w:val="32"/>
        </w:rPr>
        <w:t>三、评审程序</w:t>
      </w:r>
    </w:p>
    <w:p>
      <w:pPr>
        <w:spacing w:line="560" w:lineRule="exact"/>
        <w:rPr>
          <w:rFonts w:ascii="仿宋_GB2312" w:eastAsia="仿宋_GB2312"/>
          <w:sz w:val="32"/>
          <w:szCs w:val="32"/>
        </w:rPr>
      </w:pPr>
      <w:r>
        <w:rPr>
          <w:rFonts w:hint="eastAsia" w:ascii="仿宋_GB2312" w:hAnsi="楷体_GB2312" w:eastAsia="仿宋_GB2312"/>
          <w:sz w:val="32"/>
          <w:szCs w:val="32"/>
        </w:rPr>
        <w:t xml:space="preserve">    （一）</w:t>
      </w:r>
      <w:r>
        <w:rPr>
          <w:rFonts w:hint="eastAsia" w:ascii="仿宋_GB2312" w:hAnsi="仿宋_GB2312" w:eastAsia="仿宋_GB2312"/>
          <w:sz w:val="32"/>
          <w:szCs w:val="32"/>
        </w:rPr>
        <w:t>区农业农村局汇总各镇推荐的实施主体，组织粮油（水稻）规模种植主体单产提升项目专家进行评审，通过评审的实施主体确定为项目拟入选承担单位。</w:t>
      </w:r>
    </w:p>
    <w:p>
      <w:pPr>
        <w:widowControl/>
        <w:shd w:val="clear" w:color="auto" w:fill="FFFFFF"/>
        <w:spacing w:line="560" w:lineRule="exact"/>
        <w:ind w:firstLine="640" w:firstLineChars="200"/>
        <w:rPr>
          <w:rFonts w:ascii="仿宋_GB2312" w:hAnsi="仿宋_GB2312" w:eastAsia="仿宋_GB2312"/>
          <w:sz w:val="32"/>
          <w:szCs w:val="32"/>
        </w:rPr>
      </w:pPr>
      <w:r>
        <w:rPr>
          <w:rFonts w:hint="eastAsia" w:ascii="仿宋_GB2312" w:hAnsi="楷体_GB2312" w:eastAsia="仿宋_GB2312"/>
          <w:sz w:val="32"/>
          <w:szCs w:val="32"/>
        </w:rPr>
        <w:t>（二）</w:t>
      </w:r>
      <w:r>
        <w:rPr>
          <w:rFonts w:hint="eastAsia" w:ascii="仿宋_GB2312" w:hAnsi="仿宋_GB2312" w:eastAsia="仿宋_GB2312"/>
          <w:sz w:val="32"/>
          <w:szCs w:val="32"/>
        </w:rPr>
        <w:t>项目拟入选承担单位在梅县区人民政府网站公示，公示无异议后提交区农业农村局党组会议研究确定。</w:t>
      </w:r>
    </w:p>
    <w:p>
      <w:pPr>
        <w:spacing w:line="560" w:lineRule="exact"/>
        <w:rPr>
          <w:rFonts w:ascii="仿宋_GB2312" w:hAnsi="黑体" w:eastAsia="仿宋_GB2312"/>
          <w:sz w:val="32"/>
          <w:szCs w:val="32"/>
        </w:rPr>
      </w:pPr>
    </w:p>
    <w:p>
      <w:pPr>
        <w:sectPr>
          <w:footerReference r:id="rId3" w:type="default"/>
          <w:pgSz w:w="11906" w:h="16838"/>
          <w:pgMar w:top="1440" w:right="1474" w:bottom="1318" w:left="1474" w:header="851" w:footer="992" w:gutter="0"/>
          <w:cols w:space="425" w:num="1"/>
          <w:titlePg/>
          <w:docGrid w:type="lines" w:linePitch="312" w:charSpace="0"/>
        </w:sectPr>
      </w:pPr>
    </w:p>
    <w:p>
      <w:pPr>
        <w:rPr>
          <w:rFonts w:ascii="黑体" w:hAnsi="黑体" w:eastAsia="黑体"/>
          <w:sz w:val="32"/>
          <w:szCs w:val="32"/>
        </w:rPr>
      </w:pPr>
      <w:r>
        <w:rPr>
          <w:rFonts w:hint="eastAsia" w:ascii="黑体" w:hAnsi="黑体" w:eastAsia="黑体"/>
          <w:sz w:val="32"/>
          <w:szCs w:val="32"/>
        </w:rPr>
        <w:t>附件2</w:t>
      </w:r>
    </w:p>
    <w:p>
      <w:pPr>
        <w:jc w:val="center"/>
        <w:rPr>
          <w:rFonts w:ascii="方正小标宋简体" w:eastAsia="方正小标宋简体"/>
          <w:sz w:val="44"/>
          <w:szCs w:val="44"/>
        </w:rPr>
      </w:pPr>
      <w:r>
        <w:rPr>
          <w:rFonts w:hint="eastAsia" w:ascii="方正小标宋简体" w:eastAsia="方正小标宋简体"/>
          <w:sz w:val="44"/>
          <w:szCs w:val="44"/>
        </w:rPr>
        <w:t>2025年梅县区粮油（水稻）规模种植主体单产提升项目实施主体推荐表</w:t>
      </w:r>
    </w:p>
    <w:p>
      <w:pPr>
        <w:rPr>
          <w:rFonts w:ascii="仿宋_GB2312" w:eastAsia="仿宋_GB2312"/>
          <w:sz w:val="28"/>
          <w:szCs w:val="28"/>
        </w:rPr>
      </w:pPr>
      <w:r>
        <w:rPr>
          <w:rFonts w:hint="eastAsia" w:ascii="仿宋_GB2312" w:eastAsia="仿宋_GB2312"/>
          <w:sz w:val="28"/>
          <w:szCs w:val="28"/>
        </w:rPr>
        <w:t>镇（盖章）              填报时间：              填报人：          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633"/>
        <w:gridCol w:w="1172"/>
        <w:gridCol w:w="1466"/>
        <w:gridCol w:w="2051"/>
        <w:gridCol w:w="1758"/>
        <w:gridCol w:w="2784"/>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23"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序号</w:t>
            </w:r>
          </w:p>
        </w:tc>
        <w:tc>
          <w:tcPr>
            <w:tcW w:w="1633"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主体名称</w:t>
            </w:r>
          </w:p>
        </w:tc>
        <w:tc>
          <w:tcPr>
            <w:tcW w:w="1172"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负责人姓名</w:t>
            </w:r>
          </w:p>
        </w:tc>
        <w:tc>
          <w:tcPr>
            <w:tcW w:w="1466"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联系电话</w:t>
            </w:r>
          </w:p>
        </w:tc>
        <w:tc>
          <w:tcPr>
            <w:tcW w:w="2051"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身份证号码/社会信用代码</w:t>
            </w:r>
          </w:p>
        </w:tc>
        <w:tc>
          <w:tcPr>
            <w:tcW w:w="1758"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种植面积（亩）</w:t>
            </w:r>
          </w:p>
        </w:tc>
        <w:tc>
          <w:tcPr>
            <w:tcW w:w="2784"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关键增产技术</w:t>
            </w:r>
          </w:p>
        </w:tc>
        <w:tc>
          <w:tcPr>
            <w:tcW w:w="1646"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目标单产(公斤/亩)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23" w:type="dxa"/>
            <w:vAlign w:val="center"/>
          </w:tcPr>
          <w:p>
            <w:pPr>
              <w:jc w:val="center"/>
              <w:rPr>
                <w:rFonts w:ascii="仿宋_GB2312" w:eastAsia="仿宋_GB2312"/>
                <w:b/>
                <w:sz w:val="32"/>
                <w:szCs w:val="32"/>
              </w:rPr>
            </w:pPr>
          </w:p>
        </w:tc>
        <w:tc>
          <w:tcPr>
            <w:tcW w:w="1633" w:type="dxa"/>
            <w:vAlign w:val="center"/>
          </w:tcPr>
          <w:p>
            <w:pPr>
              <w:jc w:val="center"/>
              <w:rPr>
                <w:rFonts w:ascii="仿宋_GB2312" w:eastAsia="仿宋_GB2312"/>
                <w:b/>
                <w:sz w:val="32"/>
                <w:szCs w:val="32"/>
              </w:rPr>
            </w:pPr>
          </w:p>
        </w:tc>
        <w:tc>
          <w:tcPr>
            <w:tcW w:w="1172" w:type="dxa"/>
            <w:vAlign w:val="center"/>
          </w:tcPr>
          <w:p>
            <w:pPr>
              <w:jc w:val="center"/>
              <w:rPr>
                <w:rFonts w:ascii="仿宋_GB2312" w:eastAsia="仿宋_GB2312"/>
                <w:b/>
                <w:sz w:val="32"/>
                <w:szCs w:val="32"/>
              </w:rPr>
            </w:pPr>
          </w:p>
        </w:tc>
        <w:tc>
          <w:tcPr>
            <w:tcW w:w="1466" w:type="dxa"/>
            <w:vAlign w:val="center"/>
          </w:tcPr>
          <w:p>
            <w:pPr>
              <w:jc w:val="center"/>
              <w:rPr>
                <w:rFonts w:ascii="仿宋_GB2312" w:eastAsia="仿宋_GB2312"/>
                <w:b/>
                <w:sz w:val="32"/>
                <w:szCs w:val="32"/>
              </w:rPr>
            </w:pPr>
          </w:p>
        </w:tc>
        <w:tc>
          <w:tcPr>
            <w:tcW w:w="2051" w:type="dxa"/>
            <w:vAlign w:val="center"/>
          </w:tcPr>
          <w:p>
            <w:pPr>
              <w:jc w:val="center"/>
              <w:rPr>
                <w:rFonts w:ascii="仿宋_GB2312" w:eastAsia="仿宋_GB2312"/>
                <w:b/>
                <w:sz w:val="32"/>
                <w:szCs w:val="32"/>
              </w:rPr>
            </w:pPr>
          </w:p>
        </w:tc>
        <w:tc>
          <w:tcPr>
            <w:tcW w:w="1758" w:type="dxa"/>
            <w:vAlign w:val="center"/>
          </w:tcPr>
          <w:p>
            <w:pPr>
              <w:jc w:val="center"/>
              <w:rPr>
                <w:rFonts w:ascii="仿宋_GB2312" w:eastAsia="仿宋_GB2312"/>
                <w:b/>
                <w:sz w:val="32"/>
                <w:szCs w:val="32"/>
              </w:rPr>
            </w:pPr>
          </w:p>
        </w:tc>
        <w:tc>
          <w:tcPr>
            <w:tcW w:w="2784" w:type="dxa"/>
            <w:vAlign w:val="center"/>
          </w:tcPr>
          <w:p>
            <w:pPr>
              <w:jc w:val="center"/>
              <w:rPr>
                <w:rFonts w:ascii="仿宋_GB2312" w:eastAsia="仿宋_GB2312"/>
                <w:b/>
                <w:sz w:val="32"/>
                <w:szCs w:val="32"/>
              </w:rPr>
            </w:pPr>
          </w:p>
        </w:tc>
        <w:tc>
          <w:tcPr>
            <w:tcW w:w="1646" w:type="dxa"/>
            <w:vAlign w:val="center"/>
          </w:tcPr>
          <w:p>
            <w:pPr>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23" w:type="dxa"/>
            <w:vAlign w:val="center"/>
          </w:tcPr>
          <w:p>
            <w:pPr>
              <w:jc w:val="center"/>
              <w:rPr>
                <w:rFonts w:ascii="仿宋_GB2312" w:eastAsia="仿宋_GB2312"/>
                <w:b/>
                <w:sz w:val="32"/>
                <w:szCs w:val="32"/>
              </w:rPr>
            </w:pPr>
          </w:p>
        </w:tc>
        <w:tc>
          <w:tcPr>
            <w:tcW w:w="1633" w:type="dxa"/>
            <w:vAlign w:val="center"/>
          </w:tcPr>
          <w:p>
            <w:pPr>
              <w:jc w:val="center"/>
              <w:rPr>
                <w:rFonts w:ascii="仿宋_GB2312" w:eastAsia="仿宋_GB2312"/>
                <w:b/>
                <w:sz w:val="32"/>
                <w:szCs w:val="32"/>
              </w:rPr>
            </w:pPr>
          </w:p>
        </w:tc>
        <w:tc>
          <w:tcPr>
            <w:tcW w:w="1172" w:type="dxa"/>
            <w:vAlign w:val="center"/>
          </w:tcPr>
          <w:p>
            <w:pPr>
              <w:jc w:val="center"/>
              <w:rPr>
                <w:rFonts w:ascii="仿宋_GB2312" w:eastAsia="仿宋_GB2312"/>
                <w:b/>
                <w:sz w:val="32"/>
                <w:szCs w:val="32"/>
              </w:rPr>
            </w:pPr>
          </w:p>
        </w:tc>
        <w:tc>
          <w:tcPr>
            <w:tcW w:w="1466" w:type="dxa"/>
            <w:vAlign w:val="center"/>
          </w:tcPr>
          <w:p>
            <w:pPr>
              <w:jc w:val="center"/>
              <w:rPr>
                <w:rFonts w:ascii="仿宋_GB2312" w:eastAsia="仿宋_GB2312"/>
                <w:b/>
                <w:sz w:val="32"/>
                <w:szCs w:val="32"/>
              </w:rPr>
            </w:pPr>
          </w:p>
        </w:tc>
        <w:tc>
          <w:tcPr>
            <w:tcW w:w="2051" w:type="dxa"/>
            <w:vAlign w:val="center"/>
          </w:tcPr>
          <w:p>
            <w:pPr>
              <w:jc w:val="center"/>
              <w:rPr>
                <w:rFonts w:ascii="仿宋_GB2312" w:eastAsia="仿宋_GB2312"/>
                <w:b/>
                <w:sz w:val="32"/>
                <w:szCs w:val="32"/>
              </w:rPr>
            </w:pPr>
          </w:p>
        </w:tc>
        <w:tc>
          <w:tcPr>
            <w:tcW w:w="1758" w:type="dxa"/>
            <w:vAlign w:val="center"/>
          </w:tcPr>
          <w:p>
            <w:pPr>
              <w:jc w:val="center"/>
              <w:rPr>
                <w:rFonts w:ascii="仿宋_GB2312" w:eastAsia="仿宋_GB2312"/>
                <w:b/>
                <w:sz w:val="32"/>
                <w:szCs w:val="32"/>
              </w:rPr>
            </w:pPr>
          </w:p>
        </w:tc>
        <w:tc>
          <w:tcPr>
            <w:tcW w:w="2784" w:type="dxa"/>
            <w:vAlign w:val="center"/>
          </w:tcPr>
          <w:p>
            <w:pPr>
              <w:jc w:val="center"/>
              <w:rPr>
                <w:rFonts w:ascii="仿宋_GB2312" w:eastAsia="仿宋_GB2312"/>
                <w:b/>
                <w:sz w:val="32"/>
                <w:szCs w:val="32"/>
              </w:rPr>
            </w:pPr>
          </w:p>
        </w:tc>
        <w:tc>
          <w:tcPr>
            <w:tcW w:w="1646" w:type="dxa"/>
            <w:vAlign w:val="center"/>
          </w:tcPr>
          <w:p>
            <w:pPr>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23" w:type="dxa"/>
            <w:vAlign w:val="center"/>
          </w:tcPr>
          <w:p>
            <w:pPr>
              <w:jc w:val="center"/>
              <w:rPr>
                <w:rFonts w:ascii="仿宋_GB2312" w:eastAsia="仿宋_GB2312"/>
                <w:b/>
                <w:sz w:val="32"/>
                <w:szCs w:val="32"/>
              </w:rPr>
            </w:pPr>
          </w:p>
        </w:tc>
        <w:tc>
          <w:tcPr>
            <w:tcW w:w="1633" w:type="dxa"/>
            <w:vAlign w:val="center"/>
          </w:tcPr>
          <w:p>
            <w:pPr>
              <w:jc w:val="center"/>
              <w:rPr>
                <w:rFonts w:ascii="仿宋_GB2312" w:eastAsia="仿宋_GB2312"/>
                <w:b/>
                <w:sz w:val="32"/>
                <w:szCs w:val="32"/>
              </w:rPr>
            </w:pPr>
          </w:p>
        </w:tc>
        <w:tc>
          <w:tcPr>
            <w:tcW w:w="1172" w:type="dxa"/>
            <w:vAlign w:val="center"/>
          </w:tcPr>
          <w:p>
            <w:pPr>
              <w:jc w:val="center"/>
              <w:rPr>
                <w:rFonts w:ascii="仿宋_GB2312" w:eastAsia="仿宋_GB2312"/>
                <w:b/>
                <w:sz w:val="32"/>
                <w:szCs w:val="32"/>
              </w:rPr>
            </w:pPr>
          </w:p>
        </w:tc>
        <w:tc>
          <w:tcPr>
            <w:tcW w:w="1466" w:type="dxa"/>
            <w:vAlign w:val="center"/>
          </w:tcPr>
          <w:p>
            <w:pPr>
              <w:jc w:val="center"/>
              <w:rPr>
                <w:rFonts w:ascii="仿宋_GB2312" w:eastAsia="仿宋_GB2312"/>
                <w:b/>
                <w:sz w:val="32"/>
                <w:szCs w:val="32"/>
              </w:rPr>
            </w:pPr>
          </w:p>
        </w:tc>
        <w:tc>
          <w:tcPr>
            <w:tcW w:w="2051" w:type="dxa"/>
            <w:vAlign w:val="center"/>
          </w:tcPr>
          <w:p>
            <w:pPr>
              <w:jc w:val="center"/>
              <w:rPr>
                <w:rFonts w:ascii="仿宋_GB2312" w:eastAsia="仿宋_GB2312"/>
                <w:b/>
                <w:sz w:val="32"/>
                <w:szCs w:val="32"/>
              </w:rPr>
            </w:pPr>
          </w:p>
        </w:tc>
        <w:tc>
          <w:tcPr>
            <w:tcW w:w="1758" w:type="dxa"/>
            <w:vAlign w:val="center"/>
          </w:tcPr>
          <w:p>
            <w:pPr>
              <w:jc w:val="center"/>
              <w:rPr>
                <w:rFonts w:ascii="仿宋_GB2312" w:eastAsia="仿宋_GB2312"/>
                <w:b/>
                <w:sz w:val="32"/>
                <w:szCs w:val="32"/>
              </w:rPr>
            </w:pPr>
          </w:p>
        </w:tc>
        <w:tc>
          <w:tcPr>
            <w:tcW w:w="2784" w:type="dxa"/>
            <w:vAlign w:val="center"/>
          </w:tcPr>
          <w:p>
            <w:pPr>
              <w:jc w:val="center"/>
              <w:rPr>
                <w:rFonts w:ascii="仿宋_GB2312" w:eastAsia="仿宋_GB2312"/>
                <w:b/>
                <w:sz w:val="32"/>
                <w:szCs w:val="32"/>
              </w:rPr>
            </w:pPr>
          </w:p>
        </w:tc>
        <w:tc>
          <w:tcPr>
            <w:tcW w:w="1646" w:type="dxa"/>
            <w:vAlign w:val="center"/>
          </w:tcPr>
          <w:p>
            <w:pPr>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23" w:type="dxa"/>
            <w:vAlign w:val="center"/>
          </w:tcPr>
          <w:p>
            <w:pPr>
              <w:jc w:val="center"/>
              <w:rPr>
                <w:rFonts w:ascii="仿宋_GB2312" w:eastAsia="仿宋_GB2312"/>
                <w:b/>
                <w:sz w:val="32"/>
                <w:szCs w:val="32"/>
              </w:rPr>
            </w:pPr>
          </w:p>
        </w:tc>
        <w:tc>
          <w:tcPr>
            <w:tcW w:w="1633" w:type="dxa"/>
            <w:vAlign w:val="center"/>
          </w:tcPr>
          <w:p>
            <w:pPr>
              <w:jc w:val="center"/>
              <w:rPr>
                <w:rFonts w:ascii="仿宋_GB2312" w:eastAsia="仿宋_GB2312"/>
                <w:b/>
                <w:sz w:val="32"/>
                <w:szCs w:val="32"/>
              </w:rPr>
            </w:pPr>
          </w:p>
        </w:tc>
        <w:tc>
          <w:tcPr>
            <w:tcW w:w="1172" w:type="dxa"/>
            <w:vAlign w:val="center"/>
          </w:tcPr>
          <w:p>
            <w:pPr>
              <w:jc w:val="center"/>
              <w:rPr>
                <w:rFonts w:ascii="仿宋_GB2312" w:eastAsia="仿宋_GB2312"/>
                <w:b/>
                <w:sz w:val="32"/>
                <w:szCs w:val="32"/>
              </w:rPr>
            </w:pPr>
          </w:p>
        </w:tc>
        <w:tc>
          <w:tcPr>
            <w:tcW w:w="1466" w:type="dxa"/>
            <w:vAlign w:val="center"/>
          </w:tcPr>
          <w:p>
            <w:pPr>
              <w:jc w:val="center"/>
              <w:rPr>
                <w:rFonts w:ascii="仿宋_GB2312" w:eastAsia="仿宋_GB2312"/>
                <w:b/>
                <w:sz w:val="32"/>
                <w:szCs w:val="32"/>
              </w:rPr>
            </w:pPr>
          </w:p>
        </w:tc>
        <w:tc>
          <w:tcPr>
            <w:tcW w:w="2051" w:type="dxa"/>
            <w:vAlign w:val="center"/>
          </w:tcPr>
          <w:p>
            <w:pPr>
              <w:jc w:val="center"/>
              <w:rPr>
                <w:rFonts w:ascii="仿宋_GB2312" w:eastAsia="仿宋_GB2312"/>
                <w:b/>
                <w:sz w:val="32"/>
                <w:szCs w:val="32"/>
              </w:rPr>
            </w:pPr>
          </w:p>
        </w:tc>
        <w:tc>
          <w:tcPr>
            <w:tcW w:w="1758" w:type="dxa"/>
            <w:vAlign w:val="center"/>
          </w:tcPr>
          <w:p>
            <w:pPr>
              <w:jc w:val="center"/>
              <w:rPr>
                <w:rFonts w:ascii="仿宋_GB2312" w:eastAsia="仿宋_GB2312"/>
                <w:b/>
                <w:sz w:val="32"/>
                <w:szCs w:val="32"/>
              </w:rPr>
            </w:pPr>
          </w:p>
        </w:tc>
        <w:tc>
          <w:tcPr>
            <w:tcW w:w="2784" w:type="dxa"/>
            <w:vAlign w:val="center"/>
          </w:tcPr>
          <w:p>
            <w:pPr>
              <w:jc w:val="center"/>
              <w:rPr>
                <w:rFonts w:ascii="仿宋_GB2312" w:eastAsia="仿宋_GB2312"/>
                <w:b/>
                <w:sz w:val="32"/>
                <w:szCs w:val="32"/>
              </w:rPr>
            </w:pPr>
          </w:p>
        </w:tc>
        <w:tc>
          <w:tcPr>
            <w:tcW w:w="1646" w:type="dxa"/>
            <w:vAlign w:val="center"/>
          </w:tcPr>
          <w:p>
            <w:pPr>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23" w:type="dxa"/>
            <w:vAlign w:val="center"/>
          </w:tcPr>
          <w:p>
            <w:pPr>
              <w:jc w:val="center"/>
              <w:rPr>
                <w:rFonts w:ascii="仿宋_GB2312" w:eastAsia="仿宋_GB2312"/>
                <w:b/>
                <w:sz w:val="32"/>
                <w:szCs w:val="32"/>
              </w:rPr>
            </w:pPr>
          </w:p>
        </w:tc>
        <w:tc>
          <w:tcPr>
            <w:tcW w:w="1633" w:type="dxa"/>
            <w:vAlign w:val="center"/>
          </w:tcPr>
          <w:p>
            <w:pPr>
              <w:jc w:val="center"/>
              <w:rPr>
                <w:rFonts w:ascii="仿宋_GB2312" w:eastAsia="仿宋_GB2312"/>
                <w:b/>
                <w:sz w:val="32"/>
                <w:szCs w:val="32"/>
              </w:rPr>
            </w:pPr>
          </w:p>
        </w:tc>
        <w:tc>
          <w:tcPr>
            <w:tcW w:w="1172" w:type="dxa"/>
            <w:vAlign w:val="center"/>
          </w:tcPr>
          <w:p>
            <w:pPr>
              <w:jc w:val="center"/>
              <w:rPr>
                <w:rFonts w:ascii="仿宋_GB2312" w:eastAsia="仿宋_GB2312"/>
                <w:b/>
                <w:sz w:val="32"/>
                <w:szCs w:val="32"/>
              </w:rPr>
            </w:pPr>
          </w:p>
        </w:tc>
        <w:tc>
          <w:tcPr>
            <w:tcW w:w="1466" w:type="dxa"/>
            <w:vAlign w:val="center"/>
          </w:tcPr>
          <w:p>
            <w:pPr>
              <w:jc w:val="center"/>
              <w:rPr>
                <w:rFonts w:ascii="仿宋_GB2312" w:eastAsia="仿宋_GB2312"/>
                <w:b/>
                <w:sz w:val="32"/>
                <w:szCs w:val="32"/>
              </w:rPr>
            </w:pPr>
          </w:p>
        </w:tc>
        <w:tc>
          <w:tcPr>
            <w:tcW w:w="2051" w:type="dxa"/>
            <w:vAlign w:val="center"/>
          </w:tcPr>
          <w:p>
            <w:pPr>
              <w:jc w:val="center"/>
              <w:rPr>
                <w:rFonts w:ascii="仿宋_GB2312" w:eastAsia="仿宋_GB2312"/>
                <w:b/>
                <w:sz w:val="32"/>
                <w:szCs w:val="32"/>
              </w:rPr>
            </w:pPr>
          </w:p>
        </w:tc>
        <w:tc>
          <w:tcPr>
            <w:tcW w:w="1758" w:type="dxa"/>
            <w:vAlign w:val="center"/>
          </w:tcPr>
          <w:p>
            <w:pPr>
              <w:jc w:val="center"/>
              <w:rPr>
                <w:rFonts w:ascii="仿宋_GB2312" w:eastAsia="仿宋_GB2312"/>
                <w:b/>
                <w:sz w:val="32"/>
                <w:szCs w:val="32"/>
              </w:rPr>
            </w:pPr>
          </w:p>
        </w:tc>
        <w:tc>
          <w:tcPr>
            <w:tcW w:w="2784" w:type="dxa"/>
            <w:vAlign w:val="center"/>
          </w:tcPr>
          <w:p>
            <w:pPr>
              <w:jc w:val="center"/>
              <w:rPr>
                <w:rFonts w:ascii="仿宋_GB2312" w:eastAsia="仿宋_GB2312"/>
                <w:b/>
                <w:sz w:val="32"/>
                <w:szCs w:val="32"/>
              </w:rPr>
            </w:pPr>
          </w:p>
        </w:tc>
        <w:tc>
          <w:tcPr>
            <w:tcW w:w="1646" w:type="dxa"/>
            <w:vAlign w:val="center"/>
          </w:tcPr>
          <w:p>
            <w:pPr>
              <w:jc w:val="center"/>
              <w:rPr>
                <w:rFonts w:ascii="仿宋_GB2312" w:eastAsia="仿宋_GB2312"/>
                <w:b/>
                <w:sz w:val="32"/>
                <w:szCs w:val="32"/>
              </w:rPr>
            </w:pPr>
          </w:p>
        </w:tc>
      </w:tr>
    </w:tbl>
    <w:p>
      <w:pPr>
        <w:rPr>
          <w:rFonts w:ascii="仿宋_GB2312" w:eastAsia="仿宋_GB2312"/>
          <w:sz w:val="28"/>
          <w:szCs w:val="28"/>
        </w:rPr>
      </w:pPr>
      <w:r>
        <w:rPr>
          <w:rFonts w:hint="eastAsia" w:ascii="仿宋_GB2312" w:eastAsia="仿宋_GB2312"/>
          <w:sz w:val="28"/>
          <w:szCs w:val="28"/>
        </w:rPr>
        <w:t xml:space="preserve"> 备注：梅县区2024年晚稻平均亩产487.52公斤，单产提升目标高于1%以上为492.4公斤/亩以上。</w:t>
      </w:r>
    </w:p>
    <w:p>
      <w:pPr>
        <w:jc w:val="center"/>
        <w:rPr>
          <w:b/>
          <w:sz w:val="32"/>
          <w:szCs w:val="32"/>
        </w:rPr>
      </w:pPr>
    </w:p>
    <w:p>
      <w:pPr>
        <w:jc w:val="center"/>
        <w:rPr>
          <w:b/>
          <w:sz w:val="32"/>
          <w:szCs w:val="32"/>
        </w:rPr>
      </w:pPr>
    </w:p>
    <w:p>
      <w:pPr>
        <w:pStyle w:val="2"/>
      </w:pPr>
      <w:bookmarkStart w:id="0" w:name="_GoBack"/>
      <w:bookmarkEnd w:id="0"/>
    </w:p>
    <w:p>
      <w:pPr>
        <w:rPr>
          <w:rFonts w:ascii="黑体" w:hAnsi="黑体" w:eastAsia="黑体"/>
          <w:sz w:val="32"/>
          <w:szCs w:val="32"/>
        </w:rPr>
      </w:pPr>
      <w:r>
        <w:rPr>
          <w:rFonts w:hint="eastAsia" w:ascii="黑体" w:hAnsi="黑体" w:eastAsia="黑体"/>
          <w:sz w:val="32"/>
          <w:szCs w:val="32"/>
        </w:rPr>
        <w:t>附件3</w:t>
      </w:r>
    </w:p>
    <w:p>
      <w:pPr>
        <w:jc w:val="center"/>
        <w:rPr>
          <w:rFonts w:ascii="方正小标宋简体" w:eastAsia="方正小标宋简体"/>
          <w:sz w:val="44"/>
          <w:szCs w:val="44"/>
        </w:rPr>
      </w:pPr>
      <w:r>
        <w:rPr>
          <w:rFonts w:hint="eastAsia" w:ascii="方正小标宋简体" w:eastAsia="方正小标宋简体"/>
          <w:sz w:val="44"/>
          <w:szCs w:val="44"/>
        </w:rPr>
        <w:t>2025年梅县区粮油（水稻）规模种植主体单产提升项目实施主体申报表</w:t>
      </w:r>
    </w:p>
    <w:p>
      <w:pPr>
        <w:rPr>
          <w:rFonts w:ascii="仿宋_GB2312" w:eastAsia="仿宋_GB2312"/>
          <w:sz w:val="28"/>
          <w:szCs w:val="28"/>
        </w:rPr>
      </w:pPr>
      <w:r>
        <w:rPr>
          <w:rFonts w:hint="eastAsia" w:ascii="仿宋_GB2312" w:eastAsia="仿宋_GB2312"/>
          <w:sz w:val="28"/>
          <w:szCs w:val="28"/>
        </w:rPr>
        <w:t>镇村（盖章）       填报时间：              填报人：          电话：</w:t>
      </w:r>
    </w:p>
    <w:tbl>
      <w:tblPr>
        <w:tblStyle w:val="6"/>
        <w:tblW w:w="14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738"/>
        <w:gridCol w:w="1248"/>
        <w:gridCol w:w="1560"/>
        <w:gridCol w:w="2183"/>
        <w:gridCol w:w="1871"/>
        <w:gridCol w:w="2963"/>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76"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序号</w:t>
            </w:r>
          </w:p>
        </w:tc>
        <w:tc>
          <w:tcPr>
            <w:tcW w:w="1738"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主体名称</w:t>
            </w:r>
          </w:p>
        </w:tc>
        <w:tc>
          <w:tcPr>
            <w:tcW w:w="1248"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负责人姓名</w:t>
            </w:r>
          </w:p>
        </w:tc>
        <w:tc>
          <w:tcPr>
            <w:tcW w:w="1560"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联系电话</w:t>
            </w:r>
          </w:p>
        </w:tc>
        <w:tc>
          <w:tcPr>
            <w:tcW w:w="2183"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身份证号码/社会信用代码</w:t>
            </w:r>
          </w:p>
        </w:tc>
        <w:tc>
          <w:tcPr>
            <w:tcW w:w="1871"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种植面积（亩）</w:t>
            </w:r>
          </w:p>
        </w:tc>
        <w:tc>
          <w:tcPr>
            <w:tcW w:w="2963"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关键增产技术</w:t>
            </w:r>
          </w:p>
        </w:tc>
        <w:tc>
          <w:tcPr>
            <w:tcW w:w="1752" w:type="dxa"/>
            <w:vAlign w:val="center"/>
          </w:tcPr>
          <w:p>
            <w:pPr>
              <w:spacing w:line="400" w:lineRule="exact"/>
              <w:jc w:val="center"/>
              <w:rPr>
                <w:rFonts w:ascii="楷体" w:hAnsi="楷体" w:eastAsia="楷体"/>
                <w:sz w:val="28"/>
                <w:szCs w:val="28"/>
              </w:rPr>
            </w:pPr>
            <w:r>
              <w:rPr>
                <w:rFonts w:hint="eastAsia" w:ascii="楷体" w:hAnsi="楷体" w:eastAsia="楷体"/>
                <w:sz w:val="28"/>
                <w:szCs w:val="28"/>
              </w:rPr>
              <w:t>目标单产(公斤/亩)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6" w:type="dxa"/>
            <w:vAlign w:val="center"/>
          </w:tcPr>
          <w:p>
            <w:pPr>
              <w:jc w:val="center"/>
              <w:rPr>
                <w:rFonts w:ascii="仿宋_GB2312" w:eastAsia="仿宋_GB2312"/>
                <w:b/>
                <w:sz w:val="32"/>
                <w:szCs w:val="32"/>
              </w:rPr>
            </w:pPr>
          </w:p>
        </w:tc>
        <w:tc>
          <w:tcPr>
            <w:tcW w:w="1738" w:type="dxa"/>
            <w:vAlign w:val="center"/>
          </w:tcPr>
          <w:p>
            <w:pPr>
              <w:jc w:val="center"/>
              <w:rPr>
                <w:rFonts w:ascii="仿宋_GB2312" w:eastAsia="仿宋_GB2312"/>
                <w:b/>
                <w:sz w:val="32"/>
                <w:szCs w:val="32"/>
              </w:rPr>
            </w:pPr>
          </w:p>
        </w:tc>
        <w:tc>
          <w:tcPr>
            <w:tcW w:w="1248" w:type="dxa"/>
            <w:vAlign w:val="center"/>
          </w:tcPr>
          <w:p>
            <w:pPr>
              <w:jc w:val="center"/>
              <w:rPr>
                <w:rFonts w:ascii="仿宋_GB2312" w:eastAsia="仿宋_GB2312"/>
                <w:b/>
                <w:sz w:val="32"/>
                <w:szCs w:val="32"/>
              </w:rPr>
            </w:pPr>
          </w:p>
        </w:tc>
        <w:tc>
          <w:tcPr>
            <w:tcW w:w="1560" w:type="dxa"/>
            <w:vAlign w:val="center"/>
          </w:tcPr>
          <w:p>
            <w:pPr>
              <w:jc w:val="center"/>
              <w:rPr>
                <w:rFonts w:ascii="仿宋_GB2312" w:eastAsia="仿宋_GB2312"/>
                <w:b/>
                <w:sz w:val="32"/>
                <w:szCs w:val="32"/>
              </w:rPr>
            </w:pPr>
          </w:p>
        </w:tc>
        <w:tc>
          <w:tcPr>
            <w:tcW w:w="2183" w:type="dxa"/>
            <w:vAlign w:val="center"/>
          </w:tcPr>
          <w:p>
            <w:pPr>
              <w:jc w:val="center"/>
              <w:rPr>
                <w:rFonts w:ascii="仿宋_GB2312" w:eastAsia="仿宋_GB2312"/>
                <w:b/>
                <w:sz w:val="32"/>
                <w:szCs w:val="32"/>
              </w:rPr>
            </w:pPr>
          </w:p>
        </w:tc>
        <w:tc>
          <w:tcPr>
            <w:tcW w:w="1871" w:type="dxa"/>
            <w:vAlign w:val="center"/>
          </w:tcPr>
          <w:p>
            <w:pPr>
              <w:jc w:val="center"/>
              <w:rPr>
                <w:rFonts w:ascii="仿宋_GB2312" w:eastAsia="仿宋_GB2312"/>
                <w:b/>
                <w:sz w:val="32"/>
                <w:szCs w:val="32"/>
              </w:rPr>
            </w:pPr>
          </w:p>
        </w:tc>
        <w:tc>
          <w:tcPr>
            <w:tcW w:w="2963" w:type="dxa"/>
            <w:vAlign w:val="center"/>
          </w:tcPr>
          <w:p>
            <w:pPr>
              <w:jc w:val="center"/>
              <w:rPr>
                <w:rFonts w:ascii="仿宋_GB2312" w:eastAsia="仿宋_GB2312"/>
                <w:b/>
                <w:sz w:val="32"/>
                <w:szCs w:val="32"/>
              </w:rPr>
            </w:pPr>
          </w:p>
        </w:tc>
        <w:tc>
          <w:tcPr>
            <w:tcW w:w="1752" w:type="dxa"/>
            <w:vAlign w:val="center"/>
          </w:tcPr>
          <w:p>
            <w:pPr>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6" w:type="dxa"/>
            <w:vAlign w:val="center"/>
          </w:tcPr>
          <w:p>
            <w:pPr>
              <w:jc w:val="center"/>
              <w:rPr>
                <w:rFonts w:ascii="仿宋_GB2312" w:eastAsia="仿宋_GB2312"/>
                <w:b/>
                <w:sz w:val="32"/>
                <w:szCs w:val="32"/>
              </w:rPr>
            </w:pPr>
          </w:p>
        </w:tc>
        <w:tc>
          <w:tcPr>
            <w:tcW w:w="1738" w:type="dxa"/>
            <w:vAlign w:val="center"/>
          </w:tcPr>
          <w:p>
            <w:pPr>
              <w:jc w:val="center"/>
              <w:rPr>
                <w:rFonts w:ascii="仿宋_GB2312" w:eastAsia="仿宋_GB2312"/>
                <w:b/>
                <w:sz w:val="32"/>
                <w:szCs w:val="32"/>
              </w:rPr>
            </w:pPr>
          </w:p>
        </w:tc>
        <w:tc>
          <w:tcPr>
            <w:tcW w:w="1248" w:type="dxa"/>
            <w:vAlign w:val="center"/>
          </w:tcPr>
          <w:p>
            <w:pPr>
              <w:jc w:val="center"/>
              <w:rPr>
                <w:rFonts w:ascii="仿宋_GB2312" w:eastAsia="仿宋_GB2312"/>
                <w:b/>
                <w:sz w:val="32"/>
                <w:szCs w:val="32"/>
              </w:rPr>
            </w:pPr>
          </w:p>
        </w:tc>
        <w:tc>
          <w:tcPr>
            <w:tcW w:w="1560" w:type="dxa"/>
            <w:vAlign w:val="center"/>
          </w:tcPr>
          <w:p>
            <w:pPr>
              <w:jc w:val="center"/>
              <w:rPr>
                <w:rFonts w:ascii="仿宋_GB2312" w:eastAsia="仿宋_GB2312"/>
                <w:b/>
                <w:sz w:val="32"/>
                <w:szCs w:val="32"/>
              </w:rPr>
            </w:pPr>
          </w:p>
        </w:tc>
        <w:tc>
          <w:tcPr>
            <w:tcW w:w="2183" w:type="dxa"/>
            <w:vAlign w:val="center"/>
          </w:tcPr>
          <w:p>
            <w:pPr>
              <w:jc w:val="center"/>
              <w:rPr>
                <w:rFonts w:ascii="仿宋_GB2312" w:eastAsia="仿宋_GB2312"/>
                <w:b/>
                <w:sz w:val="32"/>
                <w:szCs w:val="32"/>
              </w:rPr>
            </w:pPr>
          </w:p>
        </w:tc>
        <w:tc>
          <w:tcPr>
            <w:tcW w:w="1871" w:type="dxa"/>
            <w:vAlign w:val="center"/>
          </w:tcPr>
          <w:p>
            <w:pPr>
              <w:jc w:val="center"/>
              <w:rPr>
                <w:rFonts w:ascii="仿宋_GB2312" w:eastAsia="仿宋_GB2312"/>
                <w:b/>
                <w:sz w:val="32"/>
                <w:szCs w:val="32"/>
              </w:rPr>
            </w:pPr>
          </w:p>
        </w:tc>
        <w:tc>
          <w:tcPr>
            <w:tcW w:w="2963" w:type="dxa"/>
            <w:vAlign w:val="center"/>
          </w:tcPr>
          <w:p>
            <w:pPr>
              <w:jc w:val="center"/>
              <w:rPr>
                <w:rFonts w:ascii="仿宋_GB2312" w:eastAsia="仿宋_GB2312"/>
                <w:b/>
                <w:sz w:val="32"/>
                <w:szCs w:val="32"/>
              </w:rPr>
            </w:pPr>
          </w:p>
        </w:tc>
        <w:tc>
          <w:tcPr>
            <w:tcW w:w="1752" w:type="dxa"/>
            <w:vAlign w:val="center"/>
          </w:tcPr>
          <w:p>
            <w:pPr>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6" w:type="dxa"/>
            <w:vAlign w:val="center"/>
          </w:tcPr>
          <w:p>
            <w:pPr>
              <w:jc w:val="center"/>
              <w:rPr>
                <w:rFonts w:ascii="仿宋_GB2312" w:eastAsia="仿宋_GB2312"/>
                <w:b/>
                <w:sz w:val="32"/>
                <w:szCs w:val="32"/>
              </w:rPr>
            </w:pPr>
          </w:p>
        </w:tc>
        <w:tc>
          <w:tcPr>
            <w:tcW w:w="1738" w:type="dxa"/>
            <w:vAlign w:val="center"/>
          </w:tcPr>
          <w:p>
            <w:pPr>
              <w:jc w:val="center"/>
              <w:rPr>
                <w:rFonts w:ascii="仿宋_GB2312" w:eastAsia="仿宋_GB2312"/>
                <w:b/>
                <w:sz w:val="32"/>
                <w:szCs w:val="32"/>
              </w:rPr>
            </w:pPr>
          </w:p>
        </w:tc>
        <w:tc>
          <w:tcPr>
            <w:tcW w:w="1248" w:type="dxa"/>
            <w:vAlign w:val="center"/>
          </w:tcPr>
          <w:p>
            <w:pPr>
              <w:jc w:val="center"/>
              <w:rPr>
                <w:rFonts w:ascii="仿宋_GB2312" w:eastAsia="仿宋_GB2312"/>
                <w:b/>
                <w:sz w:val="32"/>
                <w:szCs w:val="32"/>
              </w:rPr>
            </w:pPr>
          </w:p>
        </w:tc>
        <w:tc>
          <w:tcPr>
            <w:tcW w:w="1560" w:type="dxa"/>
            <w:vAlign w:val="center"/>
          </w:tcPr>
          <w:p>
            <w:pPr>
              <w:jc w:val="center"/>
              <w:rPr>
                <w:rFonts w:ascii="仿宋_GB2312" w:eastAsia="仿宋_GB2312"/>
                <w:b/>
                <w:sz w:val="32"/>
                <w:szCs w:val="32"/>
              </w:rPr>
            </w:pPr>
          </w:p>
        </w:tc>
        <w:tc>
          <w:tcPr>
            <w:tcW w:w="2183" w:type="dxa"/>
            <w:vAlign w:val="center"/>
          </w:tcPr>
          <w:p>
            <w:pPr>
              <w:jc w:val="center"/>
              <w:rPr>
                <w:rFonts w:ascii="仿宋_GB2312" w:eastAsia="仿宋_GB2312"/>
                <w:b/>
                <w:sz w:val="32"/>
                <w:szCs w:val="32"/>
              </w:rPr>
            </w:pPr>
          </w:p>
        </w:tc>
        <w:tc>
          <w:tcPr>
            <w:tcW w:w="1871" w:type="dxa"/>
            <w:vAlign w:val="center"/>
          </w:tcPr>
          <w:p>
            <w:pPr>
              <w:jc w:val="center"/>
              <w:rPr>
                <w:rFonts w:ascii="仿宋_GB2312" w:eastAsia="仿宋_GB2312"/>
                <w:b/>
                <w:sz w:val="32"/>
                <w:szCs w:val="32"/>
              </w:rPr>
            </w:pPr>
          </w:p>
        </w:tc>
        <w:tc>
          <w:tcPr>
            <w:tcW w:w="2963" w:type="dxa"/>
            <w:vAlign w:val="center"/>
          </w:tcPr>
          <w:p>
            <w:pPr>
              <w:jc w:val="center"/>
              <w:rPr>
                <w:rFonts w:ascii="仿宋_GB2312" w:eastAsia="仿宋_GB2312"/>
                <w:b/>
                <w:sz w:val="32"/>
                <w:szCs w:val="32"/>
              </w:rPr>
            </w:pPr>
          </w:p>
        </w:tc>
        <w:tc>
          <w:tcPr>
            <w:tcW w:w="1752" w:type="dxa"/>
            <w:vAlign w:val="center"/>
          </w:tcPr>
          <w:p>
            <w:pPr>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6" w:type="dxa"/>
            <w:vAlign w:val="center"/>
          </w:tcPr>
          <w:p>
            <w:pPr>
              <w:jc w:val="center"/>
              <w:rPr>
                <w:rFonts w:ascii="仿宋_GB2312" w:eastAsia="仿宋_GB2312"/>
                <w:b/>
                <w:sz w:val="32"/>
                <w:szCs w:val="32"/>
              </w:rPr>
            </w:pPr>
          </w:p>
        </w:tc>
        <w:tc>
          <w:tcPr>
            <w:tcW w:w="1738" w:type="dxa"/>
            <w:vAlign w:val="center"/>
          </w:tcPr>
          <w:p>
            <w:pPr>
              <w:jc w:val="center"/>
              <w:rPr>
                <w:rFonts w:ascii="仿宋_GB2312" w:eastAsia="仿宋_GB2312"/>
                <w:b/>
                <w:sz w:val="32"/>
                <w:szCs w:val="32"/>
              </w:rPr>
            </w:pPr>
          </w:p>
        </w:tc>
        <w:tc>
          <w:tcPr>
            <w:tcW w:w="1248" w:type="dxa"/>
            <w:vAlign w:val="center"/>
          </w:tcPr>
          <w:p>
            <w:pPr>
              <w:jc w:val="center"/>
              <w:rPr>
                <w:rFonts w:ascii="仿宋_GB2312" w:eastAsia="仿宋_GB2312"/>
                <w:b/>
                <w:sz w:val="32"/>
                <w:szCs w:val="32"/>
              </w:rPr>
            </w:pPr>
          </w:p>
        </w:tc>
        <w:tc>
          <w:tcPr>
            <w:tcW w:w="1560" w:type="dxa"/>
            <w:vAlign w:val="center"/>
          </w:tcPr>
          <w:p>
            <w:pPr>
              <w:jc w:val="center"/>
              <w:rPr>
                <w:rFonts w:ascii="仿宋_GB2312" w:eastAsia="仿宋_GB2312"/>
                <w:b/>
                <w:sz w:val="32"/>
                <w:szCs w:val="32"/>
              </w:rPr>
            </w:pPr>
          </w:p>
        </w:tc>
        <w:tc>
          <w:tcPr>
            <w:tcW w:w="2183" w:type="dxa"/>
            <w:vAlign w:val="center"/>
          </w:tcPr>
          <w:p>
            <w:pPr>
              <w:jc w:val="center"/>
              <w:rPr>
                <w:rFonts w:ascii="仿宋_GB2312" w:eastAsia="仿宋_GB2312"/>
                <w:b/>
                <w:sz w:val="32"/>
                <w:szCs w:val="32"/>
              </w:rPr>
            </w:pPr>
          </w:p>
        </w:tc>
        <w:tc>
          <w:tcPr>
            <w:tcW w:w="1871" w:type="dxa"/>
            <w:vAlign w:val="center"/>
          </w:tcPr>
          <w:p>
            <w:pPr>
              <w:jc w:val="center"/>
              <w:rPr>
                <w:rFonts w:ascii="仿宋_GB2312" w:eastAsia="仿宋_GB2312"/>
                <w:b/>
                <w:sz w:val="32"/>
                <w:szCs w:val="32"/>
              </w:rPr>
            </w:pPr>
          </w:p>
        </w:tc>
        <w:tc>
          <w:tcPr>
            <w:tcW w:w="2963" w:type="dxa"/>
            <w:vAlign w:val="center"/>
          </w:tcPr>
          <w:p>
            <w:pPr>
              <w:jc w:val="center"/>
              <w:rPr>
                <w:rFonts w:ascii="仿宋_GB2312" w:eastAsia="仿宋_GB2312"/>
                <w:b/>
                <w:sz w:val="32"/>
                <w:szCs w:val="32"/>
              </w:rPr>
            </w:pPr>
          </w:p>
        </w:tc>
        <w:tc>
          <w:tcPr>
            <w:tcW w:w="1752" w:type="dxa"/>
            <w:vAlign w:val="center"/>
          </w:tcPr>
          <w:p>
            <w:pPr>
              <w:jc w:val="center"/>
              <w:rPr>
                <w:rFonts w:ascii="仿宋_GB2312"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6" w:type="dxa"/>
            <w:vAlign w:val="center"/>
          </w:tcPr>
          <w:p>
            <w:pPr>
              <w:jc w:val="center"/>
              <w:rPr>
                <w:rFonts w:ascii="仿宋_GB2312" w:eastAsia="仿宋_GB2312"/>
                <w:b/>
                <w:sz w:val="32"/>
                <w:szCs w:val="32"/>
              </w:rPr>
            </w:pPr>
          </w:p>
        </w:tc>
        <w:tc>
          <w:tcPr>
            <w:tcW w:w="1738" w:type="dxa"/>
            <w:vAlign w:val="center"/>
          </w:tcPr>
          <w:p>
            <w:pPr>
              <w:jc w:val="center"/>
              <w:rPr>
                <w:rFonts w:ascii="仿宋_GB2312" w:eastAsia="仿宋_GB2312"/>
                <w:b/>
                <w:sz w:val="32"/>
                <w:szCs w:val="32"/>
              </w:rPr>
            </w:pPr>
          </w:p>
        </w:tc>
        <w:tc>
          <w:tcPr>
            <w:tcW w:w="1248" w:type="dxa"/>
            <w:vAlign w:val="center"/>
          </w:tcPr>
          <w:p>
            <w:pPr>
              <w:jc w:val="center"/>
              <w:rPr>
                <w:rFonts w:ascii="仿宋_GB2312" w:eastAsia="仿宋_GB2312"/>
                <w:b/>
                <w:sz w:val="32"/>
                <w:szCs w:val="32"/>
              </w:rPr>
            </w:pPr>
          </w:p>
        </w:tc>
        <w:tc>
          <w:tcPr>
            <w:tcW w:w="1560" w:type="dxa"/>
            <w:vAlign w:val="center"/>
          </w:tcPr>
          <w:p>
            <w:pPr>
              <w:jc w:val="center"/>
              <w:rPr>
                <w:rFonts w:ascii="仿宋_GB2312" w:eastAsia="仿宋_GB2312"/>
                <w:b/>
                <w:sz w:val="32"/>
                <w:szCs w:val="32"/>
              </w:rPr>
            </w:pPr>
          </w:p>
        </w:tc>
        <w:tc>
          <w:tcPr>
            <w:tcW w:w="2183" w:type="dxa"/>
            <w:vAlign w:val="center"/>
          </w:tcPr>
          <w:p>
            <w:pPr>
              <w:jc w:val="center"/>
              <w:rPr>
                <w:rFonts w:ascii="仿宋_GB2312" w:eastAsia="仿宋_GB2312"/>
                <w:b/>
                <w:sz w:val="32"/>
                <w:szCs w:val="32"/>
              </w:rPr>
            </w:pPr>
          </w:p>
        </w:tc>
        <w:tc>
          <w:tcPr>
            <w:tcW w:w="1871" w:type="dxa"/>
            <w:vAlign w:val="center"/>
          </w:tcPr>
          <w:p>
            <w:pPr>
              <w:jc w:val="center"/>
              <w:rPr>
                <w:rFonts w:ascii="仿宋_GB2312" w:eastAsia="仿宋_GB2312"/>
                <w:b/>
                <w:sz w:val="32"/>
                <w:szCs w:val="32"/>
              </w:rPr>
            </w:pPr>
          </w:p>
        </w:tc>
        <w:tc>
          <w:tcPr>
            <w:tcW w:w="2963" w:type="dxa"/>
            <w:vAlign w:val="center"/>
          </w:tcPr>
          <w:p>
            <w:pPr>
              <w:jc w:val="center"/>
              <w:rPr>
                <w:rFonts w:ascii="仿宋_GB2312" w:eastAsia="仿宋_GB2312"/>
                <w:b/>
                <w:sz w:val="32"/>
                <w:szCs w:val="32"/>
              </w:rPr>
            </w:pPr>
          </w:p>
        </w:tc>
        <w:tc>
          <w:tcPr>
            <w:tcW w:w="1752" w:type="dxa"/>
            <w:vAlign w:val="center"/>
          </w:tcPr>
          <w:p>
            <w:pPr>
              <w:jc w:val="center"/>
              <w:rPr>
                <w:rFonts w:ascii="仿宋_GB2312" w:eastAsia="仿宋_GB2312"/>
                <w:b/>
                <w:sz w:val="32"/>
                <w:szCs w:val="32"/>
              </w:rPr>
            </w:pPr>
          </w:p>
        </w:tc>
      </w:tr>
    </w:tbl>
    <w:p>
      <w:pPr>
        <w:rPr>
          <w:rFonts w:ascii="仿宋_GB2312" w:eastAsia="仿宋_GB2312"/>
          <w:sz w:val="28"/>
          <w:szCs w:val="28"/>
        </w:rPr>
      </w:pPr>
      <w:r>
        <w:rPr>
          <w:rFonts w:hint="eastAsia" w:ascii="仿宋_GB2312" w:eastAsia="仿宋_GB2312"/>
          <w:sz w:val="28"/>
          <w:szCs w:val="28"/>
        </w:rPr>
        <w:t>备注：梅县区2024年晚稻平均亩产487.52公斤，单产提升目标高于1%以上为492.4公斤/亩以上。</w:t>
      </w:r>
    </w:p>
    <w:p>
      <w:pPr>
        <w:rPr>
          <w:sz w:val="28"/>
          <w:szCs w:val="28"/>
        </w:rPr>
      </w:pPr>
    </w:p>
    <w:p/>
    <w:sectPr>
      <w:footerReference r:id="rId4" w:type="default"/>
      <w:pgSz w:w="16838" w:h="11906" w:orient="landscape"/>
      <w:pgMar w:top="1474"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roma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09221"/>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09221"/>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D5DBF"/>
    <w:multiLevelType w:val="multilevel"/>
    <w:tmpl w:val="248D5DBF"/>
    <w:lvl w:ilvl="0" w:tentative="0">
      <w:start w:val="1"/>
      <w:numFmt w:val="japaneseCounting"/>
      <w:lvlText w:val="%1、"/>
      <w:lvlJc w:val="left"/>
      <w:pPr>
        <w:ind w:left="1358" w:hanging="720"/>
      </w:pPr>
      <w:rPr>
        <w:rFonts w:hint="default"/>
      </w:rPr>
    </w:lvl>
    <w:lvl w:ilvl="1" w:tentative="0">
      <w:start w:val="1"/>
      <w:numFmt w:val="lowerLetter"/>
      <w:lvlText w:val="%2)"/>
      <w:lvlJc w:val="left"/>
      <w:pPr>
        <w:ind w:left="1478" w:hanging="420"/>
      </w:pPr>
    </w:lvl>
    <w:lvl w:ilvl="2" w:tentative="0">
      <w:start w:val="1"/>
      <w:numFmt w:val="lowerRoman"/>
      <w:lvlText w:val="%3."/>
      <w:lvlJc w:val="right"/>
      <w:pPr>
        <w:ind w:left="1898" w:hanging="420"/>
      </w:pPr>
    </w:lvl>
    <w:lvl w:ilvl="3" w:tentative="0">
      <w:start w:val="1"/>
      <w:numFmt w:val="decimal"/>
      <w:lvlText w:val="%4."/>
      <w:lvlJc w:val="left"/>
      <w:pPr>
        <w:ind w:left="2318" w:hanging="420"/>
      </w:pPr>
    </w:lvl>
    <w:lvl w:ilvl="4" w:tentative="0">
      <w:start w:val="1"/>
      <w:numFmt w:val="lowerLetter"/>
      <w:lvlText w:val="%5)"/>
      <w:lvlJc w:val="left"/>
      <w:pPr>
        <w:ind w:left="2738" w:hanging="420"/>
      </w:pPr>
    </w:lvl>
    <w:lvl w:ilvl="5" w:tentative="0">
      <w:start w:val="1"/>
      <w:numFmt w:val="lowerRoman"/>
      <w:lvlText w:val="%6."/>
      <w:lvlJc w:val="right"/>
      <w:pPr>
        <w:ind w:left="3158" w:hanging="420"/>
      </w:pPr>
    </w:lvl>
    <w:lvl w:ilvl="6" w:tentative="0">
      <w:start w:val="1"/>
      <w:numFmt w:val="decimal"/>
      <w:lvlText w:val="%7."/>
      <w:lvlJc w:val="left"/>
      <w:pPr>
        <w:ind w:left="3578" w:hanging="420"/>
      </w:pPr>
    </w:lvl>
    <w:lvl w:ilvl="7" w:tentative="0">
      <w:start w:val="1"/>
      <w:numFmt w:val="lowerLetter"/>
      <w:lvlText w:val="%8)"/>
      <w:lvlJc w:val="left"/>
      <w:pPr>
        <w:ind w:left="3998" w:hanging="420"/>
      </w:pPr>
    </w:lvl>
    <w:lvl w:ilvl="8" w:tentative="0">
      <w:start w:val="1"/>
      <w:numFmt w:val="lowerRoman"/>
      <w:lvlText w:val="%9."/>
      <w:lvlJc w:val="right"/>
      <w:pPr>
        <w:ind w:left="44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B3C70"/>
    <w:rsid w:val="2D1B3C70"/>
    <w:rsid w:val="36820EF3"/>
    <w:rsid w:val="514B6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99"/>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2025-06-16T08:54:00Z</dcterms:created>
  <dc:creator>打字室女工</dc:creator>
  <cp:lastModifiedBy>打字室女工</cp:lastModifiedBy>
  <dcterms:modified xsi:type="dcterms:W3CDTF">2025-06-16T08:57:48Z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6DC4147C88694AA99444972834CCFAEE</vt:lpwstr>
  </property>
</Properties>
</file>