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3EFC3">
      <w:pPr>
        <w:spacing w:line="570" w:lineRule="exact"/>
        <w:ind w:firstLine="0" w:firstLineChars="0"/>
        <w:jc w:val="center"/>
        <w:rPr>
          <w:rFonts w:hint="eastAsia" w:eastAsia="方正小标宋简体" w:cs="仿宋_GB2312"/>
          <w:color w:val="auto"/>
          <w:sz w:val="44"/>
          <w:szCs w:val="44"/>
        </w:rPr>
      </w:pPr>
      <w:r>
        <w:rPr>
          <w:rFonts w:hint="eastAsia" w:eastAsia="方正小标宋简体" w:cs="仿宋_GB2312"/>
          <w:color w:val="auto"/>
          <w:sz w:val="44"/>
          <w:szCs w:val="44"/>
        </w:rPr>
        <w:t>《梅县区农村集体经营性建设用地土地</w:t>
      </w:r>
    </w:p>
    <w:p w14:paraId="6FD90FAC">
      <w:pPr>
        <w:spacing w:line="570" w:lineRule="exact"/>
        <w:ind w:firstLine="0" w:firstLineChars="0"/>
        <w:jc w:val="center"/>
        <w:rPr>
          <w:rFonts w:hint="eastAsia" w:eastAsia="方正小标宋简体" w:cs="仿宋_GB2312"/>
          <w:color w:val="auto"/>
          <w:sz w:val="44"/>
          <w:szCs w:val="44"/>
        </w:rPr>
      </w:pPr>
      <w:r>
        <w:rPr>
          <w:rFonts w:hint="eastAsia" w:eastAsia="方正小标宋简体" w:cs="仿宋_GB2312"/>
          <w:color w:val="auto"/>
          <w:sz w:val="44"/>
          <w:szCs w:val="44"/>
        </w:rPr>
        <w:t>增值收益调节金征收使用管理</w:t>
      </w:r>
    </w:p>
    <w:p w14:paraId="58FD94EA">
      <w:pPr>
        <w:spacing w:line="570" w:lineRule="exact"/>
        <w:ind w:firstLine="0" w:firstLineChars="0"/>
        <w:jc w:val="center"/>
        <w:rPr>
          <w:rFonts w:eastAsia="方正小标宋简体" w:cs="仿宋_GB2312"/>
          <w:color w:val="auto"/>
          <w:sz w:val="44"/>
          <w:szCs w:val="44"/>
        </w:rPr>
      </w:pPr>
      <w:r>
        <w:rPr>
          <w:rFonts w:hint="eastAsia" w:eastAsia="方正小标宋简体" w:cs="仿宋_GB2312"/>
          <w:color w:val="auto"/>
          <w:sz w:val="44"/>
          <w:szCs w:val="44"/>
        </w:rPr>
        <w:t>办法（试行）》政策解读</w:t>
      </w:r>
    </w:p>
    <w:p w14:paraId="20E054FC">
      <w:pPr>
        <w:spacing w:line="570" w:lineRule="exact"/>
        <w:ind w:firstLine="0" w:firstLineChars="0"/>
        <w:jc w:val="center"/>
        <w:rPr>
          <w:rFonts w:eastAsia="方正小标宋简体" w:cs="仿宋_GB2312"/>
          <w:color w:val="auto"/>
          <w:sz w:val="32"/>
          <w:szCs w:val="32"/>
        </w:rPr>
      </w:pPr>
    </w:p>
    <w:p w14:paraId="200030DB">
      <w:pPr>
        <w:spacing w:line="570" w:lineRule="exact"/>
        <w:ind w:firstLine="640"/>
        <w:rPr>
          <w:sz w:val="32"/>
          <w:szCs w:val="32"/>
        </w:rPr>
      </w:pPr>
      <w:r>
        <w:rPr>
          <w:rFonts w:hint="eastAsia"/>
          <w:sz w:val="32"/>
          <w:szCs w:val="32"/>
        </w:rPr>
        <w:t>《梅县区农村集体经营性建设用地土地增值收益调节金征收使用管理办法（试行）》（以下简称《</w:t>
      </w:r>
      <w:r>
        <w:rPr>
          <w:rFonts w:hint="eastAsia"/>
          <w:sz w:val="32"/>
          <w:szCs w:val="32"/>
          <w:lang w:val="en-US" w:eastAsia="zh-CN"/>
        </w:rPr>
        <w:t>本</w:t>
      </w:r>
      <w:r>
        <w:rPr>
          <w:rFonts w:hint="eastAsia"/>
          <w:sz w:val="32"/>
          <w:szCs w:val="32"/>
        </w:rPr>
        <w:t>办法》）有关内容解读如下：</w:t>
      </w:r>
    </w:p>
    <w:p w14:paraId="26BB7F19">
      <w:pPr>
        <w:spacing w:line="570" w:lineRule="exact"/>
        <w:ind w:firstLine="643"/>
        <w:rPr>
          <w:b/>
          <w:bCs/>
          <w:sz w:val="32"/>
          <w:szCs w:val="32"/>
        </w:rPr>
      </w:pPr>
      <w:r>
        <w:rPr>
          <w:rFonts w:hint="eastAsia"/>
          <w:b/>
          <w:bCs/>
          <w:sz w:val="32"/>
          <w:szCs w:val="32"/>
        </w:rPr>
        <w:t>一、《</w:t>
      </w:r>
      <w:r>
        <w:rPr>
          <w:rFonts w:hint="eastAsia"/>
          <w:b/>
          <w:bCs/>
          <w:sz w:val="32"/>
          <w:szCs w:val="32"/>
          <w:lang w:val="en-US" w:eastAsia="zh-CN"/>
        </w:rPr>
        <w:t>本</w:t>
      </w:r>
      <w:r>
        <w:rPr>
          <w:rFonts w:hint="eastAsia"/>
          <w:b/>
          <w:bCs/>
          <w:sz w:val="32"/>
          <w:szCs w:val="32"/>
        </w:rPr>
        <w:t>办法》的起草背景</w:t>
      </w:r>
    </w:p>
    <w:p w14:paraId="635822BD">
      <w:pPr>
        <w:spacing w:line="570" w:lineRule="exact"/>
        <w:ind w:firstLine="640"/>
        <w:rPr>
          <w:sz w:val="32"/>
          <w:szCs w:val="32"/>
        </w:rPr>
      </w:pPr>
      <w:r>
        <w:rPr>
          <w:rFonts w:hint="eastAsia"/>
          <w:sz w:val="32"/>
          <w:szCs w:val="32"/>
        </w:rPr>
        <w:t>为全面推进乡村振兴战略，贯彻落实中共中央关于建立健全城乡统一的建设用地市场的目标要求，建立兼顾国家、农村集体经济组织、集体经济组织成员的土地增值收益分配机制，保障农村集体经济组织及集体经济组织成员合法权益，规范梅县区农村集体经营性建设用地入市土地增值收益调节金征收使用管理，根据《中华人民共和国土地管理法》《中华人民共和国城乡规划法》《中华人民共和国土地管理法实施条例》等法律法规和《财政部 国土资源部关于印发〈农村集体经营性建设用地土地增值收益调节金征收使用管理暂行办法〉的通知》（财税〔2016〕41号）、《财政部 自然资源部关于延续实施农村集体经营性建设用地土地增值收益调节金政策的通知》（财税〔2023〕52号）等相关规定，结合梅县区实际，制定《</w:t>
      </w:r>
      <w:r>
        <w:rPr>
          <w:rFonts w:hint="eastAsia"/>
          <w:sz w:val="32"/>
          <w:szCs w:val="32"/>
          <w:lang w:eastAsia="zh-CN"/>
        </w:rPr>
        <w:t>本办法</w:t>
      </w:r>
      <w:r>
        <w:rPr>
          <w:rFonts w:hint="eastAsia"/>
          <w:sz w:val="32"/>
          <w:szCs w:val="32"/>
        </w:rPr>
        <w:t>》。</w:t>
      </w:r>
    </w:p>
    <w:p w14:paraId="4815E203">
      <w:pPr>
        <w:spacing w:line="570" w:lineRule="exact"/>
        <w:ind w:firstLine="643"/>
        <w:rPr>
          <w:b/>
          <w:bCs/>
          <w:sz w:val="32"/>
          <w:szCs w:val="32"/>
        </w:rPr>
      </w:pPr>
      <w:r>
        <w:rPr>
          <w:rFonts w:hint="eastAsia"/>
          <w:b/>
          <w:bCs/>
          <w:sz w:val="32"/>
          <w:szCs w:val="32"/>
        </w:rPr>
        <w:t>二、《</w:t>
      </w:r>
      <w:r>
        <w:rPr>
          <w:rFonts w:hint="eastAsia"/>
          <w:b/>
          <w:bCs/>
          <w:sz w:val="32"/>
          <w:szCs w:val="32"/>
          <w:lang w:eastAsia="zh-CN"/>
        </w:rPr>
        <w:t>本办法</w:t>
      </w:r>
      <w:r>
        <w:rPr>
          <w:rFonts w:hint="eastAsia"/>
          <w:b/>
          <w:bCs/>
          <w:sz w:val="32"/>
          <w:szCs w:val="32"/>
        </w:rPr>
        <w:t>》的主要内容</w:t>
      </w:r>
    </w:p>
    <w:p w14:paraId="12BFCC21">
      <w:pPr>
        <w:spacing w:line="570" w:lineRule="exact"/>
        <w:ind w:firstLine="640"/>
        <w:rPr>
          <w:sz w:val="32"/>
          <w:szCs w:val="32"/>
        </w:rPr>
      </w:pPr>
      <w:r>
        <w:rPr>
          <w:rFonts w:hint="eastAsia"/>
          <w:sz w:val="32"/>
          <w:szCs w:val="32"/>
        </w:rPr>
        <w:t>《</w:t>
      </w:r>
      <w:r>
        <w:rPr>
          <w:rFonts w:hint="eastAsia"/>
          <w:sz w:val="32"/>
          <w:szCs w:val="32"/>
          <w:lang w:eastAsia="zh-CN"/>
        </w:rPr>
        <w:t>本办法</w:t>
      </w:r>
      <w:r>
        <w:rPr>
          <w:rFonts w:hint="eastAsia"/>
          <w:sz w:val="32"/>
          <w:szCs w:val="32"/>
        </w:rPr>
        <w:t>》分为六章十九条内容，包含总则，征收主体，调节金征收，调节金使用，法律责任，附则六个方面，各章的内容如下：</w:t>
      </w:r>
    </w:p>
    <w:p w14:paraId="5AC361D6">
      <w:pPr>
        <w:spacing w:line="570" w:lineRule="exact"/>
        <w:ind w:firstLine="643"/>
        <w:rPr>
          <w:sz w:val="32"/>
          <w:szCs w:val="32"/>
        </w:rPr>
      </w:pPr>
      <w:r>
        <w:rPr>
          <w:rFonts w:hint="eastAsia"/>
          <w:b/>
          <w:bCs/>
          <w:sz w:val="32"/>
          <w:szCs w:val="32"/>
        </w:rPr>
        <w:t>第一章 总则（第一条至第三条）。</w:t>
      </w:r>
      <w:r>
        <w:rPr>
          <w:rFonts w:hint="eastAsia"/>
          <w:sz w:val="32"/>
          <w:szCs w:val="32"/>
        </w:rPr>
        <w:t>本章明确《</w:t>
      </w:r>
      <w:r>
        <w:rPr>
          <w:rFonts w:hint="eastAsia"/>
          <w:sz w:val="32"/>
          <w:szCs w:val="32"/>
          <w:lang w:eastAsia="zh-CN"/>
        </w:rPr>
        <w:t>本办法</w:t>
      </w:r>
      <w:r>
        <w:rPr>
          <w:rFonts w:hint="eastAsia"/>
          <w:sz w:val="32"/>
          <w:szCs w:val="32"/>
        </w:rPr>
        <w:t>》的制定目的及依据、农村集体经营性建设用地土地增值收益的定义和调节金的定义及缴纳范围。</w:t>
      </w:r>
    </w:p>
    <w:p w14:paraId="37D09B63">
      <w:pPr>
        <w:spacing w:line="570" w:lineRule="exact"/>
        <w:ind w:firstLine="643"/>
        <w:rPr>
          <w:sz w:val="32"/>
          <w:szCs w:val="32"/>
        </w:rPr>
      </w:pPr>
      <w:r>
        <w:rPr>
          <w:rFonts w:hint="eastAsia"/>
          <w:b/>
          <w:bCs/>
          <w:sz w:val="32"/>
          <w:szCs w:val="32"/>
        </w:rPr>
        <w:t>第二章 征收主体（第四条）。</w:t>
      </w:r>
      <w:r>
        <w:rPr>
          <w:rFonts w:hint="eastAsia"/>
          <w:sz w:val="32"/>
          <w:szCs w:val="32"/>
        </w:rPr>
        <w:t>本章明确调节金征收主体为梅县区人民政府，具体由梅县区财政局会同梅州市自然资源局梅县分局负责组织征收。</w:t>
      </w:r>
    </w:p>
    <w:p w14:paraId="6D9CD1B0">
      <w:pPr>
        <w:spacing w:line="570" w:lineRule="exact"/>
        <w:ind w:firstLine="643"/>
        <w:rPr>
          <w:sz w:val="32"/>
          <w:szCs w:val="32"/>
        </w:rPr>
      </w:pPr>
      <w:r>
        <w:rPr>
          <w:rFonts w:hint="eastAsia"/>
          <w:b/>
          <w:bCs/>
          <w:sz w:val="32"/>
          <w:szCs w:val="32"/>
        </w:rPr>
        <w:t>第三章 调节金征收（第五条至第十一条）。</w:t>
      </w:r>
      <w:r>
        <w:rPr>
          <w:rFonts w:hint="eastAsia"/>
          <w:sz w:val="32"/>
          <w:szCs w:val="32"/>
        </w:rPr>
        <w:t>本章明确调节金的征收对象、征收范围、计提基数及比例、缴纳方式等，</w:t>
      </w:r>
      <w:r>
        <w:rPr>
          <w:rFonts w:hint="eastAsia"/>
          <w:sz w:val="32"/>
          <w:szCs w:val="32"/>
          <w:lang w:val="en-US" w:eastAsia="zh-CN"/>
        </w:rPr>
        <w:t>对不同</w:t>
      </w:r>
      <w:r>
        <w:rPr>
          <w:rFonts w:hint="eastAsia"/>
          <w:sz w:val="32"/>
          <w:szCs w:val="32"/>
        </w:rPr>
        <w:t>入市方式及不同用途</w:t>
      </w:r>
      <w:r>
        <w:rPr>
          <w:rFonts w:hint="eastAsia"/>
          <w:sz w:val="32"/>
          <w:szCs w:val="32"/>
          <w:lang w:val="en-US" w:eastAsia="zh-CN"/>
        </w:rPr>
        <w:t>分别</w:t>
      </w:r>
      <w:r>
        <w:rPr>
          <w:rFonts w:hint="eastAsia"/>
          <w:sz w:val="32"/>
          <w:szCs w:val="32"/>
        </w:rPr>
        <w:t>对征收比例进行规定。</w:t>
      </w:r>
    </w:p>
    <w:p w14:paraId="2A5A8B75">
      <w:pPr>
        <w:spacing w:line="570" w:lineRule="exact"/>
        <w:ind w:firstLine="643"/>
        <w:rPr>
          <w:sz w:val="32"/>
          <w:szCs w:val="32"/>
        </w:rPr>
      </w:pPr>
      <w:r>
        <w:rPr>
          <w:rFonts w:hint="eastAsia"/>
          <w:b/>
          <w:bCs/>
          <w:sz w:val="32"/>
          <w:szCs w:val="32"/>
        </w:rPr>
        <w:t>第四章 调节金使用（第十二条至第十五条）。</w:t>
      </w:r>
      <w:r>
        <w:rPr>
          <w:rFonts w:hint="eastAsia"/>
          <w:sz w:val="32"/>
          <w:szCs w:val="32"/>
        </w:rPr>
        <w:t>本章明确调节金的管理和使用。调节金按照政府非税收入管理，金额上缴区地方国库，纳入一般公共预算管理。</w:t>
      </w:r>
    </w:p>
    <w:p w14:paraId="3A18C292">
      <w:pPr>
        <w:spacing w:line="570" w:lineRule="exact"/>
        <w:ind w:firstLine="643"/>
        <w:rPr>
          <w:sz w:val="32"/>
          <w:szCs w:val="32"/>
        </w:rPr>
      </w:pPr>
      <w:r>
        <w:rPr>
          <w:rFonts w:hint="eastAsia"/>
          <w:b/>
          <w:bCs/>
          <w:sz w:val="32"/>
          <w:szCs w:val="32"/>
        </w:rPr>
        <w:t>第五章 法律责任（第十六条、第十七条）。</w:t>
      </w:r>
      <w:r>
        <w:rPr>
          <w:rFonts w:hint="eastAsia"/>
          <w:sz w:val="32"/>
          <w:szCs w:val="32"/>
        </w:rPr>
        <w:t>本章明确违反调节金缴纳使用的具体情形和法律责任。调节金征收、使用管理有关部门的工作人员违反本办法规定，在调节金征收和使用管理工作中徇私舞弊、玩忽职守、滥用职权的，依法给予处分；涉嫌犯罪的，依法移送司法机关。</w:t>
      </w:r>
    </w:p>
    <w:p w14:paraId="3DB3EBC2">
      <w:pPr>
        <w:spacing w:line="570" w:lineRule="exact"/>
        <w:ind w:firstLine="643"/>
        <w:rPr>
          <w:sz w:val="32"/>
          <w:szCs w:val="32"/>
        </w:rPr>
      </w:pPr>
      <w:r>
        <w:rPr>
          <w:rFonts w:hint="eastAsia"/>
          <w:b/>
          <w:bCs/>
          <w:sz w:val="32"/>
          <w:szCs w:val="32"/>
        </w:rPr>
        <w:t>第六章 附则（第十八条、第十九条）。</w:t>
      </w:r>
      <w:r>
        <w:rPr>
          <w:rFonts w:hint="eastAsia"/>
          <w:sz w:val="32"/>
          <w:szCs w:val="32"/>
        </w:rPr>
        <w:t>本章明确《</w:t>
      </w:r>
      <w:r>
        <w:rPr>
          <w:rFonts w:hint="eastAsia"/>
          <w:sz w:val="32"/>
          <w:szCs w:val="32"/>
          <w:lang w:eastAsia="zh-CN"/>
        </w:rPr>
        <w:t>本办法</w:t>
      </w:r>
      <w:r>
        <w:rPr>
          <w:rFonts w:hint="eastAsia"/>
          <w:sz w:val="32"/>
          <w:szCs w:val="32"/>
        </w:rPr>
        <w:t>》的</w:t>
      </w:r>
      <w:r>
        <w:rPr>
          <w:rFonts w:hint="eastAsia"/>
          <w:sz w:val="32"/>
          <w:szCs w:val="32"/>
          <w:lang w:val="en-US" w:eastAsia="zh-CN"/>
        </w:rPr>
        <w:t>试行日期和有效期</w:t>
      </w:r>
      <w:r>
        <w:rPr>
          <w:rFonts w:hint="eastAsia"/>
          <w:sz w:val="32"/>
          <w:szCs w:val="32"/>
        </w:rPr>
        <w:t>等</w:t>
      </w:r>
      <w:r>
        <w:rPr>
          <w:rFonts w:hint="eastAsia"/>
          <w:sz w:val="32"/>
          <w:szCs w:val="32"/>
          <w:lang w:val="en-US" w:eastAsia="zh-CN"/>
        </w:rPr>
        <w:t>规定</w:t>
      </w:r>
      <w:bookmarkStart w:id="0" w:name="_GoBack"/>
      <w:bookmarkEnd w:id="0"/>
      <w:r>
        <w:rPr>
          <w:rFonts w:hint="eastAsia"/>
          <w:sz w:val="32"/>
          <w:szCs w:val="32"/>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023B3">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23BA">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1D498">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C69D">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C472">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10F7E">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xNTQ0YTQwYzRiOWZkODk4ZmI2NGRhMzk5NTUyOWYifQ=="/>
  </w:docVars>
  <w:rsids>
    <w:rsidRoot w:val="00E01DB9"/>
    <w:rsid w:val="00017573"/>
    <w:rsid w:val="00051CBE"/>
    <w:rsid w:val="000E3F5C"/>
    <w:rsid w:val="00132A1B"/>
    <w:rsid w:val="001B615D"/>
    <w:rsid w:val="001F0818"/>
    <w:rsid w:val="001F6FAE"/>
    <w:rsid w:val="00227AF2"/>
    <w:rsid w:val="002607BC"/>
    <w:rsid w:val="002809A2"/>
    <w:rsid w:val="0030658A"/>
    <w:rsid w:val="00310A40"/>
    <w:rsid w:val="00343517"/>
    <w:rsid w:val="00375D65"/>
    <w:rsid w:val="003850FB"/>
    <w:rsid w:val="00391F50"/>
    <w:rsid w:val="003D0ACB"/>
    <w:rsid w:val="003F02A9"/>
    <w:rsid w:val="00432578"/>
    <w:rsid w:val="00433045"/>
    <w:rsid w:val="00563638"/>
    <w:rsid w:val="005D57B3"/>
    <w:rsid w:val="00647B48"/>
    <w:rsid w:val="006D52AB"/>
    <w:rsid w:val="00754C9E"/>
    <w:rsid w:val="007B1A12"/>
    <w:rsid w:val="007E38B0"/>
    <w:rsid w:val="0086251B"/>
    <w:rsid w:val="00886A05"/>
    <w:rsid w:val="008C5851"/>
    <w:rsid w:val="008D3B60"/>
    <w:rsid w:val="009033EC"/>
    <w:rsid w:val="009E42CD"/>
    <w:rsid w:val="009F752D"/>
    <w:rsid w:val="00A079A2"/>
    <w:rsid w:val="00A43E39"/>
    <w:rsid w:val="00A6531F"/>
    <w:rsid w:val="00B454C7"/>
    <w:rsid w:val="00B621DB"/>
    <w:rsid w:val="00BC0E65"/>
    <w:rsid w:val="00C0376D"/>
    <w:rsid w:val="00C052BC"/>
    <w:rsid w:val="00C24A8C"/>
    <w:rsid w:val="00CB2248"/>
    <w:rsid w:val="00CF3DF4"/>
    <w:rsid w:val="00D00867"/>
    <w:rsid w:val="00DA77C6"/>
    <w:rsid w:val="00E01DB9"/>
    <w:rsid w:val="00E0345D"/>
    <w:rsid w:val="00E03BC0"/>
    <w:rsid w:val="00E345DB"/>
    <w:rsid w:val="00EF238E"/>
    <w:rsid w:val="00F041AB"/>
    <w:rsid w:val="00F075D6"/>
    <w:rsid w:val="31FD3639"/>
    <w:rsid w:val="52F047D2"/>
    <w:rsid w:val="55B004E6"/>
    <w:rsid w:val="61D20EB2"/>
    <w:rsid w:val="71AB6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200" w:firstLineChars="200"/>
      <w:jc w:val="both"/>
    </w:pPr>
    <w:rPr>
      <w:rFonts w:ascii="Times New Roman" w:hAnsi="Times New Roman" w:eastAsia="仿宋_GB2312" w:cs="Times New Roman"/>
      <w:color w:val="000000"/>
      <w:kern w:val="2"/>
      <w:sz w:val="28"/>
      <w:szCs w:val="24"/>
      <w:lang w:val="en-US" w:eastAsia="zh-CN" w:bidi="ar-SA"/>
    </w:rPr>
  </w:style>
  <w:style w:type="paragraph" w:styleId="2">
    <w:name w:val="heading 1"/>
    <w:basedOn w:val="1"/>
    <w:next w:val="1"/>
    <w:link w:val="17"/>
    <w:qFormat/>
    <w:uiPriority w:val="9"/>
    <w:pPr>
      <w:keepNext/>
      <w:keepLines/>
      <w:ind w:firstLine="0" w:firstLineChars="0"/>
      <w:jc w:val="center"/>
      <w:outlineLvl w:val="0"/>
    </w:pPr>
    <w:rPr>
      <w:rFonts w:ascii="等线 Light" w:hAnsi="等线 Light" w:eastAsia="黑体"/>
      <w:sz w:val="48"/>
      <w:szCs w:val="48"/>
    </w:rPr>
  </w:style>
  <w:style w:type="paragraph" w:styleId="3">
    <w:name w:val="heading 2"/>
    <w:basedOn w:val="1"/>
    <w:next w:val="1"/>
    <w:link w:val="18"/>
    <w:unhideWhenUsed/>
    <w:qFormat/>
    <w:uiPriority w:val="9"/>
    <w:pPr>
      <w:keepNext/>
      <w:keepLines/>
      <w:spacing w:before="240" w:after="240"/>
      <w:ind w:firstLine="0" w:firstLineChars="0"/>
      <w:jc w:val="center"/>
      <w:outlineLvl w:val="1"/>
    </w:pPr>
    <w:rPr>
      <w:b/>
      <w:sz w:val="36"/>
      <w:szCs w:val="40"/>
    </w:rPr>
  </w:style>
  <w:style w:type="paragraph" w:styleId="4">
    <w:name w:val="heading 3"/>
    <w:basedOn w:val="1"/>
    <w:next w:val="1"/>
    <w:link w:val="19"/>
    <w:unhideWhenUsed/>
    <w:qFormat/>
    <w:uiPriority w:val="9"/>
    <w:pPr>
      <w:keepNext/>
      <w:keepLines/>
      <w:spacing w:before="50" w:beforeLines="50" w:after="50" w:afterLines="50"/>
      <w:outlineLvl w:val="2"/>
    </w:pPr>
    <w:rPr>
      <w:b/>
      <w:color w:val="auto"/>
      <w:sz w:val="30"/>
      <w:szCs w:val="32"/>
    </w:rPr>
  </w:style>
  <w:style w:type="paragraph" w:styleId="5">
    <w:name w:val="heading 4"/>
    <w:basedOn w:val="1"/>
    <w:next w:val="1"/>
    <w:link w:val="20"/>
    <w:semiHidden/>
    <w:unhideWhenUsed/>
    <w:qFormat/>
    <w:uiPriority w:val="9"/>
    <w:pPr>
      <w:keepNext/>
      <w:keepLines/>
      <w:spacing w:before="80" w:after="40"/>
      <w:outlineLvl w:val="3"/>
    </w:pPr>
    <w:rPr>
      <w:color w:val="0F4761"/>
      <w:szCs w:val="28"/>
    </w:rPr>
  </w:style>
  <w:style w:type="paragraph" w:styleId="6">
    <w:name w:val="heading 5"/>
    <w:basedOn w:val="1"/>
    <w:next w:val="1"/>
    <w:link w:val="21"/>
    <w:semiHidden/>
    <w:unhideWhenUsed/>
    <w:qFormat/>
    <w:uiPriority w:val="9"/>
    <w:pPr>
      <w:keepNext/>
      <w:keepLines/>
      <w:spacing w:before="80" w:after="40"/>
      <w:outlineLvl w:val="4"/>
    </w:pPr>
    <w:rPr>
      <w:color w:val="0F4761"/>
      <w:sz w:val="24"/>
    </w:rPr>
  </w:style>
  <w:style w:type="paragraph" w:styleId="7">
    <w:name w:val="heading 6"/>
    <w:basedOn w:val="1"/>
    <w:next w:val="1"/>
    <w:link w:val="22"/>
    <w:semiHidden/>
    <w:unhideWhenUsed/>
    <w:qFormat/>
    <w:uiPriority w:val="9"/>
    <w:pPr>
      <w:keepNext/>
      <w:keepLines/>
      <w:spacing w:before="40"/>
      <w:outlineLvl w:val="5"/>
    </w:pPr>
    <w:rPr>
      <w:b/>
      <w:bCs/>
      <w:color w:val="0F4761"/>
    </w:rPr>
  </w:style>
  <w:style w:type="paragraph" w:styleId="8">
    <w:name w:val="heading 7"/>
    <w:basedOn w:val="1"/>
    <w:next w:val="1"/>
    <w:link w:val="23"/>
    <w:semiHidden/>
    <w:unhideWhenUsed/>
    <w:qFormat/>
    <w:uiPriority w:val="9"/>
    <w:pPr>
      <w:keepNext/>
      <w:keepLines/>
      <w:spacing w:before="40"/>
      <w:outlineLvl w:val="6"/>
    </w:pPr>
    <w:rPr>
      <w:b/>
      <w:bCs/>
      <w:color w:val="595959"/>
    </w:rPr>
  </w:style>
  <w:style w:type="paragraph" w:styleId="9">
    <w:name w:val="heading 8"/>
    <w:basedOn w:val="1"/>
    <w:next w:val="1"/>
    <w:link w:val="24"/>
    <w:semiHidden/>
    <w:unhideWhenUsed/>
    <w:qFormat/>
    <w:uiPriority w:val="9"/>
    <w:pPr>
      <w:keepNext/>
      <w:keepLines/>
      <w:outlineLvl w:val="7"/>
    </w:pPr>
    <w:rPr>
      <w:color w:val="595959"/>
    </w:rPr>
  </w:style>
  <w:style w:type="paragraph" w:styleId="10">
    <w:name w:val="heading 9"/>
    <w:basedOn w:val="1"/>
    <w:next w:val="1"/>
    <w:link w:val="25"/>
    <w:semiHidden/>
    <w:unhideWhenUsed/>
    <w:qFormat/>
    <w:uiPriority w:val="9"/>
    <w:pPr>
      <w:keepNext/>
      <w:keepLines/>
      <w:outlineLvl w:val="8"/>
    </w:pPr>
    <w:rPr>
      <w:rFonts w:eastAsia="等线 Light"/>
      <w:color w:val="595959"/>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pacing w:line="240" w:lineRule="auto"/>
      <w:jc w:val="left"/>
    </w:pPr>
    <w:rPr>
      <w:sz w:val="18"/>
      <w:szCs w:val="18"/>
    </w:rPr>
  </w:style>
  <w:style w:type="paragraph" w:styleId="12">
    <w:name w:val="header"/>
    <w:basedOn w:val="1"/>
    <w:link w:val="37"/>
    <w:unhideWhenUsed/>
    <w:qFormat/>
    <w:uiPriority w:val="99"/>
    <w:pPr>
      <w:tabs>
        <w:tab w:val="center" w:pos="4153"/>
        <w:tab w:val="right" w:pos="8306"/>
      </w:tabs>
      <w:spacing w:line="240" w:lineRule="auto"/>
      <w:jc w:val="center"/>
    </w:pPr>
    <w:rPr>
      <w:sz w:val="18"/>
      <w:szCs w:val="18"/>
    </w:rPr>
  </w:style>
  <w:style w:type="paragraph" w:styleId="13">
    <w:name w:val="Subtitle"/>
    <w:basedOn w:val="1"/>
    <w:next w:val="1"/>
    <w:link w:val="27"/>
    <w:qFormat/>
    <w:uiPriority w:val="11"/>
    <w:pPr>
      <w:ind w:firstLine="200" w:firstLineChars="200"/>
      <w:jc w:val="center"/>
    </w:pPr>
    <w:rPr>
      <w:rFonts w:ascii="等线 Light" w:hAnsi="等线 Light" w:eastAsia="等线 Light"/>
      <w:color w:val="595959"/>
      <w:spacing w:val="15"/>
      <w:szCs w:val="28"/>
    </w:rPr>
  </w:style>
  <w:style w:type="paragraph" w:styleId="14">
    <w:name w:val="Title"/>
    <w:basedOn w:val="1"/>
    <w:next w:val="1"/>
    <w:link w:val="26"/>
    <w:qFormat/>
    <w:uiPriority w:val="10"/>
    <w:pPr>
      <w:spacing w:after="80" w:line="240" w:lineRule="auto"/>
      <w:contextualSpacing/>
      <w:jc w:val="center"/>
    </w:pPr>
    <w:rPr>
      <w:rFonts w:ascii="等线 Light" w:hAnsi="等线 Light" w:eastAsia="等线 Light"/>
      <w:spacing w:val="-10"/>
      <w:kern w:val="28"/>
      <w:sz w:val="56"/>
      <w:szCs w:val="56"/>
    </w:rPr>
  </w:style>
  <w:style w:type="character" w:customStyle="1" w:styleId="17">
    <w:name w:val="标题 1 字符"/>
    <w:link w:val="2"/>
    <w:qFormat/>
    <w:uiPriority w:val="9"/>
    <w:rPr>
      <w:rFonts w:ascii="等线 Light" w:hAnsi="等线 Light" w:eastAsia="黑体"/>
      <w:color w:val="000000"/>
      <w:kern w:val="2"/>
      <w:sz w:val="48"/>
      <w:szCs w:val="48"/>
    </w:rPr>
  </w:style>
  <w:style w:type="character" w:customStyle="1" w:styleId="18">
    <w:name w:val="标题 2 字符"/>
    <w:link w:val="3"/>
    <w:qFormat/>
    <w:uiPriority w:val="9"/>
    <w:rPr>
      <w:rFonts w:ascii="Times New Roman" w:hAnsi="Times New Roman" w:eastAsia="仿宋_GB2312"/>
      <w:b/>
      <w:color w:val="000000"/>
      <w:kern w:val="2"/>
      <w:sz w:val="36"/>
      <w:szCs w:val="40"/>
    </w:rPr>
  </w:style>
  <w:style w:type="character" w:customStyle="1" w:styleId="19">
    <w:name w:val="标题 3 字符"/>
    <w:link w:val="4"/>
    <w:qFormat/>
    <w:uiPriority w:val="9"/>
    <w:rPr>
      <w:rFonts w:ascii="Times New Roman" w:hAnsi="Times New Roman" w:eastAsia="仿宋_GB2312"/>
      <w:b/>
      <w:kern w:val="2"/>
      <w:sz w:val="30"/>
      <w:szCs w:val="32"/>
    </w:rPr>
  </w:style>
  <w:style w:type="character" w:customStyle="1" w:styleId="20">
    <w:name w:val="标题 4 字符"/>
    <w:link w:val="5"/>
    <w:semiHidden/>
    <w:qFormat/>
    <w:uiPriority w:val="9"/>
    <w:rPr>
      <w:rFonts w:ascii="Times New Roman" w:hAnsi="Times New Roman" w:eastAsia="仿宋_GB2312"/>
      <w:color w:val="0F4761"/>
      <w:kern w:val="2"/>
      <w:sz w:val="28"/>
      <w:szCs w:val="28"/>
    </w:rPr>
  </w:style>
  <w:style w:type="character" w:customStyle="1" w:styleId="21">
    <w:name w:val="标题 5 字符"/>
    <w:link w:val="6"/>
    <w:semiHidden/>
    <w:qFormat/>
    <w:uiPriority w:val="9"/>
    <w:rPr>
      <w:rFonts w:ascii="Times New Roman" w:hAnsi="Times New Roman" w:eastAsia="仿宋_GB2312"/>
      <w:color w:val="0F4761"/>
      <w:kern w:val="2"/>
      <w:sz w:val="24"/>
      <w:szCs w:val="24"/>
    </w:rPr>
  </w:style>
  <w:style w:type="character" w:customStyle="1" w:styleId="22">
    <w:name w:val="标题 6 字符"/>
    <w:link w:val="7"/>
    <w:semiHidden/>
    <w:qFormat/>
    <w:uiPriority w:val="9"/>
    <w:rPr>
      <w:rFonts w:ascii="Times New Roman" w:hAnsi="Times New Roman" w:eastAsia="仿宋_GB2312"/>
      <w:b/>
      <w:bCs/>
      <w:color w:val="0F4761"/>
      <w:kern w:val="2"/>
      <w:sz w:val="28"/>
      <w:szCs w:val="24"/>
    </w:rPr>
  </w:style>
  <w:style w:type="character" w:customStyle="1" w:styleId="23">
    <w:name w:val="标题 7 字符"/>
    <w:link w:val="8"/>
    <w:semiHidden/>
    <w:qFormat/>
    <w:uiPriority w:val="9"/>
    <w:rPr>
      <w:rFonts w:ascii="Times New Roman" w:hAnsi="Times New Roman" w:eastAsia="仿宋_GB2312"/>
      <w:b/>
      <w:bCs/>
      <w:color w:val="595959"/>
      <w:kern w:val="2"/>
      <w:sz w:val="28"/>
      <w:szCs w:val="24"/>
    </w:rPr>
  </w:style>
  <w:style w:type="character" w:customStyle="1" w:styleId="24">
    <w:name w:val="标题 8 字符"/>
    <w:link w:val="9"/>
    <w:semiHidden/>
    <w:qFormat/>
    <w:uiPriority w:val="9"/>
    <w:rPr>
      <w:rFonts w:ascii="Times New Roman" w:hAnsi="Times New Roman" w:eastAsia="仿宋_GB2312"/>
      <w:color w:val="595959"/>
      <w:kern w:val="2"/>
      <w:sz w:val="28"/>
      <w:szCs w:val="24"/>
    </w:rPr>
  </w:style>
  <w:style w:type="character" w:customStyle="1" w:styleId="25">
    <w:name w:val="标题 9 字符"/>
    <w:link w:val="10"/>
    <w:semiHidden/>
    <w:qFormat/>
    <w:uiPriority w:val="9"/>
    <w:rPr>
      <w:rFonts w:ascii="Times New Roman" w:hAnsi="Times New Roman" w:eastAsia="等线 Light"/>
      <w:color w:val="595959"/>
      <w:kern w:val="2"/>
      <w:sz w:val="28"/>
      <w:szCs w:val="24"/>
    </w:rPr>
  </w:style>
  <w:style w:type="character" w:customStyle="1" w:styleId="26">
    <w:name w:val="标题 字符"/>
    <w:link w:val="14"/>
    <w:qFormat/>
    <w:uiPriority w:val="10"/>
    <w:rPr>
      <w:rFonts w:ascii="等线 Light" w:hAnsi="等线 Light" w:eastAsia="等线 Light"/>
      <w:color w:val="000000"/>
      <w:spacing w:val="-10"/>
      <w:kern w:val="28"/>
      <w:sz w:val="56"/>
      <w:szCs w:val="56"/>
    </w:rPr>
  </w:style>
  <w:style w:type="character" w:customStyle="1" w:styleId="27">
    <w:name w:val="副标题 字符"/>
    <w:link w:val="13"/>
    <w:qFormat/>
    <w:uiPriority w:val="11"/>
    <w:rPr>
      <w:rFonts w:ascii="等线 Light" w:hAnsi="等线 Light" w:eastAsia="等线 Light"/>
      <w:color w:val="595959"/>
      <w:spacing w:val="15"/>
      <w:kern w:val="2"/>
      <w:sz w:val="28"/>
      <w:szCs w:val="28"/>
    </w:rPr>
  </w:style>
  <w:style w:type="paragraph" w:styleId="28">
    <w:name w:val="No Spacing"/>
    <w:qFormat/>
    <w:uiPriority w:val="1"/>
    <w:pPr>
      <w:widowControl w:val="0"/>
      <w:snapToGrid w:val="0"/>
      <w:ind w:firstLine="200" w:firstLineChars="200"/>
      <w:jc w:val="both"/>
    </w:pPr>
    <w:rPr>
      <w:rFonts w:ascii="Times New Roman" w:hAnsi="Times New Roman" w:eastAsia="仿宋_GB2312" w:cs="Times New Roman"/>
      <w:color w:val="000000"/>
      <w:kern w:val="2"/>
      <w:sz w:val="28"/>
      <w:szCs w:val="24"/>
      <w:lang w:val="en-US" w:eastAsia="zh-CN" w:bidi="ar-SA"/>
    </w:rPr>
  </w:style>
  <w:style w:type="paragraph" w:styleId="29">
    <w:name w:val="List Paragraph"/>
    <w:basedOn w:val="1"/>
    <w:qFormat/>
    <w:uiPriority w:val="34"/>
    <w:pPr>
      <w:ind w:left="720"/>
      <w:contextualSpacing/>
    </w:pPr>
  </w:style>
  <w:style w:type="paragraph" w:styleId="30">
    <w:name w:val="Quote"/>
    <w:basedOn w:val="1"/>
    <w:next w:val="1"/>
    <w:link w:val="31"/>
    <w:qFormat/>
    <w:uiPriority w:val="29"/>
    <w:pPr>
      <w:spacing w:before="160"/>
      <w:jc w:val="center"/>
    </w:pPr>
    <w:rPr>
      <w:i/>
      <w:iCs/>
      <w:color w:val="404040"/>
    </w:rPr>
  </w:style>
  <w:style w:type="character" w:customStyle="1" w:styleId="31">
    <w:name w:val="引用 字符"/>
    <w:link w:val="30"/>
    <w:qFormat/>
    <w:uiPriority w:val="29"/>
    <w:rPr>
      <w:rFonts w:ascii="Times New Roman" w:hAnsi="Times New Roman" w:eastAsia="仿宋_GB2312"/>
      <w:i/>
      <w:iCs/>
      <w:color w:val="404040"/>
      <w:kern w:val="2"/>
      <w:sz w:val="28"/>
      <w:szCs w:val="24"/>
    </w:rPr>
  </w:style>
  <w:style w:type="paragraph" w:styleId="32">
    <w:name w:val="Intense Quote"/>
    <w:basedOn w:val="1"/>
    <w:next w:val="1"/>
    <w:link w:val="33"/>
    <w:qFormat/>
    <w:uiPriority w:val="30"/>
    <w:pPr>
      <w:pBdr>
        <w:top w:val="single" w:color="0F4761" w:sz="4" w:space="10"/>
        <w:bottom w:val="single" w:color="0F4761" w:sz="4" w:space="10"/>
      </w:pBdr>
      <w:spacing w:before="360" w:after="360"/>
      <w:ind w:left="864" w:right="864"/>
      <w:jc w:val="center"/>
    </w:pPr>
    <w:rPr>
      <w:i/>
      <w:iCs/>
      <w:color w:val="0F4761"/>
    </w:rPr>
  </w:style>
  <w:style w:type="character" w:customStyle="1" w:styleId="33">
    <w:name w:val="明显引用 字符"/>
    <w:link w:val="32"/>
    <w:qFormat/>
    <w:uiPriority w:val="30"/>
    <w:rPr>
      <w:rFonts w:ascii="Times New Roman" w:hAnsi="Times New Roman" w:eastAsia="仿宋_GB2312"/>
      <w:i/>
      <w:iCs/>
      <w:color w:val="0F4761"/>
      <w:kern w:val="2"/>
      <w:sz w:val="28"/>
      <w:szCs w:val="24"/>
    </w:rPr>
  </w:style>
  <w:style w:type="character" w:customStyle="1" w:styleId="34">
    <w:name w:val="Intense Emphasis"/>
    <w:qFormat/>
    <w:uiPriority w:val="21"/>
    <w:rPr>
      <w:i/>
      <w:iCs/>
      <w:color w:val="0F4761"/>
    </w:rPr>
  </w:style>
  <w:style w:type="character" w:customStyle="1" w:styleId="35">
    <w:name w:val="Intense Reference"/>
    <w:qFormat/>
    <w:uiPriority w:val="32"/>
    <w:rPr>
      <w:b/>
      <w:bCs/>
      <w:smallCaps/>
      <w:color w:val="0F4761"/>
      <w:spacing w:val="5"/>
    </w:rPr>
  </w:style>
  <w:style w:type="paragraph" w:customStyle="1" w:styleId="36">
    <w:name w:val="TOC Heading"/>
    <w:basedOn w:val="2"/>
    <w:next w:val="1"/>
    <w:unhideWhenUsed/>
    <w:qFormat/>
    <w:uiPriority w:val="39"/>
    <w:pPr>
      <w:widowControl/>
      <w:snapToGrid/>
      <w:spacing w:before="240" w:line="259" w:lineRule="auto"/>
      <w:jc w:val="left"/>
      <w:outlineLvl w:val="9"/>
    </w:pPr>
    <w:rPr>
      <w:rFonts w:eastAsia="等线 Light"/>
      <w:color w:val="0F4761"/>
      <w:kern w:val="0"/>
      <w:sz w:val="32"/>
      <w:szCs w:val="32"/>
    </w:rPr>
  </w:style>
  <w:style w:type="character" w:customStyle="1" w:styleId="37">
    <w:name w:val="页眉 字符"/>
    <w:basedOn w:val="16"/>
    <w:link w:val="12"/>
    <w:qFormat/>
    <w:uiPriority w:val="99"/>
    <w:rPr>
      <w:rFonts w:ascii="Times New Roman" w:hAnsi="Times New Roman" w:eastAsia="仿宋_GB2312"/>
      <w:color w:val="000000"/>
      <w:kern w:val="2"/>
      <w:sz w:val="18"/>
      <w:szCs w:val="18"/>
    </w:rPr>
  </w:style>
  <w:style w:type="character" w:customStyle="1" w:styleId="38">
    <w:name w:val="页脚 字符"/>
    <w:basedOn w:val="16"/>
    <w:link w:val="11"/>
    <w:qFormat/>
    <w:uiPriority w:val="99"/>
    <w:rPr>
      <w:rFonts w:ascii="Times New Roman" w:hAnsi="Times New Roman" w:eastAsia="仿宋_GB2312"/>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1002</Words>
  <Characters>1010</Characters>
  <Lines>7</Lines>
  <Paragraphs>2</Paragraphs>
  <TotalTime>111</TotalTime>
  <ScaleCrop>false</ScaleCrop>
  <LinksUpToDate>false</LinksUpToDate>
  <CharactersWithSpaces>1018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2024-07-03T01:03:00Z</dcterms:created>
  <dc:creator>WH D</dc:creator>
  <cp:lastModifiedBy>CHEN</cp:lastModifiedBy>
  <dcterms:modified xsi:type="dcterms:W3CDTF">2024-11-06T10:46:56Z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DB95F1A2F9644C849D9CBE82CF89B04F_12</vt:lpwstr>
  </property>
</Properties>
</file>