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atLeast"/>
        <w:jc w:val="left"/>
        <w:textAlignment w:val="auto"/>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18"/>
          <w:szCs w:val="1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梅州市</w:t>
      </w:r>
      <w:bookmarkStart w:id="0" w:name="_GoBack"/>
      <w:bookmarkEnd w:id="0"/>
      <w:r>
        <w:rPr>
          <w:rFonts w:hint="eastAsia" w:ascii="方正小标宋_GBK" w:hAnsi="方正小标宋_GBK" w:eastAsia="方正小标宋_GBK" w:cs="方正小标宋_GBK"/>
          <w:b w:val="0"/>
          <w:bCs w:val="0"/>
          <w:sz w:val="44"/>
          <w:szCs w:val="44"/>
          <w:lang w:val="en-US" w:eastAsia="zh-CN"/>
        </w:rPr>
        <w:t>梅县区2025年度烟花爆竹零售店（点）规划布点方案</w:t>
      </w:r>
      <w:r>
        <w:rPr>
          <w:rFonts w:hint="eastAsia" w:ascii="方正小标宋简体" w:hAnsi="方正小标宋简体" w:eastAsia="方正小标宋简体" w:cs="方正小标宋简体"/>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heme="majorEastAsia" w:hAnsiTheme="majorEastAsia" w:eastAsiaTheme="majorEastAsia" w:cstheme="major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atLeast"/>
        <w:ind w:firstLine="64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i w:val="0"/>
          <w:caps w:val="0"/>
          <w:color w:val="333333"/>
          <w:spacing w:val="0"/>
          <w:kern w:val="0"/>
          <w:sz w:val="32"/>
          <w:szCs w:val="32"/>
          <w:shd w:val="clear" w:fill="FFFFFF"/>
          <w:lang w:val="en-US" w:eastAsia="zh-CN" w:bidi="ar"/>
        </w:rPr>
        <w:t>为做好2025年度全区烟花爆竹经营（零售）许可证办理工作，规范市场经营秩序，严防烟花爆竹事故发生，保障公共安全和人民群众生命财产安全，维护社会稳定，根据《烟花爆竹安全管理条例》（国务院令第455号）、《烟花爆竹生产经营安全规定》（国家安全生产监督管理总局令第93号）、《烟花爆竹经营许可实施办法》（国家安监总局令第65号）、《广东省安全生产监督管理局关于烟花爆竹经营许可的实施细则》（原粤安监〔2014〕44号）、《梅州市应急管理局关于加强2025年度烟花爆竹零售店（点）规划布点工作的通知》（梅市应急〔</w:t>
      </w:r>
      <w:r>
        <w:rPr>
          <w:rFonts w:hint="eastAsia" w:ascii="仿宋" w:hAnsi="仿宋" w:eastAsia="仿宋" w:cs="仿宋"/>
          <w:b w:val="0"/>
          <w:i w:val="0"/>
          <w:caps w:val="0"/>
          <w:color w:val="333333"/>
          <w:spacing w:val="0"/>
          <w:kern w:val="0"/>
          <w:sz w:val="32"/>
          <w:szCs w:val="32"/>
          <w:shd w:val="clear" w:fill="FFFFFF"/>
          <w:lang w:val="en" w:eastAsia="zh-CN" w:bidi="ar"/>
        </w:rPr>
        <w:t>2024</w:t>
      </w:r>
      <w:r>
        <w:rPr>
          <w:rFonts w:hint="eastAsia" w:ascii="仿宋" w:hAnsi="仿宋" w:eastAsia="仿宋" w:cs="仿宋"/>
          <w:b w:val="0"/>
          <w:i w:val="0"/>
          <w:caps w:val="0"/>
          <w:color w:val="333333"/>
          <w:spacing w:val="0"/>
          <w:kern w:val="0"/>
          <w:sz w:val="32"/>
          <w:szCs w:val="32"/>
          <w:shd w:val="clear" w:fill="FFFFFF"/>
          <w:lang w:val="en-US" w:eastAsia="zh-CN" w:bidi="ar"/>
        </w:rPr>
        <w:t>〕</w:t>
      </w:r>
      <w:r>
        <w:rPr>
          <w:rFonts w:hint="eastAsia" w:ascii="仿宋" w:hAnsi="仿宋" w:eastAsia="仿宋" w:cs="仿宋"/>
          <w:b w:val="0"/>
          <w:i w:val="0"/>
          <w:caps w:val="0"/>
          <w:color w:val="333333"/>
          <w:spacing w:val="0"/>
          <w:kern w:val="0"/>
          <w:sz w:val="32"/>
          <w:szCs w:val="32"/>
          <w:shd w:val="clear" w:fill="FFFFFF"/>
          <w:lang w:val="en" w:eastAsia="zh-CN" w:bidi="ar"/>
        </w:rPr>
        <w:t>125号）</w:t>
      </w:r>
      <w:r>
        <w:rPr>
          <w:rFonts w:hint="eastAsia" w:ascii="仿宋" w:hAnsi="仿宋" w:eastAsia="仿宋" w:cs="仿宋"/>
          <w:b w:val="0"/>
          <w:i w:val="0"/>
          <w:caps w:val="0"/>
          <w:color w:val="333333"/>
          <w:spacing w:val="0"/>
          <w:kern w:val="0"/>
          <w:sz w:val="32"/>
          <w:szCs w:val="32"/>
          <w:shd w:val="clear" w:fill="FFFFFF"/>
          <w:lang w:val="en-US" w:eastAsia="zh-CN" w:bidi="ar"/>
        </w:rPr>
        <w:t>等有关法律法规要求，结合我区实际，制定本方案。</w:t>
      </w:r>
    </w:p>
    <w:p>
      <w:pPr>
        <w:keepNext w:val="0"/>
        <w:keepLines w:val="0"/>
        <w:pageBreakBefore w:val="0"/>
        <w:widowControl w:val="0"/>
        <w:kinsoku/>
        <w:wordWrap/>
        <w:overflowPunct/>
        <w:topLinePunct w:val="0"/>
        <w:autoSpaceDE/>
        <w:autoSpaceDN/>
        <w:bidi w:val="0"/>
        <w:adjustRightInd/>
        <w:snapToGrid/>
        <w:spacing w:line="500" w:lineRule="atLeast"/>
        <w:ind w:firstLine="640"/>
        <w:jc w:val="left"/>
        <w:textAlignment w:val="auto"/>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一、规划布点原则</w:t>
      </w:r>
    </w:p>
    <w:p>
      <w:pPr>
        <w:keepNext w:val="0"/>
        <w:keepLines w:val="0"/>
        <w:pageBreakBefore w:val="0"/>
        <w:widowControl w:val="0"/>
        <w:kinsoku/>
        <w:wordWrap/>
        <w:overflowPunct/>
        <w:topLinePunct w:val="0"/>
        <w:autoSpaceDE/>
        <w:autoSpaceDN/>
        <w:bidi w:val="0"/>
        <w:adjustRightInd/>
        <w:snapToGrid/>
        <w:spacing w:line="500" w:lineRule="atLeast"/>
        <w:ind w:firstLine="640"/>
        <w:jc w:val="left"/>
        <w:textAlignment w:val="auto"/>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贯彻“保障安全、统一规划、合理布局、总量控制、适度竞争”原则，综合考虑所辖行政村数量、人口规模、经济发展水平和城镇化建设格局，合理确定烟花爆竹零售经营布点规划，坚决纠正上宅下店、前店后宅和安全间距不足等突出问题，建设科学合理、规范合法、公平公正、安全便民的烟花爆竹经营秩序。</w:t>
      </w:r>
    </w:p>
    <w:p>
      <w:pPr>
        <w:keepNext w:val="0"/>
        <w:keepLines w:val="0"/>
        <w:pageBreakBefore w:val="0"/>
        <w:widowControl w:val="0"/>
        <w:kinsoku/>
        <w:wordWrap/>
        <w:overflowPunct/>
        <w:topLinePunct w:val="0"/>
        <w:autoSpaceDE/>
        <w:autoSpaceDN/>
        <w:bidi w:val="0"/>
        <w:adjustRightInd/>
        <w:snapToGrid/>
        <w:spacing w:line="500" w:lineRule="atLeas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二、规划布点要求</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（一）符合当地烟花爆竹燃放政策规定；</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（二）具备零售经营许可证颁发规定的安全生产条件；</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（三）相邻零售点之间的距离不小于 50 米；</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（四）不得在烟花爆竹禁放区范围内布设烟花爆竹零售点；</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（五）烟花爆竹零售点不得与居民居住场所设置在同一建筑物内,并应与学校、幼儿园、医院、集贸市场等人员密集场所和加油站等易燃易爆物品生产、储存设施等重点建筑物保持 100 米以上的安全距离；</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（六）严禁在城乡结合部或集贸市场布设连片集中形式的烟花爆竹零售经营场所。</w:t>
      </w:r>
    </w:p>
    <w:p>
      <w:pPr>
        <w:keepNext w:val="0"/>
        <w:keepLines w:val="0"/>
        <w:pageBreakBefore w:val="0"/>
        <w:widowControl w:val="0"/>
        <w:kinsoku/>
        <w:wordWrap/>
        <w:overflowPunct/>
        <w:topLinePunct w:val="0"/>
        <w:autoSpaceDE/>
        <w:autoSpaceDN/>
        <w:bidi w:val="0"/>
        <w:adjustRightInd/>
        <w:snapToGrid/>
        <w:spacing w:line="500" w:lineRule="atLeast"/>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三、规划布点数量</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2025年度，全区规划不超过</w:t>
      </w:r>
      <w:r>
        <w:rPr>
          <w:rFonts w:hint="eastAsia" w:ascii="方正仿宋_GBK" w:hAnsi="方正仿宋_GBK" w:eastAsia="方正仿宋_GBK" w:cs="方正仿宋_GBK"/>
          <w:b w:val="0"/>
          <w:bCs w:val="0"/>
          <w:sz w:val="32"/>
          <w:szCs w:val="32"/>
          <w:u w:val="none"/>
          <w:lang w:val="en-US" w:eastAsia="zh-CN"/>
        </w:rPr>
        <w:t>145</w:t>
      </w:r>
      <w:r>
        <w:rPr>
          <w:rFonts w:hint="eastAsia" w:ascii="方正仿宋_GBK" w:hAnsi="方正仿宋_GBK" w:eastAsia="方正仿宋_GBK" w:cs="方正仿宋_GBK"/>
          <w:b w:val="0"/>
          <w:bCs w:val="0"/>
          <w:sz w:val="32"/>
          <w:szCs w:val="32"/>
          <w:lang w:val="en-US" w:eastAsia="zh-CN"/>
        </w:rPr>
        <w:t>家烟花爆竹零售店，布设在17个镇（详见附表）。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jc w:val="left"/>
        <w:textAlignment w:val="auto"/>
        <w:rPr>
          <w:rFonts w:hint="eastAsia" w:ascii="黑体" w:hAnsi="黑体" w:eastAsia="黑体" w:cs="黑体"/>
          <w:b w:val="0"/>
          <w:i w:val="0"/>
          <w:caps w:val="0"/>
          <w:color w:val="000000"/>
          <w:spacing w:val="0"/>
          <w:kern w:val="0"/>
          <w:sz w:val="32"/>
          <w:szCs w:val="32"/>
          <w:shd w:val="clear" w:fill="FFFFFF"/>
          <w:lang w:val="en-US" w:eastAsia="zh-CN" w:bidi="ar"/>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（一）要强化宣传,做好打非治违</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区应急管理局、各镇人民政府要积极向社会宣传，让拟申请单位熟知烟花爆竹经营烟花爆竹经营（零售）布点规划原则和规划条件；同时区应急管理局应结合安全生产治本攻坚三年行动，会同公安、交通运输、市场监管等部门聚焦烟花爆竹销售旺季的重点时段，定期组织开展烟花爆竹安全监管和打非治违联合行动，追查检查、追踪溯源，严厉打击烟花爆竹各环节的非法违法行为；要对组织、参与非法经营、储存烟花爆竹的失信企业和人员，要依照有关规定纳入联合惩戒“黑名单”管理并向社会公示，实施联合惩戒和行业禁入；要建立完善有奖举报制度，加强宣传曝光，公布举报电话，发动广大群众对烟花爆竹的违法违规进行举报，让广大群众参与进来，发挥广大群众的监督作用，引导群众自觉抵制、主动举报相关非法违法行为，提高人民群众认识；另外，还要加强防范因燃放烟花爆竹引发的森林火灾和其他伤害，强化极端天气条件下烟花爆竹安全管控，有效防范烟花爆竹安全风险，确保烟花爆竹行业安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要严格审批，做好培训教育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jc w:val="both"/>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区应急管理局要切实加强源头把关，加强安全条件审查，严格落实《烟花爆竹零售店(点)安全技术规范(AQ4128-2019)》要求，强化烟花爆竹经营点现场查核力度，逐一过关，坚决杜绝“下店上宅”、“前店后宅”和安全距离不足等问题，对于存在前店后仓、下店上仓嫌疑的，要坚决封闭通道；加强对零售店(点)经营者的教育培训，对符合条件的零售店主要负责人和安全管理员进行安全培训，做到真培训真考试。对存在以下情形之一的坚决不予发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1、不符合安全条件要求的网点坚决不予发证；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2、对培训不合格的坚决不予发证；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3、对存在前店后仓、下店上仓,通道不封闭的坚决不予发证。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（三）要强化监管，严格执法检查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区应急管理局要加强对烟花爆竹经营单位执法检查，在检查中发现的各类违法违规行为，要依法依规从严从快从重查处。严格落实属地监管责任，压实镇街、村居责任，持续加强对烟花爆竹经营单位的监督检查。烟花爆竹销售旺季期间，区应急管理局要统筹组织力量，对辖区烟花爆竹批发仓库和经营点，不间断开展巡查检查,，务必做到镇(街道)一级巡查烟花爆竹零售点全覆盖，全力管控和化解安全风险、治理隐患，严防安全事故发生。对无证经营、一证多点、违法储存、超量储存、随意变更经营场所、销售旺季乱摆摊设点以及禁燃区从事烟花爆竹经营活动等违法违规行为，要一律依法查处；同时要督促零售店(点)要与批发企业签订配送协议，确保安全配送、有序配送。对于构成犯罪的，依法移交公安机关侦办,力求形成强大震慑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firstLine="640"/>
        <w:jc w:val="right"/>
        <w:textAlignment w:val="auto"/>
        <w:rPr>
          <w:rFonts w:hint="default"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 xml:space="preserve">梅州市梅县区应急管理局  </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firstLine="640"/>
        <w:jc w:val="right"/>
        <w:textAlignment w:val="auto"/>
        <w:rPr>
          <w:rFonts w:hint="default" w:ascii="方正仿宋_GBK" w:hAnsi="方正仿宋_GBK" w:eastAsia="方正仿宋_GBK" w:cs="方正仿宋_GBK"/>
          <w:b w:val="0"/>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 xml:space="preserve">2024年10月29日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jc w:val="left"/>
        <w:textAlignment w:val="auto"/>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附表：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梅州市梅县区2025年度烟花爆竹经营（零售）布点规划表</w:t>
      </w:r>
    </w:p>
    <w:tbl>
      <w:tblPr>
        <w:tblStyle w:val="6"/>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257"/>
        <w:gridCol w:w="1718"/>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13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2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镇  别</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规划数</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程江镇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w:t>
            </w:r>
          </w:p>
        </w:tc>
        <w:tc>
          <w:tcPr>
            <w:tcW w:w="2981" w:type="dxa"/>
            <w:vAlign w:val="center"/>
          </w:tcPr>
          <w:p>
            <w:p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禁放区外布设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丙村镇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7</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雁洋镇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5</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4</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松源镇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5</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松口镇</w:t>
            </w:r>
          </w:p>
        </w:tc>
        <w:tc>
          <w:tcPr>
            <w:tcW w:w="1718" w:type="dxa"/>
            <w:vAlign w:val="center"/>
          </w:tcPr>
          <w:p>
            <w:pPr>
              <w:spacing w:line="240" w:lineRule="auto"/>
              <w:jc w:val="center"/>
              <w:rPr>
                <w:rFonts w:hint="default" w:ascii="仿宋" w:hAnsi="仿宋" w:eastAsia="仿宋" w:cs="仿宋"/>
                <w:b w:val="0"/>
                <w:bCs w:val="0"/>
                <w:kern w:val="2"/>
                <w:sz w:val="32"/>
                <w:szCs w:val="32"/>
                <w:highlight w:val="none"/>
                <w:vertAlign w:val="baseline"/>
                <w:lang w:val="en-US" w:eastAsia="zh-CN" w:bidi="ar-SA"/>
              </w:rPr>
            </w:pPr>
            <w:r>
              <w:rPr>
                <w:rFonts w:hint="eastAsia" w:ascii="仿宋" w:hAnsi="仿宋" w:eastAsia="仿宋" w:cs="仿宋"/>
                <w:b w:val="0"/>
                <w:bCs w:val="0"/>
                <w:kern w:val="2"/>
                <w:sz w:val="32"/>
                <w:szCs w:val="32"/>
                <w:highlight w:val="none"/>
                <w:vertAlign w:val="baseline"/>
                <w:lang w:val="en-US" w:eastAsia="zh-CN" w:bidi="ar-SA"/>
              </w:rPr>
              <w:t>18</w:t>
            </w:r>
          </w:p>
        </w:tc>
        <w:tc>
          <w:tcPr>
            <w:tcW w:w="2981" w:type="dxa"/>
            <w:vAlign w:val="center"/>
          </w:tcPr>
          <w:p>
            <w:pPr>
              <w:spacing w:line="240" w:lineRule="auto"/>
              <w:jc w:val="center"/>
              <w:rPr>
                <w:rFonts w:hint="eastAsia" w:ascii="仿宋" w:hAnsi="仿宋" w:eastAsia="仿宋" w:cs="仿宋"/>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6</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畲江镇</w:t>
            </w:r>
          </w:p>
        </w:tc>
        <w:tc>
          <w:tcPr>
            <w:tcW w:w="1718" w:type="dxa"/>
            <w:vAlign w:val="center"/>
          </w:tcPr>
          <w:p>
            <w:pPr>
              <w:spacing w:line="240" w:lineRule="auto"/>
              <w:jc w:val="center"/>
              <w:rPr>
                <w:rFonts w:hint="default" w:ascii="仿宋" w:hAnsi="仿宋" w:eastAsia="仿宋" w:cs="仿宋"/>
                <w:b w:val="0"/>
                <w:bCs w:val="0"/>
                <w:kern w:val="2"/>
                <w:sz w:val="32"/>
                <w:szCs w:val="32"/>
                <w:highlight w:val="none"/>
                <w:vertAlign w:val="baseline"/>
                <w:lang w:val="en-US" w:eastAsia="zh-CN" w:bidi="ar-SA"/>
              </w:rPr>
            </w:pPr>
            <w:r>
              <w:rPr>
                <w:rFonts w:hint="eastAsia" w:ascii="仿宋" w:hAnsi="仿宋" w:eastAsia="仿宋" w:cs="仿宋"/>
                <w:b w:val="0"/>
                <w:bCs w:val="0"/>
                <w:kern w:val="2"/>
                <w:sz w:val="32"/>
                <w:szCs w:val="32"/>
                <w:highlight w:val="none"/>
                <w:vertAlign w:val="baseline"/>
                <w:lang w:val="en-US" w:eastAsia="zh-CN" w:bidi="ar-SA"/>
              </w:rPr>
              <w:t>13</w:t>
            </w:r>
          </w:p>
        </w:tc>
        <w:tc>
          <w:tcPr>
            <w:tcW w:w="2981" w:type="dxa"/>
            <w:vAlign w:val="center"/>
          </w:tcPr>
          <w:p>
            <w:pPr>
              <w:spacing w:line="240" w:lineRule="auto"/>
              <w:jc w:val="center"/>
              <w:rPr>
                <w:rFonts w:hint="eastAsia" w:ascii="仿宋" w:hAnsi="仿宋" w:eastAsia="仿宋" w:cs="仿宋"/>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7</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南口镇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28</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8</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梅西镇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10</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9</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城东镇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7</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10</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石扇镇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7</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11</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白渡镇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8</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12</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隆文镇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5</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13</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水车镇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8</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14</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大坪镇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8</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15</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梅南镇</w:t>
            </w:r>
          </w:p>
        </w:tc>
        <w:tc>
          <w:tcPr>
            <w:tcW w:w="1718" w:type="dxa"/>
            <w:vAlign w:val="center"/>
          </w:tcPr>
          <w:p>
            <w:pPr>
              <w:spacing w:line="240" w:lineRule="auto"/>
              <w:jc w:val="center"/>
              <w:rPr>
                <w:rFonts w:hint="default" w:ascii="仿宋" w:hAnsi="仿宋" w:eastAsia="仿宋" w:cs="仿宋"/>
                <w:b w:val="0"/>
                <w:bCs w:val="0"/>
                <w:kern w:val="2"/>
                <w:sz w:val="32"/>
                <w:szCs w:val="32"/>
                <w:highlight w:val="none"/>
                <w:vertAlign w:val="baseline"/>
                <w:lang w:val="en-US" w:eastAsia="zh-CN" w:bidi="ar-SA"/>
              </w:rPr>
            </w:pPr>
            <w:r>
              <w:rPr>
                <w:rFonts w:hint="eastAsia" w:ascii="仿宋" w:hAnsi="仿宋" w:eastAsia="仿宋" w:cs="仿宋"/>
                <w:b w:val="0"/>
                <w:bCs w:val="0"/>
                <w:kern w:val="2"/>
                <w:sz w:val="32"/>
                <w:szCs w:val="32"/>
                <w:highlight w:val="none"/>
                <w:vertAlign w:val="baseline"/>
                <w:lang w:val="en-US" w:eastAsia="zh-CN" w:bidi="ar-SA"/>
              </w:rPr>
              <w:t>5</w:t>
            </w:r>
          </w:p>
        </w:tc>
        <w:tc>
          <w:tcPr>
            <w:tcW w:w="2981" w:type="dxa"/>
            <w:vAlign w:val="center"/>
          </w:tcPr>
          <w:p>
            <w:pPr>
              <w:spacing w:line="240" w:lineRule="auto"/>
              <w:jc w:val="center"/>
              <w:rPr>
                <w:rFonts w:hint="eastAsia" w:ascii="仿宋" w:hAnsi="仿宋" w:eastAsia="仿宋" w:cs="仿宋"/>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16</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石坑镇</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8</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17</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桃尧镇</w:t>
            </w:r>
          </w:p>
        </w:tc>
        <w:tc>
          <w:tcPr>
            <w:tcW w:w="1718" w:type="dxa"/>
            <w:vAlign w:val="center"/>
          </w:tcPr>
          <w:p>
            <w:pPr>
              <w:spacing w:line="240" w:lineRule="auto"/>
              <w:jc w:val="center"/>
              <w:rPr>
                <w:rFonts w:hint="default" w:ascii="仿宋" w:hAnsi="仿宋" w:eastAsia="仿宋" w:cs="仿宋"/>
                <w:b w:val="0"/>
                <w:bCs w:val="0"/>
                <w:kern w:val="2"/>
                <w:sz w:val="32"/>
                <w:szCs w:val="32"/>
                <w:highlight w:val="none"/>
                <w:vertAlign w:val="baseline"/>
                <w:lang w:val="en-US" w:eastAsia="zh-CN" w:bidi="ar-SA"/>
              </w:rPr>
            </w:pPr>
            <w:r>
              <w:rPr>
                <w:rFonts w:hint="eastAsia" w:ascii="仿宋" w:hAnsi="仿宋" w:eastAsia="仿宋" w:cs="仿宋"/>
                <w:b w:val="0"/>
                <w:bCs w:val="0"/>
                <w:kern w:val="2"/>
                <w:sz w:val="32"/>
                <w:szCs w:val="32"/>
                <w:highlight w:val="none"/>
                <w:vertAlign w:val="baseline"/>
                <w:lang w:val="en-US" w:eastAsia="zh-CN" w:bidi="ar-SA"/>
              </w:rPr>
              <w:t>2</w:t>
            </w:r>
          </w:p>
        </w:tc>
        <w:tc>
          <w:tcPr>
            <w:tcW w:w="2981" w:type="dxa"/>
            <w:vAlign w:val="center"/>
          </w:tcPr>
          <w:p>
            <w:pPr>
              <w:spacing w:line="240" w:lineRule="auto"/>
              <w:jc w:val="center"/>
              <w:rPr>
                <w:rFonts w:hint="eastAsia" w:ascii="仿宋" w:hAnsi="仿宋" w:eastAsia="仿宋" w:cs="仿宋"/>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18</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扶大</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0</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01" w:type="dxa"/>
            <w:vAlign w:val="center"/>
          </w:tcPr>
          <w:p>
            <w:p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19</w:t>
            </w:r>
          </w:p>
        </w:tc>
        <w:tc>
          <w:tcPr>
            <w:tcW w:w="2257"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新城</w:t>
            </w:r>
          </w:p>
        </w:tc>
        <w:tc>
          <w:tcPr>
            <w:tcW w:w="1718"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0</w:t>
            </w:r>
          </w:p>
        </w:tc>
        <w:tc>
          <w:tcPr>
            <w:tcW w:w="2981"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3558" w:type="dxa"/>
            <w:gridSpan w:val="2"/>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合  计</w:t>
            </w:r>
          </w:p>
        </w:tc>
        <w:tc>
          <w:tcPr>
            <w:tcW w:w="1718" w:type="dxa"/>
            <w:vAlign w:val="center"/>
          </w:tcPr>
          <w:p>
            <w:pPr>
              <w:spacing w:line="240" w:lineRule="auto"/>
              <w:jc w:val="center"/>
              <w:rPr>
                <w:rFonts w:hint="default"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145</w:t>
            </w:r>
          </w:p>
        </w:tc>
        <w:tc>
          <w:tcPr>
            <w:tcW w:w="2981" w:type="dxa"/>
            <w:vAlign w:val="center"/>
          </w:tcPr>
          <w:p>
            <w:pPr>
              <w:spacing w:line="240" w:lineRule="auto"/>
              <w:jc w:val="center"/>
              <w:rPr>
                <w:rFonts w:hint="eastAsia" w:ascii="仿宋" w:hAnsi="仿宋" w:eastAsia="仿宋" w:cs="仿宋"/>
                <w:b/>
                <w:bCs/>
                <w:sz w:val="32"/>
                <w:szCs w:val="32"/>
                <w:vertAlign w:val="baseline"/>
                <w:lang w:val="en-US" w:eastAsia="zh-CN"/>
              </w:rPr>
            </w:pPr>
          </w:p>
        </w:tc>
      </w:tr>
    </w:tbl>
    <w:p>
      <w:pPr>
        <w:spacing w:line="240" w:lineRule="auto"/>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说明：扶大、新城在禁放区内，不作布点规划。</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68886"/>
    <w:multiLevelType w:val="singleLevel"/>
    <w:tmpl w:val="9BE688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TUxODkzM2E0ZTljMzg3NTc2MWZiMWNiN2ZlYWQifQ=="/>
  </w:docVars>
  <w:rsids>
    <w:rsidRoot w:val="66074410"/>
    <w:rsid w:val="010B4F8B"/>
    <w:rsid w:val="02DC36E2"/>
    <w:rsid w:val="03A35837"/>
    <w:rsid w:val="08E9060F"/>
    <w:rsid w:val="0B46656D"/>
    <w:rsid w:val="0BEF9618"/>
    <w:rsid w:val="0C652EF7"/>
    <w:rsid w:val="0E99333C"/>
    <w:rsid w:val="0F313C96"/>
    <w:rsid w:val="10FC028D"/>
    <w:rsid w:val="1336456D"/>
    <w:rsid w:val="13A34753"/>
    <w:rsid w:val="13BC10A9"/>
    <w:rsid w:val="186A4887"/>
    <w:rsid w:val="192F4F11"/>
    <w:rsid w:val="195FEFA2"/>
    <w:rsid w:val="1A74009A"/>
    <w:rsid w:val="1B6D0A51"/>
    <w:rsid w:val="1B7A2431"/>
    <w:rsid w:val="1FBC153C"/>
    <w:rsid w:val="224643A9"/>
    <w:rsid w:val="23007D6B"/>
    <w:rsid w:val="233174FD"/>
    <w:rsid w:val="250D09CC"/>
    <w:rsid w:val="26BE6053"/>
    <w:rsid w:val="274F2367"/>
    <w:rsid w:val="28EE38D1"/>
    <w:rsid w:val="2E4462A4"/>
    <w:rsid w:val="355218A4"/>
    <w:rsid w:val="37570DA0"/>
    <w:rsid w:val="3BEB1925"/>
    <w:rsid w:val="3D8744A5"/>
    <w:rsid w:val="3D8B1A2A"/>
    <w:rsid w:val="3DF57418"/>
    <w:rsid w:val="3DFD49DE"/>
    <w:rsid w:val="3EA33B01"/>
    <w:rsid w:val="41DE28D6"/>
    <w:rsid w:val="44CF414E"/>
    <w:rsid w:val="47204C37"/>
    <w:rsid w:val="47435C20"/>
    <w:rsid w:val="47BB5670"/>
    <w:rsid w:val="47DD035D"/>
    <w:rsid w:val="481B6E20"/>
    <w:rsid w:val="48B46ADC"/>
    <w:rsid w:val="4B566071"/>
    <w:rsid w:val="4DAB955A"/>
    <w:rsid w:val="4DFF4358"/>
    <w:rsid w:val="4E4C319A"/>
    <w:rsid w:val="4EDFC522"/>
    <w:rsid w:val="4F1C377D"/>
    <w:rsid w:val="5005196B"/>
    <w:rsid w:val="50F06BBA"/>
    <w:rsid w:val="516549CE"/>
    <w:rsid w:val="51B63F9B"/>
    <w:rsid w:val="51FF5E82"/>
    <w:rsid w:val="520619D1"/>
    <w:rsid w:val="52A971D1"/>
    <w:rsid w:val="544638C2"/>
    <w:rsid w:val="547E100A"/>
    <w:rsid w:val="54B507A1"/>
    <w:rsid w:val="56905C4D"/>
    <w:rsid w:val="56B6C293"/>
    <w:rsid w:val="56D2399D"/>
    <w:rsid w:val="574478C4"/>
    <w:rsid w:val="58C42269"/>
    <w:rsid w:val="59D740CC"/>
    <w:rsid w:val="5B7526DA"/>
    <w:rsid w:val="5BA6234A"/>
    <w:rsid w:val="5BD23EEB"/>
    <w:rsid w:val="5BDB49BC"/>
    <w:rsid w:val="5D3221C5"/>
    <w:rsid w:val="5DF78A32"/>
    <w:rsid w:val="5FFDC546"/>
    <w:rsid w:val="5FFE7C0B"/>
    <w:rsid w:val="62AA0F6D"/>
    <w:rsid w:val="62BA3858"/>
    <w:rsid w:val="637F7B9A"/>
    <w:rsid w:val="66074410"/>
    <w:rsid w:val="678011A3"/>
    <w:rsid w:val="67A5204B"/>
    <w:rsid w:val="67F5D3CF"/>
    <w:rsid w:val="687242C3"/>
    <w:rsid w:val="6A003522"/>
    <w:rsid w:val="6B405AFC"/>
    <w:rsid w:val="6CA256E8"/>
    <w:rsid w:val="6D15153D"/>
    <w:rsid w:val="6DBB0EFF"/>
    <w:rsid w:val="6E7F001D"/>
    <w:rsid w:val="6EF21543"/>
    <w:rsid w:val="6F61050D"/>
    <w:rsid w:val="70257C94"/>
    <w:rsid w:val="70B66EEF"/>
    <w:rsid w:val="725BD410"/>
    <w:rsid w:val="73DF00FF"/>
    <w:rsid w:val="74E6E51A"/>
    <w:rsid w:val="76DCDEC8"/>
    <w:rsid w:val="77083FAD"/>
    <w:rsid w:val="77EF7686"/>
    <w:rsid w:val="77FBFBB4"/>
    <w:rsid w:val="77FF5CDA"/>
    <w:rsid w:val="79F629DD"/>
    <w:rsid w:val="7AB44CDF"/>
    <w:rsid w:val="7ADFEB3D"/>
    <w:rsid w:val="7BCE8C22"/>
    <w:rsid w:val="7BDF34CE"/>
    <w:rsid w:val="7BEFA73E"/>
    <w:rsid w:val="7D8A8EC1"/>
    <w:rsid w:val="7DAF9C56"/>
    <w:rsid w:val="7DDD0520"/>
    <w:rsid w:val="7DF31A6A"/>
    <w:rsid w:val="7DF9C214"/>
    <w:rsid w:val="7DFF38EA"/>
    <w:rsid w:val="7EAF4B78"/>
    <w:rsid w:val="7EB71A84"/>
    <w:rsid w:val="7EB93E91"/>
    <w:rsid w:val="7FBB138E"/>
    <w:rsid w:val="7FE5783C"/>
    <w:rsid w:val="7FEFC58A"/>
    <w:rsid w:val="7FFD92B2"/>
    <w:rsid w:val="7FFEB8CE"/>
    <w:rsid w:val="A83FE958"/>
    <w:rsid w:val="B3AF63F5"/>
    <w:rsid w:val="B7CF21ED"/>
    <w:rsid w:val="BD765528"/>
    <w:rsid w:val="BEF9CA56"/>
    <w:rsid w:val="BF54D211"/>
    <w:rsid w:val="BF5FFD64"/>
    <w:rsid w:val="BF7796DB"/>
    <w:rsid w:val="BFFA6994"/>
    <w:rsid w:val="D3FAE3BD"/>
    <w:rsid w:val="D7FE7E2F"/>
    <w:rsid w:val="D9DF5F31"/>
    <w:rsid w:val="DFBE1D29"/>
    <w:rsid w:val="DFFD065F"/>
    <w:rsid w:val="EA8F3C00"/>
    <w:rsid w:val="EAF92C34"/>
    <w:rsid w:val="EE7BC86B"/>
    <w:rsid w:val="EEF7AAC5"/>
    <w:rsid w:val="EF6B79FB"/>
    <w:rsid w:val="EFDD14E6"/>
    <w:rsid w:val="EFF7C035"/>
    <w:rsid w:val="EFFD8C45"/>
    <w:rsid w:val="F0DF9C02"/>
    <w:rsid w:val="F0FCFAEA"/>
    <w:rsid w:val="F2AF1D53"/>
    <w:rsid w:val="F64F44A2"/>
    <w:rsid w:val="F7DF8D40"/>
    <w:rsid w:val="F7F535C2"/>
    <w:rsid w:val="FBAF13EC"/>
    <w:rsid w:val="FBEBE068"/>
    <w:rsid w:val="FBF6333E"/>
    <w:rsid w:val="FCFF97B7"/>
    <w:rsid w:val="FD7DA12D"/>
    <w:rsid w:val="FD97C931"/>
    <w:rsid w:val="FDDBC4FB"/>
    <w:rsid w:val="FEBF7451"/>
    <w:rsid w:val="FEDC63DE"/>
    <w:rsid w:val="FF3F0B50"/>
    <w:rsid w:val="FFC4E6D3"/>
    <w:rsid w:val="FFDBAF2C"/>
    <w:rsid w:val="FFEA007F"/>
    <w:rsid w:val="FFEAC0CA"/>
    <w:rsid w:val="FFF6331C"/>
    <w:rsid w:val="FFFE8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4418</Words>
  <Characters>4713</Characters>
  <Lines>0</Lines>
  <Paragraphs>0</Paragraphs>
  <TotalTime>35</TotalTime>
  <ScaleCrop>false</ScaleCrop>
  <LinksUpToDate>false</LinksUpToDate>
  <CharactersWithSpaces>5298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2016-11-07T23:35:00Z</dcterms:created>
  <dc:creator>Administrator</dc:creator>
  <cp:lastModifiedBy>spg</cp:lastModifiedBy>
  <cp:lastPrinted>2024-10-29T08:46:42Z</cp:lastPrinted>
  <dcterms:modified xsi:type="dcterms:W3CDTF">2024-10-29T09:23:35Z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8EDFE829605448488892B639093A0306</vt:lpwstr>
  </property>
</Properties>
</file>