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7BAC0">
      <w:pPr>
        <w:pStyle w:val="2"/>
        <w:jc w:val="left"/>
        <w:rPr>
          <w:b/>
          <w:color w:val="auto"/>
          <w:sz w:val="24"/>
          <w:szCs w:val="24"/>
          <w:highlight w:val="none"/>
        </w:rPr>
      </w:pPr>
      <w:bookmarkStart w:id="0" w:name="_Toc137304716"/>
      <w:r>
        <w:rPr>
          <w:rFonts w:hint="eastAsia" w:ascii="宋体" w:hAnsi="宋体" w:eastAsia="宋体" w:cs="Times New Roman"/>
          <w:b/>
          <w:bCs/>
          <w:color w:val="auto"/>
          <w:kern w:val="44"/>
          <w:sz w:val="28"/>
          <w:szCs w:val="28"/>
          <w:highlight w:val="none"/>
        </w:rPr>
        <w:t>评标办法前附表</w:t>
      </w:r>
      <w:bookmarkEnd w:id="0"/>
    </w:p>
    <w:tbl>
      <w:tblPr>
        <w:tblStyle w:val="3"/>
        <w:tblW w:w="5000" w:type="pct"/>
        <w:tblInd w:w="0" w:type="dxa"/>
        <w:tblLayout w:type="autofit"/>
        <w:tblCellMar>
          <w:top w:w="0" w:type="dxa"/>
          <w:left w:w="0" w:type="dxa"/>
          <w:bottom w:w="0" w:type="dxa"/>
          <w:right w:w="0" w:type="dxa"/>
        </w:tblCellMar>
      </w:tblPr>
      <w:tblGrid>
        <w:gridCol w:w="1010"/>
        <w:gridCol w:w="1308"/>
        <w:gridCol w:w="6764"/>
      </w:tblGrid>
      <w:tr w14:paraId="6D784C50">
        <w:tblPrEx>
          <w:tblCellMar>
            <w:top w:w="0" w:type="dxa"/>
            <w:left w:w="0" w:type="dxa"/>
            <w:bottom w:w="0" w:type="dxa"/>
            <w:right w:w="0" w:type="dxa"/>
          </w:tblCellMar>
        </w:tblPrEx>
        <w:trPr>
          <w:trHeight w:val="408" w:hRule="atLeast"/>
          <w:tblHeader/>
        </w:trPr>
        <w:tc>
          <w:tcPr>
            <w:tcW w:w="1276" w:type="pct"/>
            <w:gridSpan w:val="2"/>
            <w:tcBorders>
              <w:top w:val="single" w:color="000000" w:sz="4" w:space="0"/>
              <w:left w:val="single" w:color="000000" w:sz="4" w:space="0"/>
              <w:bottom w:val="single" w:color="000000" w:sz="4" w:space="0"/>
              <w:right w:val="single" w:color="000000" w:sz="4" w:space="0"/>
            </w:tcBorders>
            <w:noWrap w:val="0"/>
            <w:vAlign w:val="top"/>
          </w:tcPr>
          <w:p w14:paraId="505CC3AC">
            <w:pPr>
              <w:pStyle w:val="6"/>
              <w:kinsoku w:val="0"/>
              <w:overflowPunct w:val="0"/>
              <w:spacing w:line="276" w:lineRule="auto"/>
              <w:ind w:left="798" w:right="787"/>
              <w:jc w:val="center"/>
              <w:rPr>
                <w:b/>
                <w:bCs/>
                <w:color w:val="auto"/>
                <w:sz w:val="24"/>
                <w:szCs w:val="24"/>
                <w:highlight w:val="none"/>
              </w:rPr>
            </w:pPr>
            <w:r>
              <w:rPr>
                <w:rFonts w:hint="eastAsia"/>
                <w:b/>
                <w:bCs/>
                <w:color w:val="auto"/>
                <w:sz w:val="24"/>
                <w:szCs w:val="24"/>
                <w:highlight w:val="none"/>
              </w:rPr>
              <w:t>条款号</w:t>
            </w:r>
          </w:p>
        </w:tc>
        <w:tc>
          <w:tcPr>
            <w:tcW w:w="3724" w:type="pct"/>
            <w:tcBorders>
              <w:top w:val="single" w:color="000000" w:sz="4" w:space="0"/>
              <w:left w:val="single" w:color="000000" w:sz="4" w:space="0"/>
              <w:bottom w:val="single" w:color="000000" w:sz="4" w:space="0"/>
              <w:right w:val="single" w:color="000000" w:sz="4" w:space="0"/>
            </w:tcBorders>
            <w:noWrap w:val="0"/>
            <w:vAlign w:val="top"/>
          </w:tcPr>
          <w:p w14:paraId="2329FE30">
            <w:pPr>
              <w:pStyle w:val="6"/>
              <w:kinsoku w:val="0"/>
              <w:overflowPunct w:val="0"/>
              <w:spacing w:line="276" w:lineRule="auto"/>
              <w:ind w:left="63" w:leftChars="30" w:right="63" w:rightChars="30"/>
              <w:jc w:val="center"/>
              <w:rPr>
                <w:b/>
                <w:bCs/>
                <w:color w:val="auto"/>
                <w:sz w:val="24"/>
                <w:szCs w:val="24"/>
                <w:highlight w:val="none"/>
              </w:rPr>
            </w:pPr>
            <w:r>
              <w:rPr>
                <w:rFonts w:hint="eastAsia"/>
                <w:b/>
                <w:bCs/>
                <w:color w:val="auto"/>
                <w:sz w:val="24"/>
                <w:szCs w:val="24"/>
                <w:highlight w:val="none"/>
              </w:rPr>
              <w:t>评审因素与评审标准</w:t>
            </w:r>
          </w:p>
        </w:tc>
      </w:tr>
      <w:tr w14:paraId="6916BF48">
        <w:tblPrEx>
          <w:tblCellMar>
            <w:top w:w="0" w:type="dxa"/>
            <w:left w:w="0" w:type="dxa"/>
            <w:bottom w:w="0" w:type="dxa"/>
            <w:right w:w="0" w:type="dxa"/>
          </w:tblCellMar>
        </w:tblPrEx>
        <w:trPr>
          <w:trHeight w:val="3247" w:hRule="atLeast"/>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43830972">
            <w:pPr>
              <w:pStyle w:val="6"/>
              <w:kinsoku w:val="0"/>
              <w:overflowPunct w:val="0"/>
              <w:spacing w:line="276" w:lineRule="auto"/>
              <w:ind w:left="11"/>
              <w:jc w:val="center"/>
              <w:rPr>
                <w:color w:val="auto"/>
                <w:w w:val="99"/>
                <w:sz w:val="24"/>
                <w:szCs w:val="24"/>
                <w:highlight w:val="none"/>
              </w:rPr>
            </w:pPr>
            <w:r>
              <w:rPr>
                <w:rFonts w:hint="eastAsia"/>
                <w:color w:val="auto"/>
                <w:w w:val="99"/>
                <w:sz w:val="24"/>
                <w:szCs w:val="24"/>
                <w:highlight w:val="none"/>
              </w:rPr>
              <w:t>1</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B20FBA3">
            <w:pPr>
              <w:pStyle w:val="6"/>
              <w:kinsoku w:val="0"/>
              <w:overflowPunct w:val="0"/>
              <w:spacing w:line="276" w:lineRule="auto"/>
              <w:jc w:val="center"/>
              <w:rPr>
                <w:color w:val="auto"/>
                <w:sz w:val="24"/>
                <w:szCs w:val="24"/>
                <w:highlight w:val="none"/>
              </w:rPr>
            </w:pPr>
            <w:r>
              <w:rPr>
                <w:rFonts w:hint="eastAsia"/>
                <w:color w:val="auto"/>
                <w:sz w:val="24"/>
                <w:szCs w:val="24"/>
                <w:highlight w:val="none"/>
              </w:rPr>
              <w:t>评标方法</w:t>
            </w:r>
          </w:p>
        </w:tc>
        <w:tc>
          <w:tcPr>
            <w:tcW w:w="3724" w:type="pct"/>
            <w:tcBorders>
              <w:top w:val="single" w:color="000000" w:sz="4" w:space="0"/>
              <w:left w:val="single" w:color="000000" w:sz="4" w:space="0"/>
              <w:bottom w:val="single" w:color="000000" w:sz="4" w:space="0"/>
              <w:right w:val="single" w:color="000000" w:sz="4" w:space="0"/>
            </w:tcBorders>
            <w:noWrap w:val="0"/>
            <w:vAlign w:val="top"/>
          </w:tcPr>
          <w:p w14:paraId="4AC21792">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综合评分相等时，评标委员会依次按照以下优先顺序推荐中标候选人或确定中标人：</w:t>
            </w:r>
          </w:p>
          <w:p w14:paraId="07D6B747">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）评标价低的投标人优先；</w:t>
            </w:r>
          </w:p>
          <w:p w14:paraId="53FDEC67">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）按招标文件规定被认定为广东省信用等级较高的投标人优先（采用如下的优先顺序：承诺使用的</w:t>
            </w:r>
            <w:r>
              <w:rPr>
                <w:color w:val="auto"/>
                <w:sz w:val="24"/>
                <w:szCs w:val="24"/>
                <w:highlight w:val="none"/>
              </w:rPr>
              <w:t xml:space="preserve"> AA </w:t>
            </w:r>
            <w:r>
              <w:rPr>
                <w:rFonts w:hint="eastAsia"/>
                <w:color w:val="auto"/>
                <w:sz w:val="24"/>
                <w:szCs w:val="24"/>
                <w:highlight w:val="none"/>
              </w:rPr>
              <w:t>级投标人、不承诺使用的</w:t>
            </w:r>
            <w:r>
              <w:rPr>
                <w:color w:val="auto"/>
                <w:sz w:val="24"/>
                <w:szCs w:val="24"/>
                <w:highlight w:val="none"/>
              </w:rPr>
              <w:t xml:space="preserve"> AA </w:t>
            </w:r>
            <w:r>
              <w:rPr>
                <w:rFonts w:hint="eastAsia"/>
                <w:color w:val="auto"/>
                <w:sz w:val="24"/>
                <w:szCs w:val="24"/>
                <w:highlight w:val="none"/>
              </w:rPr>
              <w:t>级投标人、承诺使用的</w:t>
            </w:r>
            <w:r>
              <w:rPr>
                <w:color w:val="auto"/>
                <w:sz w:val="24"/>
                <w:szCs w:val="24"/>
                <w:highlight w:val="none"/>
              </w:rPr>
              <w:t xml:space="preserve"> A </w:t>
            </w:r>
            <w:r>
              <w:rPr>
                <w:rFonts w:hint="eastAsia"/>
                <w:color w:val="auto"/>
                <w:sz w:val="24"/>
                <w:szCs w:val="24"/>
                <w:highlight w:val="none"/>
              </w:rPr>
              <w:t>级投标人、不承诺使用的</w:t>
            </w:r>
            <w:r>
              <w:rPr>
                <w:color w:val="auto"/>
                <w:sz w:val="24"/>
                <w:szCs w:val="24"/>
                <w:highlight w:val="none"/>
              </w:rPr>
              <w:t xml:space="preserve"> A </w:t>
            </w:r>
            <w:r>
              <w:rPr>
                <w:rFonts w:hint="eastAsia"/>
                <w:color w:val="auto"/>
                <w:sz w:val="24"/>
                <w:szCs w:val="24"/>
                <w:highlight w:val="none"/>
              </w:rPr>
              <w:t>级投标人、</w:t>
            </w:r>
            <w:r>
              <w:rPr>
                <w:color w:val="auto"/>
                <w:sz w:val="24"/>
                <w:szCs w:val="24"/>
                <w:highlight w:val="none"/>
              </w:rPr>
              <w:t xml:space="preserve">B </w:t>
            </w:r>
            <w:r>
              <w:rPr>
                <w:rFonts w:hint="eastAsia"/>
                <w:color w:val="auto"/>
                <w:sz w:val="24"/>
                <w:szCs w:val="24"/>
                <w:highlight w:val="none"/>
              </w:rPr>
              <w:t>级投标人、未参评且被确定为</w:t>
            </w:r>
            <w:r>
              <w:rPr>
                <w:color w:val="auto"/>
                <w:sz w:val="24"/>
                <w:szCs w:val="24"/>
                <w:highlight w:val="none"/>
              </w:rPr>
              <w:t xml:space="preserve"> B </w:t>
            </w:r>
            <w:r>
              <w:rPr>
                <w:rFonts w:hint="eastAsia"/>
                <w:color w:val="auto"/>
                <w:sz w:val="24"/>
                <w:szCs w:val="24"/>
                <w:highlight w:val="none"/>
              </w:rPr>
              <w:t>级投标人）；</w:t>
            </w:r>
          </w:p>
          <w:p w14:paraId="588C3DF2">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）商务和技术得分较高的投标人优先；</w:t>
            </w:r>
          </w:p>
          <w:p w14:paraId="454EEED3">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）由评标委员会投票确定。</w:t>
            </w:r>
          </w:p>
        </w:tc>
      </w:tr>
      <w:tr w14:paraId="25F958C8">
        <w:tblPrEx>
          <w:tblCellMar>
            <w:top w:w="0" w:type="dxa"/>
            <w:left w:w="0" w:type="dxa"/>
            <w:bottom w:w="0" w:type="dxa"/>
            <w:right w:w="0" w:type="dxa"/>
          </w:tblCellMar>
        </w:tblPrEx>
        <w:trPr>
          <w:trHeight w:val="5958" w:hRule="atLeast"/>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12E58133">
            <w:pPr>
              <w:pStyle w:val="6"/>
              <w:kinsoku w:val="0"/>
              <w:overflowPunct w:val="0"/>
              <w:spacing w:line="276" w:lineRule="auto"/>
              <w:ind w:left="11"/>
              <w:jc w:val="center"/>
              <w:rPr>
                <w:color w:val="auto"/>
                <w:w w:val="99"/>
                <w:sz w:val="24"/>
                <w:szCs w:val="24"/>
                <w:highlight w:val="none"/>
              </w:rPr>
            </w:pPr>
            <w:r>
              <w:rPr>
                <w:color w:val="auto"/>
                <w:w w:val="99"/>
                <w:sz w:val="24"/>
                <w:szCs w:val="24"/>
                <w:highlight w:val="none"/>
              </w:rPr>
              <w:t>2.1.1</w:t>
            </w:r>
          </w:p>
          <w:p w14:paraId="15F7F504">
            <w:pPr>
              <w:pStyle w:val="6"/>
              <w:kinsoku w:val="0"/>
              <w:overflowPunct w:val="0"/>
              <w:spacing w:line="276" w:lineRule="auto"/>
              <w:ind w:left="11"/>
              <w:jc w:val="center"/>
              <w:rPr>
                <w:color w:val="auto"/>
                <w:w w:val="99"/>
                <w:sz w:val="24"/>
                <w:szCs w:val="24"/>
                <w:highlight w:val="none"/>
              </w:rPr>
            </w:pPr>
            <w:r>
              <w:rPr>
                <w:color w:val="auto"/>
                <w:w w:val="99"/>
                <w:sz w:val="24"/>
                <w:szCs w:val="24"/>
                <w:highlight w:val="none"/>
              </w:rPr>
              <w:t>2.1.3</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09D9109">
            <w:pPr>
              <w:pStyle w:val="6"/>
              <w:kinsoku w:val="0"/>
              <w:overflowPunct w:val="0"/>
              <w:spacing w:line="276" w:lineRule="auto"/>
              <w:ind w:left="11" w:right="105"/>
              <w:jc w:val="center"/>
              <w:rPr>
                <w:color w:val="auto"/>
                <w:w w:val="99"/>
                <w:sz w:val="24"/>
                <w:szCs w:val="24"/>
                <w:highlight w:val="none"/>
              </w:rPr>
            </w:pPr>
            <w:r>
              <w:rPr>
                <w:rFonts w:hint="eastAsia"/>
                <w:color w:val="auto"/>
                <w:w w:val="99"/>
                <w:sz w:val="24"/>
                <w:szCs w:val="24"/>
                <w:highlight w:val="none"/>
              </w:rPr>
              <w:t>形式评审与响应性评审标准</w:t>
            </w:r>
          </w:p>
        </w:tc>
        <w:tc>
          <w:tcPr>
            <w:tcW w:w="3724" w:type="pct"/>
            <w:tcBorders>
              <w:top w:val="single" w:color="000000" w:sz="4" w:space="0"/>
              <w:left w:val="single" w:color="000000" w:sz="4" w:space="0"/>
              <w:bottom w:val="single" w:color="000000" w:sz="4" w:space="0"/>
              <w:right w:val="single" w:color="000000" w:sz="4" w:space="0"/>
            </w:tcBorders>
            <w:noWrap w:val="0"/>
            <w:vAlign w:val="top"/>
          </w:tcPr>
          <w:p w14:paraId="5513A5FF">
            <w:pPr>
              <w:pStyle w:val="6"/>
              <w:kinsoku w:val="0"/>
              <w:overflowPunct w:val="0"/>
              <w:spacing w:line="276" w:lineRule="auto"/>
              <w:ind w:left="63" w:leftChars="30" w:right="63" w:rightChars="30"/>
              <w:jc w:val="both"/>
              <w:rPr>
                <w:b/>
                <w:bCs/>
                <w:color w:val="auto"/>
                <w:sz w:val="24"/>
                <w:szCs w:val="24"/>
                <w:highlight w:val="none"/>
              </w:rPr>
            </w:pPr>
            <w:r>
              <w:rPr>
                <w:rFonts w:hint="eastAsia"/>
                <w:b/>
                <w:bCs/>
                <w:color w:val="auto"/>
                <w:sz w:val="24"/>
                <w:szCs w:val="24"/>
                <w:highlight w:val="none"/>
              </w:rPr>
              <w:t>第一个信封（商务及技术文件）评审标准：</w:t>
            </w:r>
          </w:p>
          <w:p w14:paraId="0CDEE30F">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）投标文件按照招标文件规定的格式、内容填写，字迹清晰可辨：</w:t>
            </w:r>
          </w:p>
          <w:p w14:paraId="62EACCEE">
            <w:pPr>
              <w:pStyle w:val="6"/>
              <w:kinsoku w:val="0"/>
              <w:overflowPunct w:val="0"/>
              <w:spacing w:line="276" w:lineRule="auto"/>
              <w:ind w:left="63" w:leftChars="30" w:right="63" w:rightChars="30" w:firstLine="480" w:firstLineChars="200"/>
              <w:jc w:val="both"/>
              <w:rPr>
                <w:color w:val="auto"/>
                <w:sz w:val="24"/>
                <w:szCs w:val="24"/>
                <w:highlight w:val="none"/>
              </w:rPr>
            </w:pPr>
            <w:r>
              <w:rPr>
                <w:color w:val="auto"/>
                <w:sz w:val="24"/>
                <w:szCs w:val="24"/>
                <w:highlight w:val="none"/>
              </w:rPr>
              <w:t>a.</w:t>
            </w:r>
            <w:r>
              <w:rPr>
                <w:rFonts w:hint="eastAsia"/>
                <w:color w:val="auto"/>
                <w:sz w:val="24"/>
                <w:szCs w:val="24"/>
                <w:highlight w:val="none"/>
              </w:rPr>
              <w:t>投标函按招标文件规定填报了项目名称、标段号（如有）、补遗书编号（如有</w:t>
            </w:r>
            <w:r>
              <w:rPr>
                <w:rFonts w:hint="eastAsia"/>
                <w:color w:val="auto"/>
                <w:spacing w:val="-104"/>
                <w:sz w:val="24"/>
                <w:szCs w:val="24"/>
                <w:highlight w:val="none"/>
              </w:rPr>
              <w:t>）</w:t>
            </w:r>
            <w:r>
              <w:rPr>
                <w:rFonts w:hint="eastAsia"/>
                <w:color w:val="auto"/>
                <w:sz w:val="24"/>
                <w:szCs w:val="24"/>
                <w:highlight w:val="none"/>
              </w:rPr>
              <w:t>、监理服务期限、工程质量要求及安全目标；</w:t>
            </w:r>
          </w:p>
          <w:p w14:paraId="79B41671">
            <w:pPr>
              <w:pStyle w:val="6"/>
              <w:kinsoku w:val="0"/>
              <w:overflowPunct w:val="0"/>
              <w:spacing w:line="276" w:lineRule="auto"/>
              <w:ind w:left="63" w:leftChars="30" w:right="63" w:rightChars="30" w:firstLine="480" w:firstLineChars="200"/>
              <w:jc w:val="both"/>
              <w:rPr>
                <w:color w:val="auto"/>
                <w:sz w:val="24"/>
                <w:szCs w:val="24"/>
                <w:highlight w:val="none"/>
              </w:rPr>
            </w:pPr>
            <w:r>
              <w:rPr>
                <w:color w:val="auto"/>
                <w:sz w:val="24"/>
                <w:szCs w:val="24"/>
                <w:highlight w:val="none"/>
              </w:rPr>
              <w:t>b.</w:t>
            </w:r>
            <w:r>
              <w:rPr>
                <w:rFonts w:hint="eastAsia"/>
                <w:color w:val="auto"/>
                <w:sz w:val="24"/>
                <w:szCs w:val="24"/>
                <w:highlight w:val="none"/>
              </w:rPr>
              <w:t>投标文件组成齐全完整，内容均按规定填写。</w:t>
            </w:r>
          </w:p>
          <w:p w14:paraId="10842739">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）投标文件上法定代表人或其委托代理人的签字、投标人的单位章盖章齐全，符合招标文件规定。</w:t>
            </w:r>
          </w:p>
          <w:p w14:paraId="1F945F60">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）投标人按照招标文件的规定提供了投标保证金：</w:t>
            </w:r>
          </w:p>
          <w:p w14:paraId="33A7BE87">
            <w:pPr>
              <w:pStyle w:val="6"/>
              <w:kinsoku w:val="0"/>
              <w:overflowPunct w:val="0"/>
              <w:spacing w:line="276" w:lineRule="auto"/>
              <w:ind w:left="63" w:leftChars="30" w:right="63" w:rightChars="30" w:firstLine="480" w:firstLineChars="200"/>
              <w:jc w:val="both"/>
              <w:rPr>
                <w:color w:val="auto"/>
                <w:sz w:val="24"/>
                <w:szCs w:val="24"/>
                <w:highlight w:val="none"/>
              </w:rPr>
            </w:pPr>
            <w:r>
              <w:rPr>
                <w:color w:val="auto"/>
                <w:sz w:val="24"/>
                <w:szCs w:val="24"/>
                <w:highlight w:val="none"/>
              </w:rPr>
              <w:t>a.</w:t>
            </w:r>
            <w:r>
              <w:rPr>
                <w:rFonts w:hint="eastAsia"/>
                <w:color w:val="auto"/>
                <w:sz w:val="24"/>
                <w:szCs w:val="24"/>
                <w:highlight w:val="none"/>
              </w:rPr>
              <w:t>投标保证金金额符合招标文件规定的金额，且投标保证金有效期不少于投标有效期；</w:t>
            </w:r>
          </w:p>
          <w:p w14:paraId="235A2BCD">
            <w:pPr>
              <w:pStyle w:val="6"/>
              <w:kinsoku w:val="0"/>
              <w:overflowPunct w:val="0"/>
              <w:spacing w:line="276" w:lineRule="auto"/>
              <w:ind w:left="63" w:leftChars="30" w:right="63" w:rightChars="30" w:firstLine="480" w:firstLineChars="200"/>
              <w:jc w:val="both"/>
              <w:rPr>
                <w:color w:val="auto"/>
                <w:sz w:val="24"/>
                <w:szCs w:val="24"/>
                <w:highlight w:val="none"/>
              </w:rPr>
            </w:pPr>
            <w:r>
              <w:rPr>
                <w:color w:val="auto"/>
                <w:sz w:val="24"/>
                <w:szCs w:val="24"/>
                <w:highlight w:val="none"/>
              </w:rPr>
              <w:t>b.</w:t>
            </w:r>
            <w:r>
              <w:rPr>
                <w:rFonts w:hint="eastAsia"/>
                <w:color w:val="auto"/>
                <w:sz w:val="24"/>
                <w:szCs w:val="24"/>
                <w:highlight w:val="none"/>
              </w:rPr>
              <w:t>若投标保证金采用现金或支票形式提交，投标人应在招标文件规定的投标保证金递交截止时间之前，将投标保证金由投标人的基本账户转入招标人指定账户；</w:t>
            </w:r>
          </w:p>
          <w:p w14:paraId="096B1C6B">
            <w:pPr>
              <w:pStyle w:val="6"/>
              <w:kinsoku w:val="0"/>
              <w:overflowPunct w:val="0"/>
              <w:spacing w:line="276" w:lineRule="auto"/>
              <w:ind w:left="63" w:leftChars="30" w:right="63" w:rightChars="30" w:firstLine="480" w:firstLineChars="200"/>
              <w:jc w:val="both"/>
              <w:rPr>
                <w:color w:val="auto"/>
                <w:sz w:val="24"/>
                <w:szCs w:val="24"/>
                <w:highlight w:val="none"/>
              </w:rPr>
            </w:pPr>
            <w:r>
              <w:rPr>
                <w:color w:val="auto"/>
                <w:sz w:val="24"/>
                <w:szCs w:val="24"/>
                <w:highlight w:val="none"/>
              </w:rPr>
              <w:t>c.</w:t>
            </w:r>
            <w:r>
              <w:rPr>
                <w:rFonts w:hint="eastAsia"/>
                <w:color w:val="auto"/>
                <w:sz w:val="24"/>
                <w:szCs w:val="24"/>
                <w:highlight w:val="none"/>
              </w:rPr>
              <w:t>若投标保证金</w:t>
            </w:r>
            <w:r>
              <w:rPr>
                <w:rFonts w:hint="eastAsia"/>
                <w:color w:val="auto"/>
                <w:sz w:val="24"/>
                <w:highlight w:val="none"/>
              </w:rPr>
              <w:t>采用银行保函或投标人须知前附表</w:t>
            </w:r>
            <w:r>
              <w:rPr>
                <w:color w:val="auto"/>
                <w:sz w:val="24"/>
                <w:highlight w:val="none"/>
              </w:rPr>
              <w:t xml:space="preserve"> 3.4.1 </w:t>
            </w:r>
            <w:r>
              <w:rPr>
                <w:rFonts w:hint="eastAsia"/>
                <w:color w:val="auto"/>
                <w:sz w:val="24"/>
                <w:highlight w:val="none"/>
              </w:rPr>
              <w:t>项规定的其他形式提交，保函主要内容须与保函格式要求内容原则上保持一致，并满足招标文件要求</w:t>
            </w:r>
            <w:r>
              <w:rPr>
                <w:rFonts w:hint="eastAsia"/>
                <w:color w:val="auto"/>
                <w:sz w:val="24"/>
                <w:szCs w:val="24"/>
                <w:highlight w:val="none"/>
              </w:rPr>
              <w:t>。</w:t>
            </w:r>
          </w:p>
          <w:p w14:paraId="2869E54E">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）投标人法定代表人授权委托代理人签署投标文件的，须提交授权委托书，且授权人和被授权人均在授权委托书上签名，未使用印章、签名章或其他电子制版签名代替。</w:t>
            </w:r>
          </w:p>
          <w:p w14:paraId="49AC5A5B">
            <w:pPr>
              <w:pStyle w:val="6"/>
              <w:spacing w:line="276" w:lineRule="auto"/>
              <w:ind w:left="63" w:leftChars="30" w:right="63" w:rightChars="30"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）投标人法定代表人亲自签署投标文件的，提供了法定代表人身份证明，且法定代表人在法定代表人身份证明上签名，未使用印章、签名章或其他电子制版签名代替。</w:t>
            </w:r>
          </w:p>
          <w:p w14:paraId="2364B428">
            <w:pPr>
              <w:pStyle w:val="6"/>
              <w:spacing w:line="276" w:lineRule="auto"/>
              <w:ind w:left="63" w:leftChars="30" w:right="63" w:rightChars="30" w:firstLine="480" w:firstLineChars="200"/>
              <w:jc w:val="both"/>
              <w:rPr>
                <w:iCs/>
                <w:color w:val="auto"/>
                <w:sz w:val="24"/>
                <w:szCs w:val="24"/>
                <w:highlight w:val="none"/>
              </w:rPr>
            </w:pPr>
            <w:r>
              <w:rPr>
                <w:rFonts w:hint="eastAsia"/>
                <w:color w:val="auto"/>
                <w:sz w:val="24"/>
                <w:szCs w:val="24"/>
                <w:highlight w:val="none"/>
              </w:rPr>
              <w:t>（</w:t>
            </w:r>
            <w:r>
              <w:rPr>
                <w:color w:val="auto"/>
                <w:sz w:val="24"/>
                <w:szCs w:val="24"/>
                <w:highlight w:val="none"/>
              </w:rPr>
              <w:t>6</w:t>
            </w:r>
            <w:r>
              <w:rPr>
                <w:rFonts w:hint="eastAsia"/>
                <w:color w:val="auto"/>
                <w:sz w:val="24"/>
                <w:szCs w:val="24"/>
                <w:highlight w:val="none"/>
              </w:rPr>
              <w:t>）投标人未以联合体形式投标。</w:t>
            </w:r>
          </w:p>
          <w:p w14:paraId="02A16172">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7</w:t>
            </w:r>
            <w:r>
              <w:rPr>
                <w:rFonts w:hint="eastAsia"/>
                <w:color w:val="auto"/>
                <w:sz w:val="24"/>
                <w:szCs w:val="24"/>
                <w:highlight w:val="none"/>
              </w:rPr>
              <w:t>）同一投标人未提交两个以上不同的投标文件，但招标文件要求提交备选投标的除外。</w:t>
            </w:r>
          </w:p>
          <w:p w14:paraId="43E1D324">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）投标文件中未出现有关投标报价的内容。</w:t>
            </w:r>
          </w:p>
          <w:p w14:paraId="1F7EC57F">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9</w:t>
            </w:r>
            <w:r>
              <w:rPr>
                <w:rFonts w:hint="eastAsia"/>
                <w:color w:val="auto"/>
                <w:sz w:val="24"/>
                <w:szCs w:val="24"/>
                <w:highlight w:val="none"/>
              </w:rPr>
              <w:t>）投标文件载明的招标项目完成期限未超过招标文件规定的时限。</w:t>
            </w:r>
          </w:p>
          <w:p w14:paraId="25FE2AC1">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10</w:t>
            </w:r>
            <w:r>
              <w:rPr>
                <w:rFonts w:hint="eastAsia"/>
                <w:color w:val="auto"/>
                <w:sz w:val="24"/>
                <w:szCs w:val="24"/>
                <w:highlight w:val="none"/>
              </w:rPr>
              <w:t>）投标文件对招标文件的实质性要求和条件作出响应。</w:t>
            </w:r>
          </w:p>
          <w:p w14:paraId="0075A67A">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11</w:t>
            </w:r>
            <w:r>
              <w:rPr>
                <w:rFonts w:hint="eastAsia"/>
                <w:color w:val="auto"/>
                <w:sz w:val="24"/>
                <w:szCs w:val="24"/>
                <w:highlight w:val="none"/>
              </w:rPr>
              <w:t>）权利义务符合招标文件规定：</w:t>
            </w:r>
          </w:p>
          <w:p w14:paraId="64A7780E">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a.</w:t>
            </w:r>
            <w:r>
              <w:rPr>
                <w:rFonts w:hint="eastAsia"/>
                <w:color w:val="auto"/>
                <w:sz w:val="24"/>
                <w:szCs w:val="24"/>
                <w:highlight w:val="none"/>
              </w:rPr>
              <w:t>投标人应接受招标文件规定的风险划分原则，未提出新的风险划分办法；</w:t>
            </w:r>
          </w:p>
          <w:p w14:paraId="1F39AA4E">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b.</w:t>
            </w:r>
            <w:r>
              <w:rPr>
                <w:rFonts w:hint="eastAsia"/>
                <w:color w:val="auto"/>
                <w:sz w:val="24"/>
                <w:szCs w:val="24"/>
                <w:highlight w:val="none"/>
              </w:rPr>
              <w:t>投标人未增加委托人的责任范围，或减少投标人义务；</w:t>
            </w:r>
          </w:p>
          <w:p w14:paraId="4690E0D9">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c.</w:t>
            </w:r>
            <w:r>
              <w:rPr>
                <w:rFonts w:hint="eastAsia"/>
                <w:color w:val="auto"/>
                <w:sz w:val="24"/>
                <w:szCs w:val="24"/>
                <w:highlight w:val="none"/>
              </w:rPr>
              <w:t>投标人未提出不同的支付办法；</w:t>
            </w:r>
          </w:p>
          <w:p w14:paraId="138FD717">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d.</w:t>
            </w:r>
            <w:r>
              <w:rPr>
                <w:rFonts w:hint="eastAsia"/>
                <w:color w:val="auto"/>
                <w:sz w:val="24"/>
                <w:szCs w:val="24"/>
                <w:highlight w:val="none"/>
              </w:rPr>
              <w:t>投标人对合同纠纷、事故处理办法未提出异议；</w:t>
            </w:r>
          </w:p>
          <w:p w14:paraId="768C4616">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e.</w:t>
            </w:r>
            <w:r>
              <w:rPr>
                <w:rFonts w:hint="eastAsia"/>
                <w:color w:val="auto"/>
                <w:sz w:val="24"/>
                <w:szCs w:val="24"/>
                <w:highlight w:val="none"/>
              </w:rPr>
              <w:t>投标人在投标活动中无欺诈行为；</w:t>
            </w:r>
          </w:p>
          <w:p w14:paraId="02F89DF1">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f.</w:t>
            </w:r>
            <w:r>
              <w:rPr>
                <w:rFonts w:hint="eastAsia"/>
                <w:color w:val="auto"/>
                <w:sz w:val="24"/>
                <w:szCs w:val="24"/>
                <w:highlight w:val="none"/>
              </w:rPr>
              <w:t>投标人未对合同条款有重要保留。</w:t>
            </w:r>
          </w:p>
          <w:p w14:paraId="652FCFD0">
            <w:pPr>
              <w:pStyle w:val="6"/>
              <w:spacing w:line="276" w:lineRule="auto"/>
              <w:ind w:left="63" w:leftChars="30" w:right="63" w:rightChars="30" w:firstLine="480" w:firstLineChars="200"/>
              <w:jc w:val="both"/>
              <w:rPr>
                <w:color w:val="auto"/>
                <w:sz w:val="24"/>
                <w:szCs w:val="24"/>
                <w:highlight w:val="none"/>
              </w:rPr>
            </w:pPr>
          </w:p>
          <w:p w14:paraId="743F73C8">
            <w:pPr>
              <w:pStyle w:val="6"/>
              <w:spacing w:line="276" w:lineRule="auto"/>
              <w:ind w:left="63" w:leftChars="30" w:right="63" w:rightChars="30" w:firstLine="482" w:firstLineChars="200"/>
              <w:jc w:val="both"/>
              <w:rPr>
                <w:b/>
                <w:bCs/>
                <w:color w:val="auto"/>
                <w:sz w:val="24"/>
                <w:szCs w:val="24"/>
                <w:highlight w:val="none"/>
              </w:rPr>
            </w:pPr>
            <w:r>
              <w:rPr>
                <w:rFonts w:hint="eastAsia"/>
                <w:b/>
                <w:bCs/>
                <w:color w:val="auto"/>
                <w:sz w:val="24"/>
                <w:szCs w:val="24"/>
                <w:highlight w:val="none"/>
              </w:rPr>
              <w:t>第二个信封（报价文件）评审标准：</w:t>
            </w:r>
          </w:p>
          <w:p w14:paraId="36AEEE7E">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）投标文件按照招标文件规定的格式、内容填写，字迹清晰可辨，内容齐全完整：</w:t>
            </w:r>
          </w:p>
          <w:p w14:paraId="2961EC7B">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a.</w:t>
            </w:r>
            <w:r>
              <w:rPr>
                <w:rFonts w:hint="eastAsia"/>
                <w:color w:val="auto"/>
                <w:sz w:val="24"/>
                <w:szCs w:val="24"/>
                <w:highlight w:val="none"/>
              </w:rPr>
              <w:t>投标函按招标文件规定填报了项目名称、标段号（如有）、补遗书编号（如有）、投标价（包括大写金额和小写金额）；</w:t>
            </w:r>
          </w:p>
          <w:p w14:paraId="495ADDC8">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b.</w:t>
            </w:r>
            <w:r>
              <w:rPr>
                <w:rFonts w:hint="eastAsia"/>
                <w:color w:val="auto"/>
                <w:sz w:val="24"/>
                <w:szCs w:val="24"/>
                <w:highlight w:val="none"/>
              </w:rPr>
              <w:t>已标价报价清单说明文字与招标文件规定一致，未进行实质性修改和删减；</w:t>
            </w:r>
          </w:p>
          <w:p w14:paraId="1A91D777">
            <w:pPr>
              <w:pStyle w:val="6"/>
              <w:spacing w:line="276" w:lineRule="auto"/>
              <w:ind w:left="63" w:leftChars="30" w:right="63" w:rightChars="30" w:firstLine="480" w:firstLineChars="200"/>
              <w:jc w:val="both"/>
              <w:rPr>
                <w:color w:val="auto"/>
                <w:sz w:val="24"/>
                <w:szCs w:val="24"/>
                <w:highlight w:val="none"/>
              </w:rPr>
            </w:pPr>
            <w:r>
              <w:rPr>
                <w:color w:val="auto"/>
                <w:sz w:val="24"/>
                <w:szCs w:val="24"/>
                <w:highlight w:val="none"/>
              </w:rPr>
              <w:t>c.</w:t>
            </w:r>
            <w:r>
              <w:rPr>
                <w:rFonts w:hint="eastAsia"/>
                <w:color w:val="auto"/>
                <w:sz w:val="24"/>
                <w:szCs w:val="24"/>
                <w:highlight w:val="none"/>
              </w:rPr>
              <w:t>投标文件组成齐全完整，内容均按规定填写。</w:t>
            </w:r>
          </w:p>
          <w:p w14:paraId="564DA906">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）投标文件上法定代表人或其委托代理人的签字、投标人的单位章盖章齐全，符合招标文件规定。</w:t>
            </w:r>
          </w:p>
          <w:p w14:paraId="49C1E63E">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）投标报价未超过招标文件设定的最高投标限价（如有）。</w:t>
            </w:r>
          </w:p>
          <w:p w14:paraId="31230BEC">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）投标报价的大写金额能够确定具体数值。</w:t>
            </w:r>
          </w:p>
          <w:p w14:paraId="1C7F4F95">
            <w:pPr>
              <w:pStyle w:val="6"/>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）同一投标人未提交两个以上不同的投标报价，但招标文件要求提交备选投标的除外。</w:t>
            </w:r>
          </w:p>
        </w:tc>
      </w:tr>
      <w:tr w14:paraId="557ECE5A">
        <w:tblPrEx>
          <w:tblCellMar>
            <w:top w:w="0" w:type="dxa"/>
            <w:left w:w="0" w:type="dxa"/>
            <w:bottom w:w="0" w:type="dxa"/>
            <w:right w:w="0" w:type="dxa"/>
          </w:tblCellMar>
        </w:tblPrEx>
        <w:trPr>
          <w:trHeight w:val="6525" w:hRule="atLeast"/>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4CED79F6">
            <w:pPr>
              <w:pStyle w:val="6"/>
              <w:kinsoku w:val="0"/>
              <w:overflowPunct w:val="0"/>
              <w:spacing w:line="276" w:lineRule="auto"/>
              <w:ind w:left="11"/>
              <w:jc w:val="center"/>
              <w:rPr>
                <w:color w:val="auto"/>
                <w:w w:val="99"/>
                <w:sz w:val="24"/>
                <w:szCs w:val="24"/>
                <w:highlight w:val="none"/>
              </w:rPr>
            </w:pPr>
            <w:r>
              <w:rPr>
                <w:color w:val="auto"/>
                <w:w w:val="99"/>
                <w:sz w:val="24"/>
                <w:szCs w:val="24"/>
                <w:highlight w:val="none"/>
              </w:rPr>
              <w:t>2.1.2</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9449FBA">
            <w:pPr>
              <w:pStyle w:val="6"/>
              <w:kinsoku w:val="0"/>
              <w:overflowPunct w:val="0"/>
              <w:spacing w:line="276" w:lineRule="auto"/>
              <w:ind w:left="11" w:right="105"/>
              <w:jc w:val="center"/>
              <w:rPr>
                <w:color w:val="auto"/>
                <w:w w:val="99"/>
                <w:sz w:val="24"/>
                <w:szCs w:val="24"/>
                <w:highlight w:val="none"/>
              </w:rPr>
            </w:pPr>
            <w:r>
              <w:rPr>
                <w:rFonts w:hint="eastAsia"/>
                <w:color w:val="auto"/>
                <w:w w:val="99"/>
                <w:sz w:val="24"/>
                <w:szCs w:val="24"/>
                <w:highlight w:val="none"/>
              </w:rPr>
              <w:t>资格评审标准</w:t>
            </w:r>
          </w:p>
        </w:tc>
        <w:tc>
          <w:tcPr>
            <w:tcW w:w="3724" w:type="pct"/>
            <w:tcBorders>
              <w:top w:val="single" w:color="000000" w:sz="4" w:space="0"/>
              <w:left w:val="single" w:color="000000" w:sz="4" w:space="0"/>
              <w:bottom w:val="single" w:color="000000" w:sz="4" w:space="0"/>
              <w:right w:val="single" w:color="000000" w:sz="4" w:space="0"/>
            </w:tcBorders>
            <w:noWrap w:val="0"/>
            <w:vAlign w:val="top"/>
          </w:tcPr>
          <w:p w14:paraId="27D0885D">
            <w:pPr>
              <w:pStyle w:val="6"/>
              <w:spacing w:line="276" w:lineRule="auto"/>
              <w:ind w:left="63" w:leftChars="30" w:right="63" w:rightChars="30" w:firstLine="480" w:firstLineChars="200"/>
              <w:rPr>
                <w:bCs/>
                <w:color w:val="auto"/>
                <w:sz w:val="24"/>
                <w:szCs w:val="24"/>
                <w:highlight w:val="none"/>
              </w:rPr>
            </w:pPr>
            <w:r>
              <w:rPr>
                <w:rFonts w:hint="eastAsia"/>
                <w:bCs/>
                <w:color w:val="auto"/>
                <w:sz w:val="24"/>
                <w:szCs w:val="24"/>
                <w:highlight w:val="none"/>
              </w:rPr>
              <w:t>（</w:t>
            </w:r>
            <w:r>
              <w:rPr>
                <w:bCs/>
                <w:color w:val="auto"/>
                <w:sz w:val="24"/>
                <w:szCs w:val="24"/>
                <w:highlight w:val="none"/>
              </w:rPr>
              <w:t>1</w:t>
            </w:r>
            <w:r>
              <w:rPr>
                <w:rFonts w:hint="eastAsia"/>
                <w:bCs/>
                <w:color w:val="auto"/>
                <w:sz w:val="24"/>
                <w:szCs w:val="24"/>
                <w:highlight w:val="none"/>
              </w:rPr>
              <w:t>）投标人具备有效的营业执照、监理资质证书和基本账户开户许可证（如企业所在地已取消企业银行账户许可而无法提供开户许可证的，则需附上开户银行盖章的“基本存款账户信息”或“人民银行账户管理系统查询的基本账户信息截图”），投标人已录入交通运输部“全国公路建设市场信用信息管理系统（</w:t>
            </w:r>
            <w:r>
              <w:rPr>
                <w:color w:val="auto"/>
                <w:highlight w:val="none"/>
              </w:rPr>
              <w:fldChar w:fldCharType="begin"/>
            </w:r>
            <w:r>
              <w:rPr>
                <w:color w:val="auto"/>
                <w:highlight w:val="none"/>
              </w:rPr>
              <w:instrText xml:space="preserve"> HYPERLINK "https://glxy.mot.gov.cn/" </w:instrText>
            </w:r>
            <w:r>
              <w:rPr>
                <w:color w:val="auto"/>
                <w:highlight w:val="none"/>
              </w:rPr>
              <w:fldChar w:fldCharType="separate"/>
            </w:r>
            <w:r>
              <w:rPr>
                <w:color w:val="auto"/>
                <w:sz w:val="24"/>
                <w:szCs w:val="24"/>
                <w:highlight w:val="none"/>
                <w:u w:val="single"/>
                <w:lang w:bidi="zh-CN"/>
              </w:rPr>
              <w:t>https://glxy.mot.gov.cn/</w:t>
            </w:r>
            <w:r>
              <w:rPr>
                <w:color w:val="auto"/>
                <w:sz w:val="24"/>
                <w:szCs w:val="24"/>
                <w:highlight w:val="none"/>
                <w:u w:val="single"/>
                <w:lang w:bidi="zh-CN"/>
              </w:rPr>
              <w:fldChar w:fldCharType="end"/>
            </w:r>
            <w:r>
              <w:rPr>
                <w:rFonts w:hint="eastAsia"/>
                <w:bCs/>
                <w:color w:val="auto"/>
                <w:sz w:val="24"/>
                <w:szCs w:val="24"/>
                <w:highlight w:val="none"/>
              </w:rPr>
              <w:t>）”中的公路工程施工监理资质企业名录，且投标人名称和资质与该名录中的相应企业名称和资质完全一致。</w:t>
            </w:r>
          </w:p>
          <w:p w14:paraId="21616BE4">
            <w:pPr>
              <w:pStyle w:val="6"/>
              <w:spacing w:line="276" w:lineRule="auto"/>
              <w:ind w:left="63" w:leftChars="30" w:right="63" w:rightChars="30" w:firstLine="480" w:firstLineChars="200"/>
              <w:jc w:val="both"/>
              <w:rPr>
                <w:bCs/>
                <w:color w:val="auto"/>
                <w:sz w:val="24"/>
                <w:szCs w:val="24"/>
                <w:highlight w:val="none"/>
              </w:rPr>
            </w:pPr>
            <w:r>
              <w:rPr>
                <w:rFonts w:hint="eastAsia"/>
                <w:bCs/>
                <w:color w:val="auto"/>
                <w:sz w:val="24"/>
                <w:szCs w:val="24"/>
                <w:highlight w:val="none"/>
              </w:rPr>
              <w:t>（</w:t>
            </w:r>
            <w:r>
              <w:rPr>
                <w:bCs/>
                <w:color w:val="auto"/>
                <w:sz w:val="24"/>
                <w:szCs w:val="24"/>
                <w:highlight w:val="none"/>
              </w:rPr>
              <w:t>2</w:t>
            </w:r>
            <w:r>
              <w:rPr>
                <w:rFonts w:hint="eastAsia"/>
                <w:bCs/>
                <w:color w:val="auto"/>
                <w:sz w:val="24"/>
                <w:szCs w:val="24"/>
                <w:highlight w:val="none"/>
              </w:rPr>
              <w:t>）投标人的资质等级符合招标文件规定。</w:t>
            </w:r>
          </w:p>
          <w:p w14:paraId="16F16885">
            <w:pPr>
              <w:pStyle w:val="6"/>
              <w:spacing w:line="276" w:lineRule="auto"/>
              <w:ind w:left="63" w:leftChars="30" w:right="63" w:rightChars="30" w:firstLine="480" w:firstLineChars="200"/>
              <w:jc w:val="both"/>
              <w:rPr>
                <w:bCs/>
                <w:color w:val="auto"/>
                <w:sz w:val="24"/>
                <w:szCs w:val="24"/>
                <w:highlight w:val="none"/>
              </w:rPr>
            </w:pPr>
            <w:r>
              <w:rPr>
                <w:rFonts w:hint="eastAsia"/>
                <w:bCs/>
                <w:color w:val="auto"/>
                <w:sz w:val="24"/>
                <w:szCs w:val="24"/>
                <w:highlight w:val="none"/>
              </w:rPr>
              <w:t>（</w:t>
            </w:r>
            <w:r>
              <w:rPr>
                <w:bCs/>
                <w:color w:val="auto"/>
                <w:sz w:val="24"/>
                <w:szCs w:val="24"/>
                <w:highlight w:val="none"/>
              </w:rPr>
              <w:t>3</w:t>
            </w:r>
            <w:r>
              <w:rPr>
                <w:rFonts w:hint="eastAsia"/>
                <w:bCs/>
                <w:color w:val="auto"/>
                <w:sz w:val="24"/>
                <w:szCs w:val="24"/>
                <w:highlight w:val="none"/>
              </w:rPr>
              <w:t>）投标人的类似工程业绩符合招标文件规定。</w:t>
            </w:r>
          </w:p>
          <w:p w14:paraId="03C2EE2C">
            <w:pPr>
              <w:pStyle w:val="6"/>
              <w:spacing w:line="276" w:lineRule="auto"/>
              <w:ind w:left="63" w:leftChars="30" w:right="63" w:rightChars="30" w:firstLine="480" w:firstLineChars="200"/>
              <w:jc w:val="both"/>
              <w:rPr>
                <w:bCs/>
                <w:color w:val="auto"/>
                <w:sz w:val="24"/>
                <w:szCs w:val="24"/>
                <w:highlight w:val="none"/>
              </w:rPr>
            </w:pPr>
            <w:r>
              <w:rPr>
                <w:rFonts w:hint="eastAsia"/>
                <w:bCs/>
                <w:color w:val="auto"/>
                <w:sz w:val="24"/>
                <w:szCs w:val="24"/>
                <w:highlight w:val="none"/>
              </w:rPr>
              <w:t>（</w:t>
            </w:r>
            <w:r>
              <w:rPr>
                <w:bCs/>
                <w:color w:val="auto"/>
                <w:sz w:val="24"/>
                <w:szCs w:val="24"/>
                <w:highlight w:val="none"/>
              </w:rPr>
              <w:t>4</w:t>
            </w:r>
            <w:r>
              <w:rPr>
                <w:rFonts w:hint="eastAsia"/>
                <w:bCs/>
                <w:color w:val="auto"/>
                <w:sz w:val="24"/>
                <w:szCs w:val="24"/>
                <w:highlight w:val="none"/>
              </w:rPr>
              <w:t>）投标人的信誉符合招标文件规定。</w:t>
            </w:r>
          </w:p>
          <w:p w14:paraId="0FD8A357">
            <w:pPr>
              <w:pStyle w:val="6"/>
              <w:spacing w:line="276" w:lineRule="auto"/>
              <w:ind w:left="63" w:leftChars="30" w:right="63" w:rightChars="30" w:firstLine="480" w:firstLineChars="200"/>
              <w:rPr>
                <w:bCs/>
                <w:color w:val="auto"/>
                <w:sz w:val="24"/>
                <w:szCs w:val="24"/>
                <w:highlight w:val="none"/>
              </w:rPr>
            </w:pPr>
            <w:r>
              <w:rPr>
                <w:rFonts w:hint="eastAsia"/>
                <w:bCs/>
                <w:color w:val="auto"/>
                <w:sz w:val="24"/>
                <w:szCs w:val="24"/>
                <w:highlight w:val="none"/>
              </w:rPr>
              <w:t>（</w:t>
            </w:r>
            <w:r>
              <w:rPr>
                <w:bCs/>
                <w:color w:val="auto"/>
                <w:sz w:val="24"/>
                <w:szCs w:val="24"/>
                <w:highlight w:val="none"/>
              </w:rPr>
              <w:t>5</w:t>
            </w:r>
            <w:r>
              <w:rPr>
                <w:rFonts w:hint="eastAsia"/>
                <w:bCs/>
                <w:color w:val="auto"/>
                <w:sz w:val="24"/>
                <w:szCs w:val="24"/>
                <w:highlight w:val="none"/>
              </w:rPr>
              <w:t>）投标人的总监理工程师或驻地监理工程师（含备选，如有）资格、在岗情况符合招标文件规定，并按规定在投标文件中签字确认。</w:t>
            </w:r>
          </w:p>
          <w:p w14:paraId="54FD3C43">
            <w:pPr>
              <w:pStyle w:val="6"/>
              <w:spacing w:line="276" w:lineRule="auto"/>
              <w:ind w:left="63" w:leftChars="30" w:right="63" w:rightChars="30" w:firstLine="480" w:firstLineChars="200"/>
              <w:jc w:val="both"/>
              <w:rPr>
                <w:bCs/>
                <w:color w:val="auto"/>
                <w:sz w:val="24"/>
                <w:szCs w:val="24"/>
                <w:highlight w:val="none"/>
              </w:rPr>
            </w:pPr>
            <w:r>
              <w:rPr>
                <w:rFonts w:hint="eastAsia"/>
                <w:bCs/>
                <w:color w:val="auto"/>
                <w:sz w:val="24"/>
                <w:szCs w:val="24"/>
                <w:highlight w:val="none"/>
              </w:rPr>
              <w:t>（</w:t>
            </w:r>
            <w:r>
              <w:rPr>
                <w:bCs/>
                <w:color w:val="auto"/>
                <w:sz w:val="24"/>
                <w:szCs w:val="24"/>
                <w:highlight w:val="none"/>
              </w:rPr>
              <w:t>6</w:t>
            </w:r>
            <w:r>
              <w:rPr>
                <w:rFonts w:hint="eastAsia"/>
                <w:bCs/>
                <w:color w:val="auto"/>
                <w:sz w:val="24"/>
                <w:szCs w:val="24"/>
                <w:highlight w:val="none"/>
              </w:rPr>
              <w:t>）投标人的其他要求符合招标文件规定。</w:t>
            </w:r>
          </w:p>
          <w:p w14:paraId="33828D71">
            <w:pPr>
              <w:pStyle w:val="6"/>
              <w:spacing w:line="276" w:lineRule="auto"/>
              <w:ind w:left="63" w:leftChars="30" w:right="63" w:rightChars="30" w:firstLine="480" w:firstLineChars="200"/>
              <w:jc w:val="both"/>
              <w:rPr>
                <w:bCs/>
                <w:color w:val="auto"/>
                <w:sz w:val="24"/>
                <w:szCs w:val="24"/>
                <w:highlight w:val="none"/>
              </w:rPr>
            </w:pPr>
            <w:r>
              <w:rPr>
                <w:rFonts w:hint="eastAsia"/>
                <w:bCs/>
                <w:color w:val="auto"/>
                <w:sz w:val="24"/>
                <w:szCs w:val="24"/>
                <w:highlight w:val="none"/>
              </w:rPr>
              <w:t>（</w:t>
            </w:r>
            <w:r>
              <w:rPr>
                <w:bCs/>
                <w:color w:val="auto"/>
                <w:sz w:val="24"/>
                <w:szCs w:val="24"/>
                <w:highlight w:val="none"/>
              </w:rPr>
              <w:t>7</w:t>
            </w:r>
            <w:r>
              <w:rPr>
                <w:rFonts w:hint="eastAsia"/>
                <w:bCs/>
                <w:color w:val="auto"/>
                <w:sz w:val="24"/>
                <w:szCs w:val="24"/>
                <w:highlight w:val="none"/>
              </w:rPr>
              <w:t>）投标人不存在第二章“投标人须知”第</w:t>
            </w:r>
            <w:r>
              <w:rPr>
                <w:bCs/>
                <w:color w:val="auto"/>
                <w:sz w:val="24"/>
                <w:szCs w:val="24"/>
                <w:highlight w:val="none"/>
              </w:rPr>
              <w:t xml:space="preserve"> 1.4.3 </w:t>
            </w:r>
            <w:r>
              <w:rPr>
                <w:rFonts w:hint="eastAsia"/>
                <w:bCs/>
                <w:color w:val="auto"/>
                <w:sz w:val="24"/>
                <w:szCs w:val="24"/>
                <w:highlight w:val="none"/>
              </w:rPr>
              <w:t>项或第</w:t>
            </w:r>
            <w:r>
              <w:rPr>
                <w:bCs/>
                <w:color w:val="auto"/>
                <w:sz w:val="24"/>
                <w:szCs w:val="24"/>
                <w:highlight w:val="none"/>
              </w:rPr>
              <w:t xml:space="preserve"> 1.4.4 </w:t>
            </w:r>
            <w:r>
              <w:rPr>
                <w:rFonts w:hint="eastAsia"/>
                <w:bCs/>
                <w:color w:val="auto"/>
                <w:sz w:val="24"/>
                <w:szCs w:val="24"/>
                <w:highlight w:val="none"/>
              </w:rPr>
              <w:t>项规定的任何一种情形。</w:t>
            </w:r>
          </w:p>
          <w:p w14:paraId="7B5020F8">
            <w:pPr>
              <w:pStyle w:val="6"/>
              <w:spacing w:line="276" w:lineRule="auto"/>
              <w:ind w:left="63" w:leftChars="30" w:right="63" w:rightChars="30" w:firstLine="480" w:firstLineChars="200"/>
              <w:jc w:val="both"/>
              <w:rPr>
                <w:bCs/>
                <w:color w:val="auto"/>
                <w:sz w:val="24"/>
                <w:szCs w:val="24"/>
                <w:highlight w:val="none"/>
              </w:rPr>
            </w:pPr>
            <w:r>
              <w:rPr>
                <w:rFonts w:hint="eastAsia"/>
                <w:bCs/>
                <w:color w:val="auto"/>
                <w:sz w:val="24"/>
                <w:szCs w:val="24"/>
                <w:highlight w:val="none"/>
              </w:rPr>
              <w:t>（</w:t>
            </w:r>
            <w:r>
              <w:rPr>
                <w:bCs/>
                <w:color w:val="auto"/>
                <w:sz w:val="24"/>
                <w:szCs w:val="24"/>
                <w:highlight w:val="none"/>
              </w:rPr>
              <w:t>8</w:t>
            </w:r>
            <w:r>
              <w:rPr>
                <w:rFonts w:hint="eastAsia"/>
                <w:bCs/>
                <w:color w:val="auto"/>
                <w:sz w:val="24"/>
                <w:szCs w:val="24"/>
                <w:highlight w:val="none"/>
              </w:rPr>
              <w:t>）投标人符合第二章“投标人须知”第</w:t>
            </w:r>
            <w:r>
              <w:rPr>
                <w:bCs/>
                <w:color w:val="auto"/>
                <w:sz w:val="24"/>
                <w:szCs w:val="24"/>
                <w:highlight w:val="none"/>
              </w:rPr>
              <w:t xml:space="preserve"> 1.4.5 </w:t>
            </w:r>
            <w:r>
              <w:rPr>
                <w:rFonts w:hint="eastAsia"/>
                <w:bCs/>
                <w:color w:val="auto"/>
                <w:sz w:val="24"/>
                <w:szCs w:val="24"/>
                <w:highlight w:val="none"/>
              </w:rPr>
              <w:t>项规定。</w:t>
            </w:r>
          </w:p>
        </w:tc>
      </w:tr>
    </w:tbl>
    <w:p w14:paraId="38F1E3C4">
      <w:pPr>
        <w:ind w:left="142"/>
        <w:jc w:val="left"/>
        <w:rPr>
          <w:rFonts w:ascii="宋体" w:hAnsi="宋体" w:cs="宋体"/>
          <w:b/>
          <w:color w:val="auto"/>
          <w:kern w:val="0"/>
          <w:sz w:val="24"/>
          <w:highlight w:val="none"/>
        </w:rPr>
      </w:pPr>
    </w:p>
    <w:p w14:paraId="7BF22E9A">
      <w:pPr>
        <w:ind w:left="142"/>
        <w:jc w:val="left"/>
        <w:rPr>
          <w:rFonts w:ascii="宋体" w:hAnsi="宋体" w:cs="宋体"/>
          <w:b/>
          <w:color w:val="auto"/>
          <w:kern w:val="0"/>
          <w:sz w:val="24"/>
          <w:highlight w:val="none"/>
        </w:rPr>
      </w:pPr>
    </w:p>
    <w:p w14:paraId="3AC68BF0">
      <w:pPr>
        <w:ind w:left="142"/>
        <w:jc w:val="left"/>
        <w:rPr>
          <w:rFonts w:ascii="宋体" w:hAnsi="宋体" w:cs="宋体"/>
          <w:b/>
          <w:color w:val="auto"/>
          <w:kern w:val="0"/>
          <w:sz w:val="24"/>
          <w:highlight w:val="none"/>
        </w:rPr>
      </w:pPr>
    </w:p>
    <w:p w14:paraId="535B3EDF">
      <w:pPr>
        <w:ind w:left="142"/>
        <w:jc w:val="left"/>
        <w:rPr>
          <w:rFonts w:ascii="宋体" w:hAnsi="宋体" w:cs="宋体"/>
          <w:b/>
          <w:color w:val="auto"/>
          <w:kern w:val="0"/>
          <w:sz w:val="24"/>
          <w:highlight w:val="none"/>
        </w:rPr>
      </w:pPr>
    </w:p>
    <w:p w14:paraId="1D721989">
      <w:pPr>
        <w:ind w:left="142"/>
        <w:jc w:val="left"/>
        <w:rPr>
          <w:rFonts w:ascii="宋体" w:hAnsi="宋体" w:cs="宋体"/>
          <w:b/>
          <w:color w:val="auto"/>
          <w:kern w:val="0"/>
          <w:sz w:val="24"/>
          <w:highlight w:val="none"/>
        </w:rPr>
      </w:pPr>
    </w:p>
    <w:p w14:paraId="0C4C8AB9">
      <w:pPr>
        <w:ind w:left="142"/>
        <w:jc w:val="left"/>
        <w:rPr>
          <w:rFonts w:ascii="宋体" w:hAnsi="宋体" w:cs="宋体"/>
          <w:b/>
          <w:color w:val="auto"/>
          <w:kern w:val="0"/>
          <w:sz w:val="24"/>
          <w:highlight w:val="none"/>
        </w:rPr>
      </w:pPr>
    </w:p>
    <w:p w14:paraId="36B0AF52">
      <w:pPr>
        <w:ind w:left="142"/>
        <w:jc w:val="left"/>
        <w:rPr>
          <w:rFonts w:ascii="宋体" w:hAnsi="宋体" w:cs="宋体"/>
          <w:b/>
          <w:color w:val="auto"/>
          <w:kern w:val="0"/>
          <w:sz w:val="24"/>
          <w:highlight w:val="none"/>
        </w:rPr>
      </w:pPr>
    </w:p>
    <w:p w14:paraId="5ACE4701">
      <w:pPr>
        <w:ind w:left="142"/>
        <w:jc w:val="left"/>
        <w:rPr>
          <w:rFonts w:ascii="宋体" w:hAnsi="宋体" w:cs="宋体"/>
          <w:b/>
          <w:color w:val="auto"/>
          <w:kern w:val="0"/>
          <w:sz w:val="24"/>
          <w:highlight w:val="none"/>
        </w:rPr>
      </w:pPr>
    </w:p>
    <w:p w14:paraId="3B335616">
      <w:pPr>
        <w:ind w:left="142"/>
        <w:jc w:val="left"/>
        <w:rPr>
          <w:rFonts w:ascii="宋体" w:hAnsi="宋体" w:cs="宋体"/>
          <w:b/>
          <w:color w:val="auto"/>
          <w:kern w:val="0"/>
          <w:sz w:val="24"/>
          <w:highlight w:val="none"/>
        </w:rPr>
      </w:pPr>
    </w:p>
    <w:p w14:paraId="6A782062">
      <w:pPr>
        <w:ind w:left="142"/>
        <w:jc w:val="left"/>
        <w:rPr>
          <w:rFonts w:ascii="宋体" w:hAnsi="宋体" w:cs="宋体"/>
          <w:b/>
          <w:color w:val="auto"/>
          <w:kern w:val="0"/>
          <w:sz w:val="24"/>
          <w:highlight w:val="none"/>
        </w:rPr>
      </w:pPr>
    </w:p>
    <w:p w14:paraId="15552FF1">
      <w:pPr>
        <w:ind w:left="142"/>
        <w:jc w:val="left"/>
        <w:rPr>
          <w:rFonts w:ascii="宋体" w:hAnsi="宋体" w:cs="宋体"/>
          <w:b/>
          <w:color w:val="auto"/>
          <w:kern w:val="0"/>
          <w:sz w:val="24"/>
          <w:highlight w:val="none"/>
        </w:rPr>
      </w:pPr>
    </w:p>
    <w:p w14:paraId="43EE33F6">
      <w:pPr>
        <w:ind w:left="142"/>
        <w:jc w:val="left"/>
        <w:rPr>
          <w:rFonts w:ascii="宋体" w:hAnsi="宋体" w:cs="宋体"/>
          <w:b/>
          <w:color w:val="auto"/>
          <w:kern w:val="0"/>
          <w:sz w:val="24"/>
          <w:highlight w:val="none"/>
        </w:rPr>
      </w:pPr>
    </w:p>
    <w:p w14:paraId="58B66E6F">
      <w:pPr>
        <w:ind w:left="142"/>
        <w:jc w:val="left"/>
        <w:rPr>
          <w:rFonts w:ascii="宋体" w:hAnsi="宋体" w:cs="宋体"/>
          <w:b/>
          <w:color w:val="auto"/>
          <w:kern w:val="0"/>
          <w:sz w:val="24"/>
          <w:highlight w:val="none"/>
        </w:rPr>
      </w:pPr>
    </w:p>
    <w:p w14:paraId="0B258CAF">
      <w:pPr>
        <w:ind w:left="142"/>
        <w:jc w:val="left"/>
        <w:rPr>
          <w:rFonts w:ascii="宋体" w:hAnsi="宋体" w:cs="宋体"/>
          <w:b/>
          <w:color w:val="auto"/>
          <w:kern w:val="0"/>
          <w:sz w:val="24"/>
          <w:highlight w:val="none"/>
        </w:rPr>
      </w:pPr>
    </w:p>
    <w:p w14:paraId="59E1715E">
      <w:pPr>
        <w:ind w:left="142"/>
        <w:jc w:val="left"/>
        <w:rPr>
          <w:rFonts w:ascii="宋体" w:hAnsi="宋体" w:cs="宋体"/>
          <w:b/>
          <w:color w:val="auto"/>
          <w:kern w:val="0"/>
          <w:sz w:val="24"/>
          <w:highlight w:val="none"/>
        </w:rPr>
      </w:pPr>
    </w:p>
    <w:p w14:paraId="6DFD6412">
      <w:pPr>
        <w:ind w:left="142"/>
        <w:jc w:val="left"/>
        <w:rPr>
          <w:rFonts w:ascii="宋体" w:hAnsi="宋体" w:cs="宋体"/>
          <w:b/>
          <w:color w:val="auto"/>
          <w:kern w:val="0"/>
          <w:sz w:val="24"/>
          <w:highlight w:val="none"/>
        </w:rPr>
      </w:pPr>
    </w:p>
    <w:p w14:paraId="1A7DA960">
      <w:pPr>
        <w:ind w:left="142"/>
        <w:jc w:val="left"/>
        <w:rPr>
          <w:rFonts w:ascii="宋体" w:hAnsi="宋体" w:cs="宋体"/>
          <w:b/>
          <w:color w:val="auto"/>
          <w:kern w:val="0"/>
          <w:sz w:val="24"/>
          <w:highlight w:val="none"/>
        </w:rPr>
      </w:pPr>
    </w:p>
    <w:p w14:paraId="3AF9F097">
      <w:pPr>
        <w:ind w:left="142"/>
        <w:jc w:val="left"/>
        <w:rPr>
          <w:rFonts w:ascii="宋体" w:hAnsi="宋体" w:cs="宋体"/>
          <w:b/>
          <w:color w:val="auto"/>
          <w:kern w:val="0"/>
          <w:sz w:val="24"/>
          <w:highlight w:val="none"/>
        </w:rPr>
      </w:pPr>
      <w:r>
        <w:rPr>
          <w:rFonts w:ascii="宋体" w:hAnsi="宋体" w:cs="宋体"/>
          <w:b/>
          <w:color w:val="auto"/>
          <w:kern w:val="0"/>
          <w:sz w:val="24"/>
          <w:highlight w:val="none"/>
        </w:rPr>
        <w:br w:type="page"/>
      </w:r>
    </w:p>
    <w:p w14:paraId="72F33A39">
      <w:pPr>
        <w:jc w:val="left"/>
        <w:rPr>
          <w:rFonts w:ascii="宋体" w:hAnsi="宋体" w:cs="宋体"/>
          <w:b/>
          <w:color w:val="auto"/>
          <w:kern w:val="0"/>
          <w:sz w:val="24"/>
          <w:highlight w:val="none"/>
        </w:rPr>
      </w:pPr>
    </w:p>
    <w:p w14:paraId="6299C86A">
      <w:pPr>
        <w:ind w:left="142"/>
        <w:jc w:val="right"/>
        <w:rPr>
          <w:rFonts w:ascii="宋体" w:hAnsi="宋体" w:cs="宋体"/>
          <w:b/>
          <w:color w:val="auto"/>
          <w:kern w:val="0"/>
          <w:sz w:val="24"/>
          <w:highlight w:val="none"/>
        </w:rPr>
      </w:pPr>
      <w:r>
        <w:rPr>
          <w:rFonts w:hint="eastAsia" w:ascii="宋体" w:hAnsi="宋体" w:cs="宋体"/>
          <w:b/>
          <w:color w:val="auto"/>
          <w:kern w:val="0"/>
          <w:sz w:val="24"/>
          <w:highlight w:val="none"/>
        </w:rPr>
        <w:t>续上表</w:t>
      </w:r>
    </w:p>
    <w:tbl>
      <w:tblPr>
        <w:tblStyle w:val="3"/>
        <w:tblW w:w="5000" w:type="pct"/>
        <w:tblInd w:w="0" w:type="dxa"/>
        <w:tblLayout w:type="autofit"/>
        <w:tblCellMar>
          <w:top w:w="0" w:type="dxa"/>
          <w:left w:w="0" w:type="dxa"/>
          <w:bottom w:w="0" w:type="dxa"/>
          <w:right w:w="0" w:type="dxa"/>
        </w:tblCellMar>
      </w:tblPr>
      <w:tblGrid>
        <w:gridCol w:w="914"/>
        <w:gridCol w:w="1190"/>
        <w:gridCol w:w="6978"/>
      </w:tblGrid>
      <w:tr w14:paraId="067C6A53">
        <w:tblPrEx>
          <w:tblCellMar>
            <w:top w:w="0" w:type="dxa"/>
            <w:left w:w="0" w:type="dxa"/>
            <w:bottom w:w="0" w:type="dxa"/>
            <w:right w:w="0" w:type="dxa"/>
          </w:tblCellMar>
        </w:tblPrEx>
        <w:trPr>
          <w:trHeight w:val="380" w:hRule="atLeast"/>
        </w:trPr>
        <w:tc>
          <w:tcPr>
            <w:tcW w:w="556" w:type="pct"/>
            <w:tcBorders>
              <w:top w:val="single" w:color="000000" w:sz="4" w:space="0"/>
              <w:left w:val="single" w:color="000000" w:sz="4" w:space="0"/>
              <w:bottom w:val="single" w:color="000000" w:sz="4" w:space="0"/>
              <w:right w:val="single" w:color="000000" w:sz="4" w:space="0"/>
            </w:tcBorders>
            <w:noWrap w:val="0"/>
            <w:vAlign w:val="top"/>
          </w:tcPr>
          <w:p w14:paraId="258863EA">
            <w:pPr>
              <w:pStyle w:val="6"/>
              <w:kinsoku w:val="0"/>
              <w:overflowPunct w:val="0"/>
              <w:spacing w:line="276" w:lineRule="auto"/>
              <w:ind w:left="157" w:right="148"/>
              <w:jc w:val="center"/>
              <w:rPr>
                <w:b/>
                <w:bCs/>
                <w:color w:val="auto"/>
                <w:sz w:val="24"/>
                <w:szCs w:val="24"/>
                <w:highlight w:val="none"/>
              </w:rPr>
            </w:pPr>
            <w:r>
              <w:rPr>
                <w:rFonts w:hint="eastAsia"/>
                <w:b/>
                <w:bCs/>
                <w:color w:val="auto"/>
                <w:sz w:val="24"/>
                <w:szCs w:val="24"/>
                <w:highlight w:val="none"/>
              </w:rPr>
              <w:t>条款号</w:t>
            </w:r>
          </w:p>
        </w:tc>
        <w:tc>
          <w:tcPr>
            <w:tcW w:w="720" w:type="pct"/>
            <w:tcBorders>
              <w:top w:val="single" w:color="000000" w:sz="4" w:space="0"/>
              <w:left w:val="single" w:color="000000" w:sz="4" w:space="0"/>
              <w:bottom w:val="single" w:color="000000" w:sz="4" w:space="0"/>
              <w:right w:val="single" w:color="000000" w:sz="4" w:space="0"/>
            </w:tcBorders>
            <w:noWrap w:val="0"/>
            <w:vAlign w:val="top"/>
          </w:tcPr>
          <w:p w14:paraId="480CFD6F">
            <w:pPr>
              <w:pStyle w:val="6"/>
              <w:kinsoku w:val="0"/>
              <w:overflowPunct w:val="0"/>
              <w:spacing w:line="276" w:lineRule="auto"/>
              <w:ind w:left="219"/>
              <w:rPr>
                <w:b/>
                <w:bCs/>
                <w:color w:val="auto"/>
                <w:sz w:val="24"/>
                <w:szCs w:val="24"/>
                <w:highlight w:val="none"/>
              </w:rPr>
            </w:pPr>
            <w:r>
              <w:rPr>
                <w:rFonts w:hint="eastAsia"/>
                <w:b/>
                <w:bCs/>
                <w:color w:val="auto"/>
                <w:sz w:val="24"/>
                <w:szCs w:val="24"/>
                <w:highlight w:val="none"/>
              </w:rPr>
              <w:t>条款内容</w:t>
            </w:r>
          </w:p>
        </w:tc>
        <w:tc>
          <w:tcPr>
            <w:tcW w:w="3724" w:type="pct"/>
            <w:tcBorders>
              <w:top w:val="single" w:color="000000" w:sz="4" w:space="0"/>
              <w:left w:val="single" w:color="000000" w:sz="4" w:space="0"/>
              <w:bottom w:val="single" w:color="000000" w:sz="4" w:space="0"/>
              <w:right w:val="single" w:color="000000" w:sz="4" w:space="0"/>
            </w:tcBorders>
            <w:noWrap w:val="0"/>
            <w:vAlign w:val="top"/>
          </w:tcPr>
          <w:p w14:paraId="3EEE16FC">
            <w:pPr>
              <w:pStyle w:val="6"/>
              <w:kinsoku w:val="0"/>
              <w:overflowPunct w:val="0"/>
              <w:spacing w:line="276" w:lineRule="auto"/>
              <w:ind w:left="63" w:leftChars="30" w:right="63" w:rightChars="30"/>
              <w:jc w:val="center"/>
              <w:rPr>
                <w:b/>
                <w:bCs/>
                <w:color w:val="auto"/>
                <w:sz w:val="24"/>
                <w:szCs w:val="24"/>
                <w:highlight w:val="none"/>
              </w:rPr>
            </w:pPr>
            <w:r>
              <w:rPr>
                <w:rFonts w:hint="eastAsia"/>
                <w:b/>
                <w:bCs/>
                <w:color w:val="auto"/>
                <w:sz w:val="24"/>
                <w:szCs w:val="24"/>
                <w:highlight w:val="none"/>
              </w:rPr>
              <w:t>编列内容</w:t>
            </w:r>
          </w:p>
        </w:tc>
      </w:tr>
      <w:tr w14:paraId="206F0AA3">
        <w:tblPrEx>
          <w:tblCellMar>
            <w:top w:w="0" w:type="dxa"/>
            <w:left w:w="0" w:type="dxa"/>
            <w:bottom w:w="0" w:type="dxa"/>
            <w:right w:w="0" w:type="dxa"/>
          </w:tblCellMar>
        </w:tblPrEx>
        <w:trPr>
          <w:trHeight w:val="2121" w:hRule="atLeast"/>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75A6A2D2">
            <w:pPr>
              <w:pStyle w:val="6"/>
              <w:kinsoku w:val="0"/>
              <w:overflowPunct w:val="0"/>
              <w:spacing w:line="276" w:lineRule="auto"/>
              <w:ind w:left="156" w:right="148"/>
              <w:jc w:val="center"/>
              <w:rPr>
                <w:color w:val="auto"/>
                <w:sz w:val="24"/>
                <w:szCs w:val="24"/>
                <w:highlight w:val="none"/>
              </w:rPr>
            </w:pPr>
            <w:r>
              <w:rPr>
                <w:color w:val="auto"/>
                <w:sz w:val="24"/>
                <w:szCs w:val="24"/>
                <w:highlight w:val="none"/>
              </w:rPr>
              <w:t>2.2.1</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DAE0ABF">
            <w:pPr>
              <w:pStyle w:val="6"/>
              <w:kinsoku w:val="0"/>
              <w:overflowPunct w:val="0"/>
              <w:spacing w:line="276" w:lineRule="auto"/>
              <w:ind w:left="63" w:leftChars="30" w:right="63" w:rightChars="30"/>
              <w:jc w:val="center"/>
              <w:rPr>
                <w:color w:val="auto"/>
                <w:sz w:val="24"/>
                <w:szCs w:val="24"/>
                <w:highlight w:val="none"/>
              </w:rPr>
            </w:pPr>
            <w:r>
              <w:rPr>
                <w:rFonts w:hint="eastAsia"/>
                <w:color w:val="auto"/>
                <w:sz w:val="24"/>
                <w:szCs w:val="24"/>
                <w:highlight w:val="none"/>
              </w:rPr>
              <w:t>分值构成</w:t>
            </w:r>
          </w:p>
          <w:p w14:paraId="2081A3F9">
            <w:pPr>
              <w:pStyle w:val="6"/>
              <w:kinsoku w:val="0"/>
              <w:overflowPunct w:val="0"/>
              <w:spacing w:line="276" w:lineRule="auto"/>
              <w:ind w:left="63" w:leftChars="30" w:right="63" w:rightChars="30"/>
              <w:jc w:val="center"/>
              <w:rPr>
                <w:color w:val="auto"/>
                <w:sz w:val="24"/>
                <w:szCs w:val="24"/>
                <w:highlight w:val="none"/>
              </w:rPr>
            </w:pPr>
            <w:r>
              <w:rPr>
                <w:rFonts w:hint="eastAsia"/>
                <w:color w:val="auto"/>
                <w:sz w:val="24"/>
                <w:szCs w:val="24"/>
                <w:highlight w:val="none"/>
              </w:rPr>
              <w:t>（总分</w:t>
            </w:r>
            <w:r>
              <w:rPr>
                <w:color w:val="auto"/>
                <w:sz w:val="24"/>
                <w:szCs w:val="24"/>
                <w:highlight w:val="none"/>
              </w:rPr>
              <w:t xml:space="preserve">100 </w:t>
            </w:r>
            <w:r>
              <w:rPr>
                <w:rFonts w:hint="eastAsia"/>
                <w:color w:val="auto"/>
                <w:sz w:val="24"/>
                <w:szCs w:val="24"/>
                <w:highlight w:val="none"/>
              </w:rPr>
              <w:t>分）</w:t>
            </w:r>
          </w:p>
        </w:tc>
        <w:tc>
          <w:tcPr>
            <w:tcW w:w="3724" w:type="pct"/>
            <w:tcBorders>
              <w:top w:val="single" w:color="000000" w:sz="4" w:space="0"/>
              <w:left w:val="single" w:color="000000" w:sz="4" w:space="0"/>
              <w:bottom w:val="single" w:color="000000" w:sz="4" w:space="0"/>
              <w:right w:val="single" w:color="000000" w:sz="4" w:space="0"/>
            </w:tcBorders>
            <w:noWrap w:val="0"/>
            <w:vAlign w:val="top"/>
          </w:tcPr>
          <w:p w14:paraId="4691ABBF">
            <w:pPr>
              <w:pStyle w:val="6"/>
              <w:kinsoku w:val="0"/>
              <w:overflowPunct w:val="0"/>
              <w:spacing w:line="276" w:lineRule="auto"/>
              <w:ind w:left="63" w:leftChars="30" w:right="63" w:rightChars="30" w:firstLine="476" w:firstLineChars="200"/>
              <w:jc w:val="both"/>
              <w:rPr>
                <w:b/>
                <w:bCs/>
                <w:color w:val="auto"/>
                <w:w w:val="99"/>
                <w:sz w:val="24"/>
                <w:szCs w:val="24"/>
                <w:highlight w:val="none"/>
              </w:rPr>
            </w:pPr>
            <w:r>
              <w:rPr>
                <w:rFonts w:hint="eastAsia"/>
                <w:b/>
                <w:bCs/>
                <w:color w:val="auto"/>
                <w:w w:val="99"/>
                <w:sz w:val="24"/>
                <w:szCs w:val="24"/>
                <w:highlight w:val="none"/>
              </w:rPr>
              <w:t>第一个信封（商务及技术文件）评分分值构成：</w:t>
            </w:r>
          </w:p>
          <w:p w14:paraId="432F09A2">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技术建议书：</w:t>
            </w:r>
            <w:r>
              <w:rPr>
                <w:rFonts w:hint="eastAsia"/>
                <w:color w:val="auto"/>
                <w:sz w:val="24"/>
                <w:szCs w:val="24"/>
                <w:highlight w:val="none"/>
                <w:u w:val="single"/>
              </w:rPr>
              <w:t>30</w:t>
            </w:r>
            <w:r>
              <w:rPr>
                <w:rFonts w:hint="eastAsia"/>
                <w:color w:val="auto"/>
                <w:sz w:val="24"/>
                <w:szCs w:val="24"/>
                <w:highlight w:val="none"/>
              </w:rPr>
              <w:t>分</w:t>
            </w:r>
          </w:p>
          <w:p w14:paraId="69F24CB6">
            <w:pPr>
              <w:pStyle w:val="6"/>
              <w:kinsoku w:val="0"/>
              <w:overflowPunct w:val="0"/>
              <w:spacing w:line="276" w:lineRule="auto"/>
              <w:ind w:left="63" w:leftChars="30" w:right="63" w:rightChars="30" w:firstLine="480" w:firstLineChars="200"/>
              <w:jc w:val="both"/>
              <w:rPr>
                <w:color w:val="auto"/>
                <w:spacing w:val="-30"/>
                <w:sz w:val="24"/>
                <w:szCs w:val="24"/>
                <w:highlight w:val="none"/>
              </w:rPr>
            </w:pPr>
            <w:r>
              <w:rPr>
                <w:rFonts w:hint="eastAsia"/>
                <w:color w:val="auto"/>
                <w:sz w:val="24"/>
                <w:szCs w:val="24"/>
                <w:highlight w:val="none"/>
              </w:rPr>
              <w:t>主要人员：</w:t>
            </w:r>
            <w:r>
              <w:rPr>
                <w:color w:val="auto"/>
                <w:sz w:val="24"/>
                <w:szCs w:val="24"/>
                <w:highlight w:val="none"/>
                <w:u w:val="single"/>
              </w:rPr>
              <w:t>25</w:t>
            </w:r>
            <w:r>
              <w:rPr>
                <w:rFonts w:hint="eastAsia"/>
                <w:color w:val="auto"/>
                <w:spacing w:val="-30"/>
                <w:sz w:val="24"/>
                <w:szCs w:val="24"/>
                <w:highlight w:val="none"/>
              </w:rPr>
              <w:t>分</w:t>
            </w:r>
          </w:p>
          <w:p w14:paraId="112F3A35">
            <w:pPr>
              <w:pStyle w:val="6"/>
              <w:kinsoku w:val="0"/>
              <w:overflowPunct w:val="0"/>
              <w:spacing w:line="276" w:lineRule="auto"/>
              <w:ind w:left="63" w:leftChars="30" w:right="63" w:rightChars="30" w:firstLine="480" w:firstLineChars="200"/>
              <w:jc w:val="both"/>
              <w:rPr>
                <w:color w:val="auto"/>
                <w:spacing w:val="-30"/>
                <w:sz w:val="24"/>
                <w:szCs w:val="24"/>
                <w:highlight w:val="none"/>
              </w:rPr>
            </w:pPr>
            <w:r>
              <w:rPr>
                <w:rFonts w:hint="eastAsia"/>
                <w:color w:val="auto"/>
                <w:sz w:val="24"/>
                <w:szCs w:val="24"/>
                <w:highlight w:val="none"/>
              </w:rPr>
              <w:t>技术能力：</w:t>
            </w:r>
            <w:r>
              <w:rPr>
                <w:rFonts w:hint="eastAsia"/>
                <w:color w:val="auto"/>
                <w:w w:val="99"/>
                <w:sz w:val="24"/>
                <w:szCs w:val="24"/>
                <w:highlight w:val="none"/>
                <w:u w:val="single"/>
              </w:rPr>
              <w:t>0</w:t>
            </w:r>
            <w:r>
              <w:rPr>
                <w:rFonts w:hint="eastAsia"/>
                <w:color w:val="auto"/>
                <w:w w:val="99"/>
                <w:sz w:val="24"/>
                <w:szCs w:val="24"/>
                <w:highlight w:val="none"/>
              </w:rPr>
              <w:t>分</w:t>
            </w:r>
          </w:p>
          <w:p w14:paraId="1335B3A8">
            <w:pPr>
              <w:pStyle w:val="6"/>
              <w:kinsoku w:val="0"/>
              <w:overflowPunct w:val="0"/>
              <w:spacing w:line="276" w:lineRule="auto"/>
              <w:ind w:left="63" w:leftChars="30" w:right="63" w:rightChars="30" w:firstLine="480" w:firstLineChars="200"/>
              <w:jc w:val="both"/>
              <w:rPr>
                <w:color w:val="auto"/>
                <w:spacing w:val="-28"/>
                <w:sz w:val="24"/>
                <w:szCs w:val="24"/>
                <w:highlight w:val="none"/>
              </w:rPr>
            </w:pPr>
            <w:r>
              <w:rPr>
                <w:rFonts w:hint="eastAsia"/>
                <w:color w:val="auto"/>
                <w:sz w:val="24"/>
                <w:szCs w:val="24"/>
                <w:highlight w:val="none"/>
              </w:rPr>
              <w:t>业绩：</w:t>
            </w:r>
            <w:r>
              <w:rPr>
                <w:rFonts w:hint="eastAsia"/>
                <w:color w:val="auto"/>
                <w:sz w:val="24"/>
                <w:szCs w:val="24"/>
                <w:highlight w:val="none"/>
                <w:u w:val="single"/>
              </w:rPr>
              <w:t>25</w:t>
            </w:r>
            <w:r>
              <w:rPr>
                <w:rFonts w:hint="eastAsia"/>
                <w:color w:val="auto"/>
                <w:spacing w:val="-28"/>
                <w:sz w:val="24"/>
                <w:szCs w:val="24"/>
                <w:highlight w:val="none"/>
              </w:rPr>
              <w:t>分</w:t>
            </w:r>
          </w:p>
          <w:p w14:paraId="34060E6E">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履约信誉：</w:t>
            </w:r>
            <w:r>
              <w:rPr>
                <w:color w:val="auto"/>
                <w:sz w:val="24"/>
                <w:szCs w:val="24"/>
                <w:highlight w:val="none"/>
                <w:u w:val="single"/>
              </w:rPr>
              <w:t>10</w:t>
            </w:r>
            <w:r>
              <w:rPr>
                <w:rFonts w:hint="eastAsia"/>
                <w:color w:val="auto"/>
                <w:sz w:val="24"/>
                <w:szCs w:val="24"/>
                <w:highlight w:val="none"/>
              </w:rPr>
              <w:t>分</w:t>
            </w:r>
          </w:p>
          <w:p w14:paraId="5050CE41">
            <w:pPr>
              <w:pStyle w:val="6"/>
              <w:kinsoku w:val="0"/>
              <w:overflowPunct w:val="0"/>
              <w:spacing w:line="276" w:lineRule="auto"/>
              <w:ind w:left="63" w:leftChars="30" w:right="63" w:rightChars="30" w:firstLine="458" w:firstLineChars="200"/>
              <w:jc w:val="both"/>
              <w:rPr>
                <w:b/>
                <w:bCs/>
                <w:color w:val="auto"/>
                <w:w w:val="95"/>
                <w:sz w:val="24"/>
                <w:szCs w:val="24"/>
                <w:highlight w:val="none"/>
              </w:rPr>
            </w:pPr>
            <w:r>
              <w:rPr>
                <w:rFonts w:hint="eastAsia"/>
                <w:b/>
                <w:bCs/>
                <w:color w:val="auto"/>
                <w:w w:val="95"/>
                <w:sz w:val="24"/>
                <w:szCs w:val="24"/>
                <w:highlight w:val="none"/>
              </w:rPr>
              <w:t>第二个信封（报价文件）评分分值构成：</w:t>
            </w:r>
          </w:p>
          <w:p w14:paraId="2F66BDAB">
            <w:pPr>
              <w:pStyle w:val="6"/>
              <w:kinsoku w:val="0"/>
              <w:overflowPunct w:val="0"/>
              <w:spacing w:line="276" w:lineRule="auto"/>
              <w:ind w:left="63" w:leftChars="30" w:right="63" w:rightChars="30" w:firstLine="480" w:firstLineChars="200"/>
              <w:jc w:val="both"/>
              <w:rPr>
                <w:color w:val="auto"/>
                <w:sz w:val="24"/>
                <w:szCs w:val="24"/>
                <w:highlight w:val="none"/>
              </w:rPr>
            </w:pPr>
            <w:r>
              <w:rPr>
                <w:rFonts w:hint="eastAsia"/>
                <w:color w:val="auto"/>
                <w:sz w:val="24"/>
                <w:szCs w:val="24"/>
                <w:highlight w:val="none"/>
              </w:rPr>
              <w:t>评标价：</w:t>
            </w:r>
            <w:r>
              <w:rPr>
                <w:color w:val="auto"/>
                <w:sz w:val="24"/>
                <w:szCs w:val="24"/>
                <w:highlight w:val="none"/>
                <w:u w:val="single"/>
              </w:rPr>
              <w:t>10</w:t>
            </w:r>
            <w:r>
              <w:rPr>
                <w:rFonts w:hint="eastAsia"/>
                <w:color w:val="auto"/>
                <w:sz w:val="24"/>
                <w:szCs w:val="24"/>
                <w:highlight w:val="none"/>
              </w:rPr>
              <w:t>分</w:t>
            </w:r>
          </w:p>
        </w:tc>
      </w:tr>
      <w:tr w14:paraId="7E69A39A">
        <w:tblPrEx>
          <w:tblCellMar>
            <w:top w:w="0" w:type="dxa"/>
            <w:left w:w="0" w:type="dxa"/>
            <w:bottom w:w="0" w:type="dxa"/>
            <w:right w:w="0" w:type="dxa"/>
          </w:tblCellMar>
        </w:tblPrEx>
        <w:trPr>
          <w:trHeight w:val="2873"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F0AE569">
            <w:pPr>
              <w:pStyle w:val="6"/>
              <w:kinsoku w:val="0"/>
              <w:overflowPunct w:val="0"/>
              <w:spacing w:line="276" w:lineRule="auto"/>
              <w:ind w:left="156" w:leftChars="0" w:right="148" w:rightChars="0"/>
              <w:jc w:val="center"/>
              <w:rPr>
                <w:color w:val="auto"/>
                <w:sz w:val="24"/>
                <w:szCs w:val="24"/>
                <w:highlight w:val="none"/>
              </w:rPr>
            </w:pPr>
            <w:r>
              <w:rPr>
                <w:color w:val="auto"/>
                <w:sz w:val="24"/>
                <w:szCs w:val="24"/>
                <w:highlight w:val="none"/>
              </w:rPr>
              <w:t>2.2.2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4377989">
            <w:pPr>
              <w:pStyle w:val="6"/>
              <w:kinsoku w:val="0"/>
              <w:overflowPunct w:val="0"/>
              <w:spacing w:line="276" w:lineRule="auto"/>
              <w:ind w:left="63" w:leftChars="30" w:right="63" w:rightChars="30"/>
              <w:jc w:val="center"/>
              <w:rPr>
                <w:color w:val="auto"/>
                <w:sz w:val="24"/>
                <w:szCs w:val="24"/>
                <w:highlight w:val="none"/>
              </w:rPr>
            </w:pPr>
            <w:r>
              <w:rPr>
                <w:rFonts w:hint="eastAsia"/>
                <w:color w:val="auto"/>
                <w:sz w:val="24"/>
                <w:szCs w:val="24"/>
                <w:highlight w:val="none"/>
              </w:rPr>
              <w:t>评标基准价计算方法</w:t>
            </w:r>
          </w:p>
        </w:tc>
        <w:tc>
          <w:tcPr>
            <w:tcW w:w="7135" w:type="dxa"/>
            <w:tcBorders>
              <w:top w:val="single" w:color="000000" w:sz="4" w:space="0"/>
              <w:left w:val="single" w:color="000000" w:sz="4" w:space="0"/>
              <w:bottom w:val="single" w:color="000000" w:sz="4" w:space="0"/>
              <w:right w:val="single" w:color="000000" w:sz="4" w:space="0"/>
            </w:tcBorders>
            <w:noWrap w:val="0"/>
            <w:vAlign w:val="top"/>
          </w:tcPr>
          <w:p w14:paraId="7D61FE09">
            <w:pPr>
              <w:pStyle w:val="8"/>
              <w:spacing w:before="38" w:line="218" w:lineRule="auto"/>
              <w:ind w:left="556"/>
              <w:rPr>
                <w:color w:val="auto"/>
                <w:sz w:val="24"/>
                <w:szCs w:val="24"/>
                <w:highlight w:val="none"/>
              </w:rPr>
            </w:pPr>
            <w:r>
              <w:rPr>
                <w:color w:val="auto"/>
                <w:spacing w:val="-7"/>
                <w:sz w:val="24"/>
                <w:szCs w:val="24"/>
                <w:highlight w:val="none"/>
              </w:rPr>
              <w:t>评标基准价的计算：</w:t>
            </w:r>
          </w:p>
          <w:p w14:paraId="44C68BB3">
            <w:pPr>
              <w:pStyle w:val="8"/>
              <w:spacing w:before="74" w:line="261" w:lineRule="auto"/>
              <w:ind w:left="563" w:right="1097" w:hanging="7"/>
              <w:rPr>
                <w:color w:val="auto"/>
                <w:sz w:val="24"/>
                <w:szCs w:val="24"/>
                <w:highlight w:val="none"/>
              </w:rPr>
            </w:pPr>
            <w:r>
              <w:rPr>
                <w:color w:val="auto"/>
                <w:spacing w:val="-2"/>
                <w:sz w:val="24"/>
                <w:szCs w:val="24"/>
                <w:highlight w:val="none"/>
              </w:rPr>
              <w:t>在开标现场，招标人将当场计算并宣布评标基准价。</w:t>
            </w:r>
            <w:r>
              <w:rPr>
                <w:color w:val="auto"/>
                <w:spacing w:val="1"/>
                <w:sz w:val="24"/>
                <w:szCs w:val="24"/>
                <w:highlight w:val="none"/>
              </w:rPr>
              <w:t xml:space="preserve"> </w:t>
            </w:r>
            <w:r>
              <w:rPr>
                <w:color w:val="auto"/>
                <w:spacing w:val="-7"/>
                <w:sz w:val="24"/>
                <w:szCs w:val="24"/>
                <w:highlight w:val="none"/>
              </w:rPr>
              <w:t>（1）评标价的确定：</w:t>
            </w:r>
          </w:p>
          <w:p w14:paraId="3D8B134A">
            <w:pPr>
              <w:pStyle w:val="8"/>
              <w:spacing w:before="36" w:line="263" w:lineRule="auto"/>
              <w:ind w:left="563" w:right="3637" w:hanging="7"/>
              <w:rPr>
                <w:color w:val="auto"/>
                <w:sz w:val="24"/>
                <w:szCs w:val="24"/>
                <w:highlight w:val="none"/>
              </w:rPr>
            </w:pPr>
            <w:r>
              <w:rPr>
                <w:color w:val="auto"/>
                <w:spacing w:val="-1"/>
                <w:sz w:val="24"/>
                <w:szCs w:val="24"/>
                <w:highlight w:val="none"/>
              </w:rPr>
              <w:t>评标价＝投标函文字报价</w:t>
            </w:r>
            <w:r>
              <w:rPr>
                <w:color w:val="auto"/>
                <w:sz w:val="24"/>
                <w:szCs w:val="24"/>
                <w:highlight w:val="none"/>
              </w:rPr>
              <w:t xml:space="preserve">   </w:t>
            </w:r>
            <w:r>
              <w:rPr>
                <w:color w:val="auto"/>
                <w:spacing w:val="-6"/>
                <w:sz w:val="24"/>
                <w:szCs w:val="24"/>
                <w:highlight w:val="none"/>
              </w:rPr>
              <w:t>（2）最高评标限价的计算：</w:t>
            </w:r>
          </w:p>
          <w:p w14:paraId="22223C43">
            <w:pPr>
              <w:pStyle w:val="8"/>
              <w:spacing w:before="34" w:line="217" w:lineRule="auto"/>
              <w:ind w:left="496"/>
              <w:rPr>
                <w:color w:val="auto"/>
                <w:sz w:val="24"/>
                <w:szCs w:val="24"/>
                <w:highlight w:val="none"/>
              </w:rPr>
            </w:pPr>
            <w:r>
              <w:rPr>
                <w:color w:val="auto"/>
                <w:spacing w:val="-3"/>
                <w:sz w:val="24"/>
                <w:szCs w:val="24"/>
                <w:highlight w:val="none"/>
              </w:rPr>
              <w:t>①最高投标限价下浮率的确定</w:t>
            </w:r>
          </w:p>
          <w:p w14:paraId="4694DC9E">
            <w:pPr>
              <w:pStyle w:val="8"/>
              <w:spacing w:before="78" w:line="271" w:lineRule="auto"/>
              <w:ind w:left="76" w:right="68" w:firstLine="483"/>
              <w:jc w:val="both"/>
              <w:rPr>
                <w:color w:val="auto"/>
                <w:sz w:val="24"/>
                <w:szCs w:val="24"/>
                <w:highlight w:val="none"/>
              </w:rPr>
            </w:pPr>
            <w:r>
              <w:rPr>
                <w:color w:val="auto"/>
                <w:sz w:val="24"/>
                <w:szCs w:val="24"/>
                <w:highlight w:val="none"/>
              </w:rPr>
              <w:t>下浮率在第二个信封（报价文件）开标前在开标现场采取摇珠</w:t>
            </w:r>
            <w:r>
              <w:rPr>
                <w:color w:val="auto"/>
                <w:spacing w:val="18"/>
                <w:sz w:val="24"/>
                <w:szCs w:val="24"/>
                <w:highlight w:val="none"/>
              </w:rPr>
              <w:t xml:space="preserve"> </w:t>
            </w:r>
            <w:r>
              <w:rPr>
                <w:color w:val="auto"/>
                <w:spacing w:val="5"/>
                <w:sz w:val="24"/>
                <w:szCs w:val="24"/>
                <w:highlight w:val="none"/>
              </w:rPr>
              <w:t>方式确定。摇珠操作办法如下：在下浮率区间差值不小</w:t>
            </w:r>
            <w:r>
              <w:rPr>
                <w:color w:val="auto"/>
                <w:spacing w:val="4"/>
                <w:sz w:val="24"/>
                <w:szCs w:val="24"/>
                <w:highlight w:val="none"/>
              </w:rPr>
              <w:t>于 3 个百</w:t>
            </w:r>
            <w:r>
              <w:rPr>
                <w:color w:val="auto"/>
                <w:spacing w:val="3"/>
                <w:sz w:val="24"/>
                <w:szCs w:val="24"/>
                <w:highlight w:val="none"/>
              </w:rPr>
              <w:t>分点的摇珠范围内，</w:t>
            </w:r>
            <w:r>
              <w:rPr>
                <w:color w:val="auto"/>
                <w:spacing w:val="-65"/>
                <w:sz w:val="24"/>
                <w:szCs w:val="24"/>
                <w:highlight w:val="none"/>
              </w:rPr>
              <w:t xml:space="preserve"> </w:t>
            </w:r>
            <w:r>
              <w:rPr>
                <w:color w:val="auto"/>
                <w:spacing w:val="3"/>
                <w:sz w:val="24"/>
                <w:szCs w:val="24"/>
                <w:highlight w:val="none"/>
              </w:rPr>
              <w:t>以 0.1%为一档次增序确定摇</w:t>
            </w:r>
            <w:r>
              <w:rPr>
                <w:color w:val="auto"/>
                <w:spacing w:val="2"/>
                <w:sz w:val="24"/>
                <w:szCs w:val="24"/>
                <w:highlight w:val="none"/>
              </w:rPr>
              <w:t>珠号码，不少于</w:t>
            </w:r>
            <w:r>
              <w:rPr>
                <w:color w:val="auto"/>
                <w:sz w:val="24"/>
                <w:szCs w:val="24"/>
                <w:highlight w:val="none"/>
              </w:rPr>
              <w:t xml:space="preserve"> </w:t>
            </w:r>
            <w:r>
              <w:rPr>
                <w:color w:val="auto"/>
                <w:spacing w:val="1"/>
                <w:sz w:val="24"/>
                <w:szCs w:val="24"/>
                <w:highlight w:val="none"/>
              </w:rPr>
              <w:t>31 个球，每个标段各依次摇出3个球(摇出的</w:t>
            </w:r>
            <w:r>
              <w:rPr>
                <w:color w:val="auto"/>
                <w:sz w:val="24"/>
                <w:szCs w:val="24"/>
                <w:highlight w:val="none"/>
              </w:rPr>
              <w:t xml:space="preserve">珠不放回)，摇出 3 </w:t>
            </w:r>
            <w:r>
              <w:rPr>
                <w:color w:val="auto"/>
                <w:spacing w:val="-1"/>
                <w:sz w:val="24"/>
                <w:szCs w:val="24"/>
                <w:highlight w:val="none"/>
              </w:rPr>
              <w:t>个球对应的下浮率的平均值即为本标段招标的下浮率</w:t>
            </w:r>
            <w:r>
              <w:rPr>
                <w:color w:val="auto"/>
                <w:spacing w:val="-2"/>
                <w:sz w:val="24"/>
                <w:szCs w:val="24"/>
                <w:highlight w:val="none"/>
              </w:rPr>
              <w:t>（注：</w:t>
            </w:r>
            <w:r>
              <w:rPr>
                <w:color w:val="auto"/>
                <w:spacing w:val="-64"/>
                <w:sz w:val="24"/>
                <w:szCs w:val="24"/>
                <w:highlight w:val="none"/>
              </w:rPr>
              <w:t xml:space="preserve"> </w:t>
            </w:r>
            <w:r>
              <w:rPr>
                <w:color w:val="auto"/>
                <w:spacing w:val="-2"/>
                <w:sz w:val="24"/>
                <w:szCs w:val="24"/>
                <w:highlight w:val="none"/>
              </w:rPr>
              <w:t>下浮率</w:t>
            </w:r>
            <w:r>
              <w:rPr>
                <w:color w:val="auto"/>
                <w:sz w:val="24"/>
                <w:szCs w:val="24"/>
                <w:highlight w:val="none"/>
              </w:rPr>
              <w:t xml:space="preserve"> </w:t>
            </w:r>
            <w:r>
              <w:rPr>
                <w:color w:val="auto"/>
                <w:spacing w:val="2"/>
                <w:sz w:val="24"/>
                <w:szCs w:val="24"/>
                <w:highlight w:val="none"/>
              </w:rPr>
              <w:t>摇珠浮动区间差值从 0%至 3%，摇出3个下浮率的平均值四舍五</w:t>
            </w:r>
            <w:r>
              <w:rPr>
                <w:color w:val="auto"/>
                <w:sz w:val="24"/>
                <w:szCs w:val="24"/>
                <w:highlight w:val="none"/>
              </w:rPr>
              <w:t xml:space="preserve"> </w:t>
            </w:r>
            <w:r>
              <w:rPr>
                <w:color w:val="auto"/>
                <w:spacing w:val="-4"/>
                <w:sz w:val="24"/>
                <w:szCs w:val="24"/>
                <w:highlight w:val="none"/>
              </w:rPr>
              <w:t>入取整到</w:t>
            </w:r>
            <w:r>
              <w:rPr>
                <w:color w:val="auto"/>
                <w:spacing w:val="-51"/>
                <w:sz w:val="24"/>
                <w:szCs w:val="24"/>
                <w:highlight w:val="none"/>
              </w:rPr>
              <w:t xml:space="preserve"> </w:t>
            </w:r>
            <w:r>
              <w:rPr>
                <w:color w:val="auto"/>
                <w:spacing w:val="-4"/>
                <w:sz w:val="24"/>
                <w:szCs w:val="24"/>
                <w:highlight w:val="none"/>
              </w:rPr>
              <w:t>0.001</w:t>
            </w:r>
            <w:r>
              <w:rPr>
                <w:color w:val="auto"/>
                <w:sz w:val="24"/>
                <w:szCs w:val="24"/>
                <w:highlight w:val="none"/>
              </w:rPr>
              <w:t>％）</w:t>
            </w:r>
            <w:r>
              <w:rPr>
                <w:color w:val="auto"/>
                <w:spacing w:val="-4"/>
                <w:sz w:val="24"/>
                <w:szCs w:val="24"/>
                <w:highlight w:val="none"/>
              </w:rPr>
              <w:t>。</w:t>
            </w:r>
          </w:p>
          <w:tbl>
            <w:tblPr>
              <w:tblStyle w:val="9"/>
              <w:tblW w:w="6962"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0"/>
              <w:gridCol w:w="870"/>
              <w:gridCol w:w="868"/>
              <w:gridCol w:w="871"/>
              <w:gridCol w:w="871"/>
              <w:gridCol w:w="868"/>
              <w:gridCol w:w="871"/>
              <w:gridCol w:w="873"/>
            </w:tblGrid>
            <w:tr w14:paraId="4E9E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70" w:type="dxa"/>
                  <w:noWrap w:val="0"/>
                  <w:vAlign w:val="top"/>
                </w:tcPr>
                <w:p w14:paraId="5CA1959B">
                  <w:pPr>
                    <w:pStyle w:val="8"/>
                    <w:spacing w:before="125" w:line="186" w:lineRule="auto"/>
                    <w:ind w:left="387"/>
                    <w:rPr>
                      <w:color w:val="auto"/>
                      <w:sz w:val="30"/>
                      <w:szCs w:val="30"/>
                      <w:highlight w:val="none"/>
                    </w:rPr>
                  </w:pPr>
                  <w:r>
                    <w:rPr>
                      <w:color w:val="auto"/>
                      <w:sz w:val="30"/>
                      <w:szCs w:val="30"/>
                      <w:highlight w:val="none"/>
                    </w:rPr>
                    <w:t>1</w:t>
                  </w:r>
                </w:p>
              </w:tc>
              <w:tc>
                <w:tcPr>
                  <w:tcW w:w="870" w:type="dxa"/>
                  <w:noWrap w:val="0"/>
                  <w:vAlign w:val="top"/>
                </w:tcPr>
                <w:p w14:paraId="65196C43">
                  <w:pPr>
                    <w:pStyle w:val="8"/>
                    <w:spacing w:before="126" w:line="185" w:lineRule="auto"/>
                    <w:ind w:left="367"/>
                    <w:rPr>
                      <w:color w:val="auto"/>
                      <w:sz w:val="30"/>
                      <w:szCs w:val="30"/>
                      <w:highlight w:val="none"/>
                    </w:rPr>
                  </w:pPr>
                  <w:r>
                    <w:rPr>
                      <w:color w:val="auto"/>
                      <w:sz w:val="30"/>
                      <w:szCs w:val="30"/>
                      <w:highlight w:val="none"/>
                    </w:rPr>
                    <w:t>2</w:t>
                  </w:r>
                </w:p>
              </w:tc>
              <w:tc>
                <w:tcPr>
                  <w:tcW w:w="868" w:type="dxa"/>
                  <w:noWrap w:val="0"/>
                  <w:vAlign w:val="top"/>
                </w:tcPr>
                <w:p w14:paraId="7AA7E8BF">
                  <w:pPr>
                    <w:pStyle w:val="8"/>
                    <w:spacing w:before="127" w:line="185" w:lineRule="auto"/>
                    <w:ind w:left="370"/>
                    <w:rPr>
                      <w:color w:val="auto"/>
                      <w:sz w:val="30"/>
                      <w:szCs w:val="30"/>
                      <w:highlight w:val="none"/>
                    </w:rPr>
                  </w:pPr>
                  <w:r>
                    <w:rPr>
                      <w:color w:val="auto"/>
                      <w:sz w:val="30"/>
                      <w:szCs w:val="30"/>
                      <w:highlight w:val="none"/>
                    </w:rPr>
                    <w:t>3</w:t>
                  </w:r>
                </w:p>
              </w:tc>
              <w:tc>
                <w:tcPr>
                  <w:tcW w:w="871" w:type="dxa"/>
                  <w:noWrap w:val="0"/>
                  <w:vAlign w:val="top"/>
                </w:tcPr>
                <w:p w14:paraId="033E6D43">
                  <w:pPr>
                    <w:pStyle w:val="8"/>
                    <w:spacing w:before="126" w:line="185" w:lineRule="auto"/>
                    <w:ind w:left="366"/>
                    <w:rPr>
                      <w:color w:val="auto"/>
                      <w:sz w:val="30"/>
                      <w:szCs w:val="30"/>
                      <w:highlight w:val="none"/>
                    </w:rPr>
                  </w:pPr>
                  <w:r>
                    <w:rPr>
                      <w:color w:val="auto"/>
                      <w:sz w:val="30"/>
                      <w:szCs w:val="30"/>
                      <w:highlight w:val="none"/>
                    </w:rPr>
                    <w:t>4</w:t>
                  </w:r>
                </w:p>
              </w:tc>
              <w:tc>
                <w:tcPr>
                  <w:tcW w:w="871" w:type="dxa"/>
                  <w:noWrap w:val="0"/>
                  <w:vAlign w:val="top"/>
                </w:tcPr>
                <w:p w14:paraId="414E327F">
                  <w:pPr>
                    <w:pStyle w:val="8"/>
                    <w:spacing w:before="126" w:line="184" w:lineRule="auto"/>
                    <w:ind w:left="371"/>
                    <w:rPr>
                      <w:color w:val="auto"/>
                      <w:sz w:val="30"/>
                      <w:szCs w:val="30"/>
                      <w:highlight w:val="none"/>
                    </w:rPr>
                  </w:pPr>
                  <w:r>
                    <w:rPr>
                      <w:color w:val="auto"/>
                      <w:sz w:val="30"/>
                      <w:szCs w:val="30"/>
                      <w:highlight w:val="none"/>
                    </w:rPr>
                    <w:t>5</w:t>
                  </w:r>
                </w:p>
              </w:tc>
              <w:tc>
                <w:tcPr>
                  <w:tcW w:w="868" w:type="dxa"/>
                  <w:noWrap w:val="0"/>
                  <w:vAlign w:val="top"/>
                </w:tcPr>
                <w:p w14:paraId="0B3B0B2D">
                  <w:pPr>
                    <w:pStyle w:val="8"/>
                    <w:spacing w:before="127" w:line="185" w:lineRule="auto"/>
                    <w:ind w:left="368"/>
                    <w:rPr>
                      <w:color w:val="auto"/>
                      <w:sz w:val="30"/>
                      <w:szCs w:val="30"/>
                      <w:highlight w:val="none"/>
                    </w:rPr>
                  </w:pPr>
                  <w:r>
                    <w:rPr>
                      <w:color w:val="auto"/>
                      <w:sz w:val="30"/>
                      <w:szCs w:val="30"/>
                      <w:highlight w:val="none"/>
                    </w:rPr>
                    <w:t>6</w:t>
                  </w:r>
                </w:p>
              </w:tc>
              <w:tc>
                <w:tcPr>
                  <w:tcW w:w="871" w:type="dxa"/>
                  <w:noWrap w:val="0"/>
                  <w:vAlign w:val="top"/>
                </w:tcPr>
                <w:p w14:paraId="5DB7CF33">
                  <w:pPr>
                    <w:pStyle w:val="8"/>
                    <w:spacing w:before="126" w:line="184" w:lineRule="auto"/>
                    <w:ind w:left="373"/>
                    <w:rPr>
                      <w:color w:val="auto"/>
                      <w:sz w:val="30"/>
                      <w:szCs w:val="30"/>
                      <w:highlight w:val="none"/>
                    </w:rPr>
                  </w:pPr>
                  <w:r>
                    <w:rPr>
                      <w:color w:val="auto"/>
                      <w:sz w:val="30"/>
                      <w:szCs w:val="30"/>
                      <w:highlight w:val="none"/>
                    </w:rPr>
                    <w:t>7</w:t>
                  </w:r>
                </w:p>
              </w:tc>
              <w:tc>
                <w:tcPr>
                  <w:tcW w:w="873" w:type="dxa"/>
                  <w:noWrap w:val="0"/>
                  <w:vAlign w:val="top"/>
                </w:tcPr>
                <w:p w14:paraId="41267CC4">
                  <w:pPr>
                    <w:pStyle w:val="8"/>
                    <w:spacing w:before="127" w:line="185" w:lineRule="auto"/>
                    <w:ind w:left="370"/>
                    <w:rPr>
                      <w:color w:val="auto"/>
                      <w:sz w:val="30"/>
                      <w:szCs w:val="30"/>
                      <w:highlight w:val="none"/>
                    </w:rPr>
                  </w:pPr>
                  <w:r>
                    <w:rPr>
                      <w:color w:val="auto"/>
                      <w:sz w:val="30"/>
                      <w:szCs w:val="30"/>
                      <w:highlight w:val="none"/>
                    </w:rPr>
                    <w:t>8</w:t>
                  </w:r>
                </w:p>
              </w:tc>
            </w:tr>
            <w:tr w14:paraId="61863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70" w:type="dxa"/>
                  <w:noWrap w:val="0"/>
                  <w:vAlign w:val="top"/>
                </w:tcPr>
                <w:p w14:paraId="2FD44BD5">
                  <w:pPr>
                    <w:pStyle w:val="8"/>
                    <w:spacing w:before="166" w:line="181" w:lineRule="auto"/>
                    <w:ind w:left="150"/>
                    <w:rPr>
                      <w:color w:val="auto"/>
                      <w:sz w:val="24"/>
                      <w:szCs w:val="24"/>
                      <w:highlight w:val="none"/>
                    </w:rPr>
                  </w:pPr>
                  <w:r>
                    <w:rPr>
                      <w:color w:val="auto"/>
                      <w:spacing w:val="-4"/>
                      <w:sz w:val="24"/>
                      <w:szCs w:val="24"/>
                      <w:highlight w:val="none"/>
                    </w:rPr>
                    <w:t>0.00%</w:t>
                  </w:r>
                </w:p>
              </w:tc>
              <w:tc>
                <w:tcPr>
                  <w:tcW w:w="870" w:type="dxa"/>
                  <w:noWrap w:val="0"/>
                  <w:vAlign w:val="top"/>
                </w:tcPr>
                <w:p w14:paraId="13CC4193">
                  <w:pPr>
                    <w:pStyle w:val="8"/>
                    <w:spacing w:before="165" w:line="182" w:lineRule="auto"/>
                    <w:ind w:left="149"/>
                    <w:rPr>
                      <w:color w:val="auto"/>
                      <w:sz w:val="24"/>
                      <w:szCs w:val="24"/>
                      <w:highlight w:val="none"/>
                    </w:rPr>
                  </w:pPr>
                  <w:r>
                    <w:rPr>
                      <w:color w:val="auto"/>
                      <w:spacing w:val="-3"/>
                      <w:sz w:val="24"/>
                      <w:szCs w:val="24"/>
                      <w:highlight w:val="none"/>
                    </w:rPr>
                    <w:t>0.10%</w:t>
                  </w:r>
                </w:p>
              </w:tc>
              <w:tc>
                <w:tcPr>
                  <w:tcW w:w="868" w:type="dxa"/>
                  <w:noWrap w:val="0"/>
                  <w:vAlign w:val="top"/>
                </w:tcPr>
                <w:p w14:paraId="058271DA">
                  <w:pPr>
                    <w:pStyle w:val="8"/>
                    <w:spacing w:before="166" w:line="181" w:lineRule="auto"/>
                    <w:ind w:left="150"/>
                    <w:rPr>
                      <w:color w:val="auto"/>
                      <w:sz w:val="24"/>
                      <w:szCs w:val="24"/>
                      <w:highlight w:val="none"/>
                    </w:rPr>
                  </w:pPr>
                  <w:r>
                    <w:rPr>
                      <w:color w:val="auto"/>
                      <w:spacing w:val="-4"/>
                      <w:sz w:val="24"/>
                      <w:szCs w:val="24"/>
                      <w:highlight w:val="none"/>
                    </w:rPr>
                    <w:t>0.20%</w:t>
                  </w:r>
                </w:p>
              </w:tc>
              <w:tc>
                <w:tcPr>
                  <w:tcW w:w="871" w:type="dxa"/>
                  <w:noWrap w:val="0"/>
                  <w:vAlign w:val="top"/>
                </w:tcPr>
                <w:p w14:paraId="312E07F7">
                  <w:pPr>
                    <w:pStyle w:val="8"/>
                    <w:spacing w:before="166" w:line="181" w:lineRule="auto"/>
                    <w:ind w:left="151"/>
                    <w:rPr>
                      <w:color w:val="auto"/>
                      <w:sz w:val="24"/>
                      <w:szCs w:val="24"/>
                      <w:highlight w:val="none"/>
                    </w:rPr>
                  </w:pPr>
                  <w:r>
                    <w:rPr>
                      <w:color w:val="auto"/>
                      <w:spacing w:val="-3"/>
                      <w:sz w:val="24"/>
                      <w:szCs w:val="24"/>
                      <w:highlight w:val="none"/>
                    </w:rPr>
                    <w:t>0.30%</w:t>
                  </w:r>
                </w:p>
              </w:tc>
              <w:tc>
                <w:tcPr>
                  <w:tcW w:w="871" w:type="dxa"/>
                  <w:noWrap w:val="0"/>
                  <w:vAlign w:val="top"/>
                </w:tcPr>
                <w:p w14:paraId="7A04A755">
                  <w:pPr>
                    <w:pStyle w:val="8"/>
                    <w:spacing w:before="166" w:line="181" w:lineRule="auto"/>
                    <w:ind w:left="151"/>
                    <w:rPr>
                      <w:color w:val="auto"/>
                      <w:sz w:val="24"/>
                      <w:szCs w:val="24"/>
                      <w:highlight w:val="none"/>
                    </w:rPr>
                  </w:pPr>
                  <w:r>
                    <w:rPr>
                      <w:color w:val="auto"/>
                      <w:spacing w:val="-4"/>
                      <w:sz w:val="24"/>
                      <w:szCs w:val="24"/>
                      <w:highlight w:val="none"/>
                    </w:rPr>
                    <w:t>0.40%</w:t>
                  </w:r>
                </w:p>
              </w:tc>
              <w:tc>
                <w:tcPr>
                  <w:tcW w:w="868" w:type="dxa"/>
                  <w:noWrap w:val="0"/>
                  <w:vAlign w:val="top"/>
                </w:tcPr>
                <w:p w14:paraId="56E12A1E">
                  <w:pPr>
                    <w:pStyle w:val="8"/>
                    <w:spacing w:before="166" w:line="181" w:lineRule="auto"/>
                    <w:ind w:left="151"/>
                    <w:rPr>
                      <w:color w:val="auto"/>
                      <w:sz w:val="24"/>
                      <w:szCs w:val="24"/>
                      <w:highlight w:val="none"/>
                    </w:rPr>
                  </w:pPr>
                  <w:r>
                    <w:rPr>
                      <w:color w:val="auto"/>
                      <w:spacing w:val="-3"/>
                      <w:sz w:val="24"/>
                      <w:szCs w:val="24"/>
                      <w:highlight w:val="none"/>
                    </w:rPr>
                    <w:t>0.50%</w:t>
                  </w:r>
                </w:p>
              </w:tc>
              <w:tc>
                <w:tcPr>
                  <w:tcW w:w="871" w:type="dxa"/>
                  <w:noWrap w:val="0"/>
                  <w:vAlign w:val="top"/>
                </w:tcPr>
                <w:p w14:paraId="571CF7CA">
                  <w:pPr>
                    <w:pStyle w:val="8"/>
                    <w:spacing w:before="166" w:line="181" w:lineRule="auto"/>
                    <w:ind w:left="152"/>
                    <w:rPr>
                      <w:color w:val="auto"/>
                      <w:sz w:val="24"/>
                      <w:szCs w:val="24"/>
                      <w:highlight w:val="none"/>
                    </w:rPr>
                  </w:pPr>
                  <w:r>
                    <w:rPr>
                      <w:color w:val="auto"/>
                      <w:spacing w:val="-4"/>
                      <w:sz w:val="24"/>
                      <w:szCs w:val="24"/>
                      <w:highlight w:val="none"/>
                    </w:rPr>
                    <w:t>0.60%</w:t>
                  </w:r>
                </w:p>
              </w:tc>
              <w:tc>
                <w:tcPr>
                  <w:tcW w:w="873" w:type="dxa"/>
                  <w:noWrap w:val="0"/>
                  <w:vAlign w:val="top"/>
                </w:tcPr>
                <w:p w14:paraId="227C591B">
                  <w:pPr>
                    <w:pStyle w:val="8"/>
                    <w:spacing w:before="166" w:line="181" w:lineRule="auto"/>
                    <w:ind w:left="152"/>
                    <w:rPr>
                      <w:color w:val="auto"/>
                      <w:sz w:val="24"/>
                      <w:szCs w:val="24"/>
                      <w:highlight w:val="none"/>
                    </w:rPr>
                  </w:pPr>
                  <w:r>
                    <w:rPr>
                      <w:color w:val="auto"/>
                      <w:spacing w:val="-3"/>
                      <w:sz w:val="24"/>
                      <w:szCs w:val="24"/>
                      <w:highlight w:val="none"/>
                    </w:rPr>
                    <w:t>0.70%</w:t>
                  </w:r>
                </w:p>
              </w:tc>
            </w:tr>
            <w:tr w14:paraId="216CA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70" w:type="dxa"/>
                  <w:noWrap w:val="0"/>
                  <w:vAlign w:val="top"/>
                </w:tcPr>
                <w:p w14:paraId="417A4716">
                  <w:pPr>
                    <w:pStyle w:val="8"/>
                    <w:spacing w:before="124" w:line="185" w:lineRule="auto"/>
                    <w:ind w:left="365"/>
                    <w:rPr>
                      <w:color w:val="auto"/>
                      <w:sz w:val="30"/>
                      <w:szCs w:val="30"/>
                      <w:highlight w:val="none"/>
                    </w:rPr>
                  </w:pPr>
                  <w:r>
                    <w:rPr>
                      <w:color w:val="auto"/>
                      <w:sz w:val="30"/>
                      <w:szCs w:val="30"/>
                      <w:highlight w:val="none"/>
                    </w:rPr>
                    <w:t>9</w:t>
                  </w:r>
                </w:p>
              </w:tc>
              <w:tc>
                <w:tcPr>
                  <w:tcW w:w="870" w:type="dxa"/>
                  <w:noWrap w:val="0"/>
                  <w:vAlign w:val="top"/>
                </w:tcPr>
                <w:p w14:paraId="47306AB6">
                  <w:pPr>
                    <w:pStyle w:val="8"/>
                    <w:spacing w:before="124" w:line="186" w:lineRule="auto"/>
                    <w:ind w:left="321"/>
                    <w:rPr>
                      <w:color w:val="auto"/>
                      <w:sz w:val="30"/>
                      <w:szCs w:val="30"/>
                      <w:highlight w:val="none"/>
                    </w:rPr>
                  </w:pPr>
                  <w:r>
                    <w:rPr>
                      <w:color w:val="auto"/>
                      <w:spacing w:val="-10"/>
                      <w:sz w:val="30"/>
                      <w:szCs w:val="30"/>
                      <w:highlight w:val="none"/>
                    </w:rPr>
                    <w:t>10</w:t>
                  </w:r>
                </w:p>
              </w:tc>
              <w:tc>
                <w:tcPr>
                  <w:tcW w:w="868" w:type="dxa"/>
                  <w:noWrap w:val="0"/>
                  <w:vAlign w:val="top"/>
                </w:tcPr>
                <w:p w14:paraId="3D90A096">
                  <w:pPr>
                    <w:pStyle w:val="8"/>
                    <w:spacing w:before="122" w:line="186" w:lineRule="auto"/>
                    <w:ind w:left="324"/>
                    <w:rPr>
                      <w:color w:val="auto"/>
                      <w:sz w:val="30"/>
                      <w:szCs w:val="30"/>
                      <w:highlight w:val="none"/>
                    </w:rPr>
                  </w:pPr>
                  <w:r>
                    <w:rPr>
                      <w:color w:val="auto"/>
                      <w:spacing w:val="-10"/>
                      <w:sz w:val="30"/>
                      <w:szCs w:val="30"/>
                      <w:highlight w:val="none"/>
                    </w:rPr>
                    <w:t>11</w:t>
                  </w:r>
                </w:p>
              </w:tc>
              <w:tc>
                <w:tcPr>
                  <w:tcW w:w="871" w:type="dxa"/>
                  <w:noWrap w:val="0"/>
                  <w:vAlign w:val="top"/>
                </w:tcPr>
                <w:p w14:paraId="447E1403">
                  <w:pPr>
                    <w:pStyle w:val="8"/>
                    <w:spacing w:before="122" w:line="186" w:lineRule="auto"/>
                    <w:ind w:left="325"/>
                    <w:rPr>
                      <w:color w:val="auto"/>
                      <w:sz w:val="30"/>
                      <w:szCs w:val="30"/>
                      <w:highlight w:val="none"/>
                    </w:rPr>
                  </w:pPr>
                  <w:r>
                    <w:rPr>
                      <w:color w:val="auto"/>
                      <w:spacing w:val="-10"/>
                      <w:sz w:val="30"/>
                      <w:szCs w:val="30"/>
                      <w:highlight w:val="none"/>
                    </w:rPr>
                    <w:t>12</w:t>
                  </w:r>
                </w:p>
              </w:tc>
              <w:tc>
                <w:tcPr>
                  <w:tcW w:w="871" w:type="dxa"/>
                  <w:noWrap w:val="0"/>
                  <w:vAlign w:val="top"/>
                </w:tcPr>
                <w:p w14:paraId="3E35FF68">
                  <w:pPr>
                    <w:pStyle w:val="8"/>
                    <w:spacing w:before="124" w:line="186" w:lineRule="auto"/>
                    <w:ind w:left="323"/>
                    <w:rPr>
                      <w:color w:val="auto"/>
                      <w:sz w:val="30"/>
                      <w:szCs w:val="30"/>
                      <w:highlight w:val="none"/>
                    </w:rPr>
                  </w:pPr>
                  <w:r>
                    <w:rPr>
                      <w:color w:val="auto"/>
                      <w:spacing w:val="-10"/>
                      <w:sz w:val="30"/>
                      <w:szCs w:val="30"/>
                      <w:highlight w:val="none"/>
                    </w:rPr>
                    <w:t>13</w:t>
                  </w:r>
                </w:p>
              </w:tc>
              <w:tc>
                <w:tcPr>
                  <w:tcW w:w="868" w:type="dxa"/>
                  <w:noWrap w:val="0"/>
                  <w:vAlign w:val="top"/>
                </w:tcPr>
                <w:p w14:paraId="29653CA5">
                  <w:pPr>
                    <w:pStyle w:val="8"/>
                    <w:spacing w:before="122" w:line="186" w:lineRule="auto"/>
                    <w:ind w:left="323"/>
                    <w:rPr>
                      <w:color w:val="auto"/>
                      <w:sz w:val="30"/>
                      <w:szCs w:val="30"/>
                      <w:highlight w:val="none"/>
                    </w:rPr>
                  </w:pPr>
                  <w:r>
                    <w:rPr>
                      <w:color w:val="auto"/>
                      <w:spacing w:val="-10"/>
                      <w:sz w:val="30"/>
                      <w:szCs w:val="30"/>
                      <w:highlight w:val="none"/>
                    </w:rPr>
                    <w:t>14</w:t>
                  </w:r>
                </w:p>
              </w:tc>
              <w:tc>
                <w:tcPr>
                  <w:tcW w:w="871" w:type="dxa"/>
                  <w:noWrap w:val="0"/>
                  <w:vAlign w:val="top"/>
                </w:tcPr>
                <w:p w14:paraId="2EDB8F64">
                  <w:pPr>
                    <w:pStyle w:val="8"/>
                    <w:spacing w:before="124" w:line="186" w:lineRule="auto"/>
                    <w:ind w:left="324"/>
                    <w:rPr>
                      <w:color w:val="auto"/>
                      <w:sz w:val="30"/>
                      <w:szCs w:val="30"/>
                      <w:highlight w:val="none"/>
                    </w:rPr>
                  </w:pPr>
                  <w:r>
                    <w:rPr>
                      <w:color w:val="auto"/>
                      <w:spacing w:val="-10"/>
                      <w:sz w:val="30"/>
                      <w:szCs w:val="30"/>
                      <w:highlight w:val="none"/>
                    </w:rPr>
                    <w:t>15</w:t>
                  </w:r>
                </w:p>
              </w:tc>
              <w:tc>
                <w:tcPr>
                  <w:tcW w:w="873" w:type="dxa"/>
                  <w:noWrap w:val="0"/>
                  <w:vAlign w:val="top"/>
                </w:tcPr>
                <w:p w14:paraId="165A8E18">
                  <w:pPr>
                    <w:pStyle w:val="8"/>
                    <w:spacing w:before="124" w:line="186" w:lineRule="auto"/>
                    <w:ind w:left="326"/>
                    <w:rPr>
                      <w:color w:val="auto"/>
                      <w:sz w:val="30"/>
                      <w:szCs w:val="30"/>
                      <w:highlight w:val="none"/>
                    </w:rPr>
                  </w:pPr>
                  <w:r>
                    <w:rPr>
                      <w:color w:val="auto"/>
                      <w:spacing w:val="-10"/>
                      <w:sz w:val="30"/>
                      <w:szCs w:val="30"/>
                      <w:highlight w:val="none"/>
                    </w:rPr>
                    <w:t>16</w:t>
                  </w:r>
                </w:p>
              </w:tc>
            </w:tr>
            <w:tr w14:paraId="724E9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70" w:type="dxa"/>
                  <w:noWrap w:val="0"/>
                  <w:vAlign w:val="top"/>
                </w:tcPr>
                <w:p w14:paraId="79798F92">
                  <w:pPr>
                    <w:pStyle w:val="8"/>
                    <w:spacing w:before="244" w:line="181" w:lineRule="auto"/>
                    <w:ind w:left="150"/>
                    <w:rPr>
                      <w:color w:val="auto"/>
                      <w:sz w:val="24"/>
                      <w:szCs w:val="24"/>
                      <w:highlight w:val="none"/>
                    </w:rPr>
                  </w:pPr>
                  <w:r>
                    <w:rPr>
                      <w:color w:val="auto"/>
                      <w:spacing w:val="-4"/>
                      <w:sz w:val="24"/>
                      <w:szCs w:val="24"/>
                      <w:highlight w:val="none"/>
                    </w:rPr>
                    <w:t>0.80%</w:t>
                  </w:r>
                </w:p>
              </w:tc>
              <w:tc>
                <w:tcPr>
                  <w:tcW w:w="870" w:type="dxa"/>
                  <w:noWrap w:val="0"/>
                  <w:vAlign w:val="top"/>
                </w:tcPr>
                <w:p w14:paraId="29C1ABAC">
                  <w:pPr>
                    <w:pStyle w:val="8"/>
                    <w:spacing w:before="244" w:line="181" w:lineRule="auto"/>
                    <w:ind w:left="149"/>
                    <w:rPr>
                      <w:color w:val="auto"/>
                      <w:sz w:val="24"/>
                      <w:szCs w:val="24"/>
                      <w:highlight w:val="none"/>
                    </w:rPr>
                  </w:pPr>
                  <w:r>
                    <w:rPr>
                      <w:color w:val="auto"/>
                      <w:spacing w:val="-4"/>
                      <w:sz w:val="24"/>
                      <w:szCs w:val="24"/>
                      <w:highlight w:val="none"/>
                    </w:rPr>
                    <w:t>0.90%</w:t>
                  </w:r>
                </w:p>
              </w:tc>
              <w:tc>
                <w:tcPr>
                  <w:tcW w:w="868" w:type="dxa"/>
                  <w:noWrap w:val="0"/>
                  <w:vAlign w:val="top"/>
                </w:tcPr>
                <w:p w14:paraId="38F51C9D">
                  <w:pPr>
                    <w:pStyle w:val="8"/>
                    <w:spacing w:before="243" w:line="182" w:lineRule="auto"/>
                    <w:ind w:left="173"/>
                    <w:rPr>
                      <w:color w:val="auto"/>
                      <w:sz w:val="24"/>
                      <w:szCs w:val="24"/>
                      <w:highlight w:val="none"/>
                    </w:rPr>
                  </w:pPr>
                  <w:r>
                    <w:rPr>
                      <w:color w:val="auto"/>
                      <w:spacing w:val="-10"/>
                      <w:sz w:val="24"/>
                      <w:szCs w:val="24"/>
                      <w:highlight w:val="none"/>
                    </w:rPr>
                    <w:t>1.00%</w:t>
                  </w:r>
                </w:p>
              </w:tc>
              <w:tc>
                <w:tcPr>
                  <w:tcW w:w="871" w:type="dxa"/>
                  <w:noWrap w:val="0"/>
                  <w:vAlign w:val="top"/>
                </w:tcPr>
                <w:p w14:paraId="559099DD">
                  <w:pPr>
                    <w:pStyle w:val="8"/>
                    <w:spacing w:before="243" w:line="182" w:lineRule="auto"/>
                    <w:ind w:left="174"/>
                    <w:rPr>
                      <w:color w:val="auto"/>
                      <w:sz w:val="24"/>
                      <w:szCs w:val="24"/>
                      <w:highlight w:val="none"/>
                    </w:rPr>
                  </w:pPr>
                  <w:r>
                    <w:rPr>
                      <w:color w:val="auto"/>
                      <w:spacing w:val="-10"/>
                      <w:sz w:val="24"/>
                      <w:szCs w:val="24"/>
                      <w:highlight w:val="none"/>
                    </w:rPr>
                    <w:t>1.10%</w:t>
                  </w:r>
                </w:p>
              </w:tc>
              <w:tc>
                <w:tcPr>
                  <w:tcW w:w="871" w:type="dxa"/>
                  <w:noWrap w:val="0"/>
                  <w:vAlign w:val="top"/>
                </w:tcPr>
                <w:p w14:paraId="1EE7F8FD">
                  <w:pPr>
                    <w:pStyle w:val="8"/>
                    <w:spacing w:before="243" w:line="182" w:lineRule="auto"/>
                    <w:ind w:left="174"/>
                    <w:rPr>
                      <w:color w:val="auto"/>
                      <w:sz w:val="24"/>
                      <w:szCs w:val="24"/>
                      <w:highlight w:val="none"/>
                    </w:rPr>
                  </w:pPr>
                  <w:r>
                    <w:rPr>
                      <w:color w:val="auto"/>
                      <w:spacing w:val="-10"/>
                      <w:sz w:val="24"/>
                      <w:szCs w:val="24"/>
                      <w:highlight w:val="none"/>
                    </w:rPr>
                    <w:t>1.20%</w:t>
                  </w:r>
                </w:p>
              </w:tc>
              <w:tc>
                <w:tcPr>
                  <w:tcW w:w="868" w:type="dxa"/>
                  <w:noWrap w:val="0"/>
                  <w:vAlign w:val="top"/>
                </w:tcPr>
                <w:p w14:paraId="148CC803">
                  <w:pPr>
                    <w:pStyle w:val="8"/>
                    <w:spacing w:before="243" w:line="182" w:lineRule="auto"/>
                    <w:ind w:left="174"/>
                    <w:rPr>
                      <w:color w:val="auto"/>
                      <w:sz w:val="24"/>
                      <w:szCs w:val="24"/>
                      <w:highlight w:val="none"/>
                    </w:rPr>
                  </w:pPr>
                  <w:r>
                    <w:rPr>
                      <w:color w:val="auto"/>
                      <w:spacing w:val="-10"/>
                      <w:sz w:val="24"/>
                      <w:szCs w:val="24"/>
                      <w:highlight w:val="none"/>
                    </w:rPr>
                    <w:t>1.30%</w:t>
                  </w:r>
                </w:p>
              </w:tc>
              <w:tc>
                <w:tcPr>
                  <w:tcW w:w="871" w:type="dxa"/>
                  <w:noWrap w:val="0"/>
                  <w:vAlign w:val="top"/>
                </w:tcPr>
                <w:p w14:paraId="36C48603">
                  <w:pPr>
                    <w:pStyle w:val="8"/>
                    <w:spacing w:before="243" w:line="182" w:lineRule="auto"/>
                    <w:ind w:left="175"/>
                    <w:rPr>
                      <w:color w:val="auto"/>
                      <w:sz w:val="24"/>
                      <w:szCs w:val="24"/>
                      <w:highlight w:val="none"/>
                    </w:rPr>
                  </w:pPr>
                  <w:r>
                    <w:rPr>
                      <w:color w:val="auto"/>
                      <w:spacing w:val="-10"/>
                      <w:sz w:val="24"/>
                      <w:szCs w:val="24"/>
                      <w:highlight w:val="none"/>
                    </w:rPr>
                    <w:t>1.40%</w:t>
                  </w:r>
                </w:p>
              </w:tc>
              <w:tc>
                <w:tcPr>
                  <w:tcW w:w="873" w:type="dxa"/>
                  <w:noWrap w:val="0"/>
                  <w:vAlign w:val="top"/>
                </w:tcPr>
                <w:p w14:paraId="46D5F889">
                  <w:pPr>
                    <w:pStyle w:val="8"/>
                    <w:spacing w:before="243" w:line="182" w:lineRule="auto"/>
                    <w:ind w:left="175"/>
                    <w:rPr>
                      <w:color w:val="auto"/>
                      <w:sz w:val="24"/>
                      <w:szCs w:val="24"/>
                      <w:highlight w:val="none"/>
                    </w:rPr>
                  </w:pPr>
                  <w:r>
                    <w:rPr>
                      <w:color w:val="auto"/>
                      <w:spacing w:val="-10"/>
                      <w:sz w:val="24"/>
                      <w:szCs w:val="24"/>
                      <w:highlight w:val="none"/>
                    </w:rPr>
                    <w:t>1.50%</w:t>
                  </w:r>
                </w:p>
              </w:tc>
            </w:tr>
            <w:tr w14:paraId="13F7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70" w:type="dxa"/>
                  <w:noWrap w:val="0"/>
                  <w:vAlign w:val="top"/>
                </w:tcPr>
                <w:p w14:paraId="36E4E0C6">
                  <w:pPr>
                    <w:pStyle w:val="8"/>
                    <w:spacing w:before="123" w:line="186" w:lineRule="auto"/>
                    <w:ind w:left="325"/>
                    <w:rPr>
                      <w:color w:val="auto"/>
                      <w:sz w:val="30"/>
                      <w:szCs w:val="30"/>
                      <w:highlight w:val="none"/>
                    </w:rPr>
                  </w:pPr>
                  <w:r>
                    <w:rPr>
                      <w:color w:val="auto"/>
                      <w:spacing w:val="-10"/>
                      <w:sz w:val="30"/>
                      <w:szCs w:val="30"/>
                      <w:highlight w:val="none"/>
                    </w:rPr>
                    <w:t>17</w:t>
                  </w:r>
                </w:p>
              </w:tc>
              <w:tc>
                <w:tcPr>
                  <w:tcW w:w="870" w:type="dxa"/>
                  <w:noWrap w:val="0"/>
                  <w:vAlign w:val="top"/>
                </w:tcPr>
                <w:p w14:paraId="0584911E">
                  <w:pPr>
                    <w:pStyle w:val="8"/>
                    <w:spacing w:before="123" w:line="186" w:lineRule="auto"/>
                    <w:ind w:left="321"/>
                    <w:rPr>
                      <w:color w:val="auto"/>
                      <w:sz w:val="30"/>
                      <w:szCs w:val="30"/>
                      <w:highlight w:val="none"/>
                    </w:rPr>
                  </w:pPr>
                  <w:r>
                    <w:rPr>
                      <w:color w:val="auto"/>
                      <w:spacing w:val="-10"/>
                      <w:sz w:val="30"/>
                      <w:szCs w:val="30"/>
                      <w:highlight w:val="none"/>
                    </w:rPr>
                    <w:t>18</w:t>
                  </w:r>
                </w:p>
              </w:tc>
              <w:tc>
                <w:tcPr>
                  <w:tcW w:w="868" w:type="dxa"/>
                  <w:noWrap w:val="0"/>
                  <w:vAlign w:val="top"/>
                </w:tcPr>
                <w:p w14:paraId="54BA6C40">
                  <w:pPr>
                    <w:pStyle w:val="8"/>
                    <w:spacing w:before="123" w:line="186" w:lineRule="auto"/>
                    <w:ind w:left="324"/>
                    <w:rPr>
                      <w:color w:val="auto"/>
                      <w:sz w:val="30"/>
                      <w:szCs w:val="30"/>
                      <w:highlight w:val="none"/>
                    </w:rPr>
                  </w:pPr>
                  <w:r>
                    <w:rPr>
                      <w:color w:val="auto"/>
                      <w:spacing w:val="-10"/>
                      <w:sz w:val="30"/>
                      <w:szCs w:val="30"/>
                      <w:highlight w:val="none"/>
                    </w:rPr>
                    <w:t>19</w:t>
                  </w:r>
                </w:p>
              </w:tc>
              <w:tc>
                <w:tcPr>
                  <w:tcW w:w="871" w:type="dxa"/>
                  <w:noWrap w:val="0"/>
                  <w:vAlign w:val="top"/>
                </w:tcPr>
                <w:p w14:paraId="184C2D78">
                  <w:pPr>
                    <w:pStyle w:val="8"/>
                    <w:spacing w:before="125" w:line="185" w:lineRule="auto"/>
                    <w:ind w:left="294"/>
                    <w:rPr>
                      <w:color w:val="auto"/>
                      <w:sz w:val="30"/>
                      <w:szCs w:val="30"/>
                      <w:highlight w:val="none"/>
                    </w:rPr>
                  </w:pPr>
                  <w:r>
                    <w:rPr>
                      <w:color w:val="auto"/>
                      <w:spacing w:val="-2"/>
                      <w:sz w:val="30"/>
                      <w:szCs w:val="30"/>
                      <w:highlight w:val="none"/>
                    </w:rPr>
                    <w:t>20</w:t>
                  </w:r>
                </w:p>
              </w:tc>
              <w:tc>
                <w:tcPr>
                  <w:tcW w:w="871" w:type="dxa"/>
                  <w:noWrap w:val="0"/>
                  <w:vAlign w:val="top"/>
                </w:tcPr>
                <w:p w14:paraId="5BB9F043">
                  <w:pPr>
                    <w:pStyle w:val="8"/>
                    <w:spacing w:before="123" w:line="186" w:lineRule="auto"/>
                    <w:ind w:left="294"/>
                    <w:rPr>
                      <w:color w:val="auto"/>
                      <w:sz w:val="30"/>
                      <w:szCs w:val="30"/>
                      <w:highlight w:val="none"/>
                    </w:rPr>
                  </w:pPr>
                  <w:r>
                    <w:rPr>
                      <w:color w:val="auto"/>
                      <w:spacing w:val="-2"/>
                      <w:sz w:val="30"/>
                      <w:szCs w:val="30"/>
                      <w:highlight w:val="none"/>
                    </w:rPr>
                    <w:t>21</w:t>
                  </w:r>
                </w:p>
              </w:tc>
              <w:tc>
                <w:tcPr>
                  <w:tcW w:w="868" w:type="dxa"/>
                  <w:noWrap w:val="0"/>
                  <w:vAlign w:val="top"/>
                </w:tcPr>
                <w:p w14:paraId="03A53F9D">
                  <w:pPr>
                    <w:pStyle w:val="8"/>
                    <w:spacing w:before="124" w:line="185" w:lineRule="auto"/>
                    <w:ind w:left="294"/>
                    <w:rPr>
                      <w:color w:val="auto"/>
                      <w:sz w:val="30"/>
                      <w:szCs w:val="30"/>
                      <w:highlight w:val="none"/>
                    </w:rPr>
                  </w:pPr>
                  <w:r>
                    <w:rPr>
                      <w:color w:val="auto"/>
                      <w:spacing w:val="-2"/>
                      <w:sz w:val="30"/>
                      <w:szCs w:val="30"/>
                      <w:highlight w:val="none"/>
                    </w:rPr>
                    <w:t>22</w:t>
                  </w:r>
                </w:p>
              </w:tc>
              <w:tc>
                <w:tcPr>
                  <w:tcW w:w="871" w:type="dxa"/>
                  <w:noWrap w:val="0"/>
                  <w:vAlign w:val="top"/>
                </w:tcPr>
                <w:p w14:paraId="39F53055">
                  <w:pPr>
                    <w:pStyle w:val="8"/>
                    <w:spacing w:before="125" w:line="185" w:lineRule="auto"/>
                    <w:ind w:left="295"/>
                    <w:rPr>
                      <w:color w:val="auto"/>
                      <w:sz w:val="30"/>
                      <w:szCs w:val="30"/>
                      <w:highlight w:val="none"/>
                    </w:rPr>
                  </w:pPr>
                  <w:r>
                    <w:rPr>
                      <w:color w:val="auto"/>
                      <w:spacing w:val="-2"/>
                      <w:sz w:val="30"/>
                      <w:szCs w:val="30"/>
                      <w:highlight w:val="none"/>
                    </w:rPr>
                    <w:t>23</w:t>
                  </w:r>
                </w:p>
              </w:tc>
              <w:tc>
                <w:tcPr>
                  <w:tcW w:w="873" w:type="dxa"/>
                  <w:noWrap w:val="0"/>
                  <w:vAlign w:val="top"/>
                </w:tcPr>
                <w:p w14:paraId="5A521DB9">
                  <w:pPr>
                    <w:pStyle w:val="8"/>
                    <w:spacing w:before="124" w:line="185" w:lineRule="auto"/>
                    <w:ind w:left="298"/>
                    <w:rPr>
                      <w:color w:val="auto"/>
                      <w:sz w:val="30"/>
                      <w:szCs w:val="30"/>
                      <w:highlight w:val="none"/>
                    </w:rPr>
                  </w:pPr>
                  <w:r>
                    <w:rPr>
                      <w:color w:val="auto"/>
                      <w:spacing w:val="-2"/>
                      <w:sz w:val="30"/>
                      <w:szCs w:val="30"/>
                      <w:highlight w:val="none"/>
                    </w:rPr>
                    <w:t>24</w:t>
                  </w:r>
                </w:p>
              </w:tc>
            </w:tr>
            <w:tr w14:paraId="1CE6E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70" w:type="dxa"/>
                  <w:noWrap w:val="0"/>
                  <w:vAlign w:val="top"/>
                </w:tcPr>
                <w:p w14:paraId="3956CEE3">
                  <w:pPr>
                    <w:pStyle w:val="8"/>
                    <w:spacing w:before="167" w:line="182" w:lineRule="auto"/>
                    <w:ind w:left="173"/>
                    <w:rPr>
                      <w:color w:val="auto"/>
                      <w:sz w:val="24"/>
                      <w:szCs w:val="24"/>
                      <w:highlight w:val="none"/>
                    </w:rPr>
                  </w:pPr>
                  <w:r>
                    <w:rPr>
                      <w:color w:val="auto"/>
                      <w:spacing w:val="-10"/>
                      <w:sz w:val="24"/>
                      <w:szCs w:val="24"/>
                      <w:highlight w:val="none"/>
                    </w:rPr>
                    <w:t>1.60%</w:t>
                  </w:r>
                </w:p>
              </w:tc>
              <w:tc>
                <w:tcPr>
                  <w:tcW w:w="870" w:type="dxa"/>
                  <w:noWrap w:val="0"/>
                  <w:vAlign w:val="top"/>
                </w:tcPr>
                <w:p w14:paraId="703B8C56">
                  <w:pPr>
                    <w:pStyle w:val="8"/>
                    <w:spacing w:before="167" w:line="182" w:lineRule="auto"/>
                    <w:ind w:left="172"/>
                    <w:rPr>
                      <w:color w:val="auto"/>
                      <w:sz w:val="24"/>
                      <w:szCs w:val="24"/>
                      <w:highlight w:val="none"/>
                    </w:rPr>
                  </w:pPr>
                  <w:r>
                    <w:rPr>
                      <w:color w:val="auto"/>
                      <w:spacing w:val="-10"/>
                      <w:sz w:val="24"/>
                      <w:szCs w:val="24"/>
                      <w:highlight w:val="none"/>
                    </w:rPr>
                    <w:t>1.70%</w:t>
                  </w:r>
                </w:p>
              </w:tc>
              <w:tc>
                <w:tcPr>
                  <w:tcW w:w="868" w:type="dxa"/>
                  <w:noWrap w:val="0"/>
                  <w:vAlign w:val="top"/>
                </w:tcPr>
                <w:p w14:paraId="65BA5537">
                  <w:pPr>
                    <w:pStyle w:val="8"/>
                    <w:spacing w:before="167" w:line="182" w:lineRule="auto"/>
                    <w:ind w:left="173"/>
                    <w:rPr>
                      <w:color w:val="auto"/>
                      <w:sz w:val="24"/>
                      <w:szCs w:val="24"/>
                      <w:highlight w:val="none"/>
                    </w:rPr>
                  </w:pPr>
                  <w:r>
                    <w:rPr>
                      <w:color w:val="auto"/>
                      <w:spacing w:val="-10"/>
                      <w:sz w:val="24"/>
                      <w:szCs w:val="24"/>
                      <w:highlight w:val="none"/>
                    </w:rPr>
                    <w:t>1.80%</w:t>
                  </w:r>
                </w:p>
              </w:tc>
              <w:tc>
                <w:tcPr>
                  <w:tcW w:w="871" w:type="dxa"/>
                  <w:noWrap w:val="0"/>
                  <w:vAlign w:val="top"/>
                </w:tcPr>
                <w:p w14:paraId="2A4D4954">
                  <w:pPr>
                    <w:pStyle w:val="8"/>
                    <w:spacing w:before="167" w:line="182" w:lineRule="auto"/>
                    <w:ind w:left="174"/>
                    <w:rPr>
                      <w:color w:val="auto"/>
                      <w:sz w:val="24"/>
                      <w:szCs w:val="24"/>
                      <w:highlight w:val="none"/>
                    </w:rPr>
                  </w:pPr>
                  <w:r>
                    <w:rPr>
                      <w:color w:val="auto"/>
                      <w:spacing w:val="-10"/>
                      <w:sz w:val="24"/>
                      <w:szCs w:val="24"/>
                      <w:highlight w:val="none"/>
                    </w:rPr>
                    <w:t>1.90%</w:t>
                  </w:r>
                </w:p>
              </w:tc>
              <w:tc>
                <w:tcPr>
                  <w:tcW w:w="871" w:type="dxa"/>
                  <w:noWrap w:val="0"/>
                  <w:vAlign w:val="top"/>
                </w:tcPr>
                <w:p w14:paraId="4D432849">
                  <w:pPr>
                    <w:pStyle w:val="8"/>
                    <w:spacing w:before="169" w:line="181" w:lineRule="auto"/>
                    <w:ind w:left="152"/>
                    <w:rPr>
                      <w:color w:val="auto"/>
                      <w:sz w:val="24"/>
                      <w:szCs w:val="24"/>
                      <w:highlight w:val="none"/>
                    </w:rPr>
                  </w:pPr>
                  <w:r>
                    <w:rPr>
                      <w:color w:val="auto"/>
                      <w:spacing w:val="-4"/>
                      <w:sz w:val="24"/>
                      <w:szCs w:val="24"/>
                      <w:highlight w:val="none"/>
                    </w:rPr>
                    <w:t>2.00%</w:t>
                  </w:r>
                </w:p>
              </w:tc>
              <w:tc>
                <w:tcPr>
                  <w:tcW w:w="868" w:type="dxa"/>
                  <w:noWrap w:val="0"/>
                  <w:vAlign w:val="top"/>
                </w:tcPr>
                <w:p w14:paraId="532BCE1E">
                  <w:pPr>
                    <w:pStyle w:val="8"/>
                    <w:spacing w:before="167" w:line="182" w:lineRule="auto"/>
                    <w:ind w:left="152"/>
                    <w:rPr>
                      <w:color w:val="auto"/>
                      <w:sz w:val="24"/>
                      <w:szCs w:val="24"/>
                      <w:highlight w:val="none"/>
                    </w:rPr>
                  </w:pPr>
                  <w:r>
                    <w:rPr>
                      <w:color w:val="auto"/>
                      <w:spacing w:val="-3"/>
                      <w:sz w:val="24"/>
                      <w:szCs w:val="24"/>
                      <w:highlight w:val="none"/>
                    </w:rPr>
                    <w:t>2.10%</w:t>
                  </w:r>
                </w:p>
              </w:tc>
              <w:tc>
                <w:tcPr>
                  <w:tcW w:w="871" w:type="dxa"/>
                  <w:noWrap w:val="0"/>
                  <w:vAlign w:val="top"/>
                </w:tcPr>
                <w:p w14:paraId="760092E7">
                  <w:pPr>
                    <w:pStyle w:val="8"/>
                    <w:spacing w:before="169" w:line="181" w:lineRule="auto"/>
                    <w:ind w:left="153"/>
                    <w:rPr>
                      <w:color w:val="auto"/>
                      <w:sz w:val="24"/>
                      <w:szCs w:val="24"/>
                      <w:highlight w:val="none"/>
                    </w:rPr>
                  </w:pPr>
                  <w:r>
                    <w:rPr>
                      <w:color w:val="auto"/>
                      <w:spacing w:val="-4"/>
                      <w:sz w:val="24"/>
                      <w:szCs w:val="24"/>
                      <w:highlight w:val="none"/>
                    </w:rPr>
                    <w:t>2.20%</w:t>
                  </w:r>
                </w:p>
              </w:tc>
              <w:tc>
                <w:tcPr>
                  <w:tcW w:w="873" w:type="dxa"/>
                  <w:noWrap w:val="0"/>
                  <w:vAlign w:val="top"/>
                </w:tcPr>
                <w:p w14:paraId="45A8A5AA">
                  <w:pPr>
                    <w:pStyle w:val="8"/>
                    <w:spacing w:before="169" w:line="181" w:lineRule="auto"/>
                    <w:ind w:left="153"/>
                    <w:rPr>
                      <w:color w:val="auto"/>
                      <w:sz w:val="24"/>
                      <w:szCs w:val="24"/>
                      <w:highlight w:val="none"/>
                    </w:rPr>
                  </w:pPr>
                  <w:r>
                    <w:rPr>
                      <w:color w:val="auto"/>
                      <w:spacing w:val="-4"/>
                      <w:sz w:val="24"/>
                      <w:szCs w:val="24"/>
                      <w:highlight w:val="none"/>
                    </w:rPr>
                    <w:t>2.30%</w:t>
                  </w:r>
                </w:p>
              </w:tc>
            </w:tr>
            <w:tr w14:paraId="03A05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70" w:type="dxa"/>
                  <w:noWrap w:val="0"/>
                  <w:vAlign w:val="top"/>
                </w:tcPr>
                <w:p w14:paraId="31DA3F28">
                  <w:pPr>
                    <w:pStyle w:val="8"/>
                    <w:spacing w:before="123" w:line="185" w:lineRule="auto"/>
                    <w:ind w:left="293"/>
                    <w:rPr>
                      <w:color w:val="auto"/>
                      <w:sz w:val="30"/>
                      <w:szCs w:val="30"/>
                      <w:highlight w:val="none"/>
                    </w:rPr>
                  </w:pPr>
                  <w:r>
                    <w:rPr>
                      <w:color w:val="auto"/>
                      <w:spacing w:val="-2"/>
                      <w:sz w:val="30"/>
                      <w:szCs w:val="30"/>
                      <w:highlight w:val="none"/>
                    </w:rPr>
                    <w:t>25</w:t>
                  </w:r>
                </w:p>
              </w:tc>
              <w:tc>
                <w:tcPr>
                  <w:tcW w:w="870" w:type="dxa"/>
                  <w:noWrap w:val="0"/>
                  <w:vAlign w:val="top"/>
                </w:tcPr>
                <w:p w14:paraId="524290F6">
                  <w:pPr>
                    <w:pStyle w:val="8"/>
                    <w:spacing w:before="123" w:line="185" w:lineRule="auto"/>
                    <w:ind w:left="292"/>
                    <w:rPr>
                      <w:color w:val="auto"/>
                      <w:sz w:val="30"/>
                      <w:szCs w:val="30"/>
                      <w:highlight w:val="none"/>
                    </w:rPr>
                  </w:pPr>
                  <w:r>
                    <w:rPr>
                      <w:color w:val="auto"/>
                      <w:spacing w:val="-2"/>
                      <w:sz w:val="30"/>
                      <w:szCs w:val="30"/>
                      <w:highlight w:val="none"/>
                    </w:rPr>
                    <w:t>26</w:t>
                  </w:r>
                </w:p>
              </w:tc>
              <w:tc>
                <w:tcPr>
                  <w:tcW w:w="868" w:type="dxa"/>
                  <w:noWrap w:val="0"/>
                  <w:vAlign w:val="top"/>
                </w:tcPr>
                <w:p w14:paraId="2C1C05AC">
                  <w:pPr>
                    <w:pStyle w:val="8"/>
                    <w:spacing w:before="123" w:line="185" w:lineRule="auto"/>
                    <w:ind w:left="293"/>
                    <w:rPr>
                      <w:color w:val="auto"/>
                      <w:sz w:val="30"/>
                      <w:szCs w:val="30"/>
                      <w:highlight w:val="none"/>
                    </w:rPr>
                  </w:pPr>
                  <w:r>
                    <w:rPr>
                      <w:color w:val="auto"/>
                      <w:spacing w:val="-2"/>
                      <w:sz w:val="30"/>
                      <w:szCs w:val="30"/>
                      <w:highlight w:val="none"/>
                    </w:rPr>
                    <w:t>27</w:t>
                  </w:r>
                </w:p>
              </w:tc>
              <w:tc>
                <w:tcPr>
                  <w:tcW w:w="871" w:type="dxa"/>
                  <w:noWrap w:val="0"/>
                  <w:vAlign w:val="top"/>
                </w:tcPr>
                <w:p w14:paraId="0101276B">
                  <w:pPr>
                    <w:pStyle w:val="8"/>
                    <w:spacing w:before="123" w:line="185" w:lineRule="auto"/>
                    <w:ind w:left="294"/>
                    <w:rPr>
                      <w:color w:val="auto"/>
                      <w:sz w:val="30"/>
                      <w:szCs w:val="30"/>
                      <w:highlight w:val="none"/>
                    </w:rPr>
                  </w:pPr>
                  <w:r>
                    <w:rPr>
                      <w:color w:val="auto"/>
                      <w:spacing w:val="-2"/>
                      <w:sz w:val="30"/>
                      <w:szCs w:val="30"/>
                      <w:highlight w:val="none"/>
                    </w:rPr>
                    <w:t>28</w:t>
                  </w:r>
                </w:p>
              </w:tc>
              <w:tc>
                <w:tcPr>
                  <w:tcW w:w="871" w:type="dxa"/>
                  <w:noWrap w:val="0"/>
                  <w:vAlign w:val="top"/>
                </w:tcPr>
                <w:p w14:paraId="3D86BBA8">
                  <w:pPr>
                    <w:pStyle w:val="8"/>
                    <w:spacing w:before="123" w:line="185" w:lineRule="auto"/>
                    <w:ind w:left="294"/>
                    <w:rPr>
                      <w:color w:val="auto"/>
                      <w:sz w:val="30"/>
                      <w:szCs w:val="30"/>
                      <w:highlight w:val="none"/>
                    </w:rPr>
                  </w:pPr>
                  <w:r>
                    <w:rPr>
                      <w:color w:val="auto"/>
                      <w:spacing w:val="-2"/>
                      <w:sz w:val="30"/>
                      <w:szCs w:val="30"/>
                      <w:highlight w:val="none"/>
                    </w:rPr>
                    <w:t>29</w:t>
                  </w:r>
                </w:p>
              </w:tc>
              <w:tc>
                <w:tcPr>
                  <w:tcW w:w="868" w:type="dxa"/>
                  <w:noWrap w:val="0"/>
                  <w:vAlign w:val="top"/>
                </w:tcPr>
                <w:p w14:paraId="2CCFA161">
                  <w:pPr>
                    <w:pStyle w:val="8"/>
                    <w:spacing w:before="123" w:line="185" w:lineRule="auto"/>
                    <w:ind w:left="300"/>
                    <w:rPr>
                      <w:color w:val="auto"/>
                      <w:sz w:val="30"/>
                      <w:szCs w:val="30"/>
                      <w:highlight w:val="none"/>
                    </w:rPr>
                  </w:pPr>
                  <w:r>
                    <w:rPr>
                      <w:color w:val="auto"/>
                      <w:spacing w:val="-4"/>
                      <w:sz w:val="30"/>
                      <w:szCs w:val="30"/>
                      <w:highlight w:val="none"/>
                    </w:rPr>
                    <w:t>30</w:t>
                  </w:r>
                </w:p>
              </w:tc>
              <w:tc>
                <w:tcPr>
                  <w:tcW w:w="871" w:type="dxa"/>
                  <w:noWrap w:val="0"/>
                  <w:vAlign w:val="top"/>
                </w:tcPr>
                <w:p w14:paraId="6BA0D8D5">
                  <w:pPr>
                    <w:pStyle w:val="8"/>
                    <w:spacing w:before="121" w:line="186" w:lineRule="auto"/>
                    <w:ind w:left="300"/>
                    <w:rPr>
                      <w:color w:val="auto"/>
                      <w:sz w:val="30"/>
                      <w:szCs w:val="30"/>
                      <w:highlight w:val="none"/>
                    </w:rPr>
                  </w:pPr>
                  <w:r>
                    <w:rPr>
                      <w:color w:val="auto"/>
                      <w:spacing w:val="-4"/>
                      <w:sz w:val="30"/>
                      <w:szCs w:val="30"/>
                      <w:highlight w:val="none"/>
                    </w:rPr>
                    <w:t>31</w:t>
                  </w:r>
                </w:p>
              </w:tc>
              <w:tc>
                <w:tcPr>
                  <w:tcW w:w="873" w:type="dxa"/>
                  <w:noWrap w:val="0"/>
                  <w:vAlign w:val="top"/>
                </w:tcPr>
                <w:p w14:paraId="3A712427">
                  <w:pPr>
                    <w:rPr>
                      <w:rFonts w:ascii="Arial"/>
                      <w:color w:val="auto"/>
                      <w:sz w:val="21"/>
                      <w:highlight w:val="none"/>
                    </w:rPr>
                  </w:pPr>
                </w:p>
              </w:tc>
            </w:tr>
            <w:tr w14:paraId="334AE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70" w:type="dxa"/>
                  <w:noWrap w:val="0"/>
                  <w:vAlign w:val="top"/>
                </w:tcPr>
                <w:p w14:paraId="58EA41D0">
                  <w:pPr>
                    <w:pStyle w:val="8"/>
                    <w:spacing w:before="196" w:line="181" w:lineRule="auto"/>
                    <w:ind w:left="151"/>
                    <w:rPr>
                      <w:color w:val="auto"/>
                      <w:sz w:val="24"/>
                      <w:szCs w:val="24"/>
                      <w:highlight w:val="none"/>
                    </w:rPr>
                  </w:pPr>
                  <w:r>
                    <w:rPr>
                      <w:color w:val="auto"/>
                      <w:spacing w:val="-4"/>
                      <w:sz w:val="24"/>
                      <w:szCs w:val="24"/>
                      <w:highlight w:val="none"/>
                    </w:rPr>
                    <w:t>2.40%</w:t>
                  </w:r>
                </w:p>
              </w:tc>
              <w:tc>
                <w:tcPr>
                  <w:tcW w:w="870" w:type="dxa"/>
                  <w:noWrap w:val="0"/>
                  <w:vAlign w:val="top"/>
                </w:tcPr>
                <w:p w14:paraId="67DA9AC1">
                  <w:pPr>
                    <w:pStyle w:val="8"/>
                    <w:spacing w:before="196" w:line="181" w:lineRule="auto"/>
                    <w:ind w:left="150"/>
                    <w:rPr>
                      <w:color w:val="auto"/>
                      <w:sz w:val="24"/>
                      <w:szCs w:val="24"/>
                      <w:highlight w:val="none"/>
                    </w:rPr>
                  </w:pPr>
                  <w:r>
                    <w:rPr>
                      <w:color w:val="auto"/>
                      <w:spacing w:val="-4"/>
                      <w:sz w:val="24"/>
                      <w:szCs w:val="24"/>
                      <w:highlight w:val="none"/>
                    </w:rPr>
                    <w:t>2.50%</w:t>
                  </w:r>
                </w:p>
              </w:tc>
              <w:tc>
                <w:tcPr>
                  <w:tcW w:w="868" w:type="dxa"/>
                  <w:noWrap w:val="0"/>
                  <w:vAlign w:val="top"/>
                </w:tcPr>
                <w:p w14:paraId="745D3CA9">
                  <w:pPr>
                    <w:pStyle w:val="8"/>
                    <w:spacing w:before="196" w:line="181" w:lineRule="auto"/>
                    <w:ind w:left="151"/>
                    <w:rPr>
                      <w:color w:val="auto"/>
                      <w:sz w:val="24"/>
                      <w:szCs w:val="24"/>
                      <w:highlight w:val="none"/>
                    </w:rPr>
                  </w:pPr>
                  <w:r>
                    <w:rPr>
                      <w:color w:val="auto"/>
                      <w:spacing w:val="-4"/>
                      <w:sz w:val="24"/>
                      <w:szCs w:val="24"/>
                      <w:highlight w:val="none"/>
                    </w:rPr>
                    <w:t>2.60%</w:t>
                  </w:r>
                </w:p>
              </w:tc>
              <w:tc>
                <w:tcPr>
                  <w:tcW w:w="871" w:type="dxa"/>
                  <w:noWrap w:val="0"/>
                  <w:vAlign w:val="top"/>
                </w:tcPr>
                <w:p w14:paraId="256808B4">
                  <w:pPr>
                    <w:pStyle w:val="8"/>
                    <w:spacing w:before="196" w:line="181" w:lineRule="auto"/>
                    <w:ind w:left="152"/>
                    <w:rPr>
                      <w:color w:val="auto"/>
                      <w:sz w:val="24"/>
                      <w:szCs w:val="24"/>
                      <w:highlight w:val="none"/>
                    </w:rPr>
                  </w:pPr>
                  <w:r>
                    <w:rPr>
                      <w:color w:val="auto"/>
                      <w:spacing w:val="-4"/>
                      <w:sz w:val="24"/>
                      <w:szCs w:val="24"/>
                      <w:highlight w:val="none"/>
                    </w:rPr>
                    <w:t>2.70%</w:t>
                  </w:r>
                </w:p>
              </w:tc>
              <w:tc>
                <w:tcPr>
                  <w:tcW w:w="871" w:type="dxa"/>
                  <w:noWrap w:val="0"/>
                  <w:vAlign w:val="top"/>
                </w:tcPr>
                <w:p w14:paraId="3EB92DBE">
                  <w:pPr>
                    <w:pStyle w:val="8"/>
                    <w:spacing w:before="196" w:line="181" w:lineRule="auto"/>
                    <w:ind w:left="152"/>
                    <w:rPr>
                      <w:color w:val="auto"/>
                      <w:sz w:val="24"/>
                      <w:szCs w:val="24"/>
                      <w:highlight w:val="none"/>
                    </w:rPr>
                  </w:pPr>
                  <w:r>
                    <w:rPr>
                      <w:color w:val="auto"/>
                      <w:spacing w:val="-4"/>
                      <w:sz w:val="24"/>
                      <w:szCs w:val="24"/>
                      <w:highlight w:val="none"/>
                    </w:rPr>
                    <w:t>2.80%</w:t>
                  </w:r>
                </w:p>
              </w:tc>
              <w:tc>
                <w:tcPr>
                  <w:tcW w:w="868" w:type="dxa"/>
                  <w:noWrap w:val="0"/>
                  <w:vAlign w:val="top"/>
                </w:tcPr>
                <w:p w14:paraId="3A6560EA">
                  <w:pPr>
                    <w:pStyle w:val="8"/>
                    <w:spacing w:before="196" w:line="181" w:lineRule="auto"/>
                    <w:ind w:left="152"/>
                    <w:rPr>
                      <w:color w:val="auto"/>
                      <w:sz w:val="24"/>
                      <w:szCs w:val="24"/>
                      <w:highlight w:val="none"/>
                    </w:rPr>
                  </w:pPr>
                  <w:r>
                    <w:rPr>
                      <w:color w:val="auto"/>
                      <w:spacing w:val="-4"/>
                      <w:sz w:val="24"/>
                      <w:szCs w:val="24"/>
                      <w:highlight w:val="none"/>
                    </w:rPr>
                    <w:t>2.90%</w:t>
                  </w:r>
                </w:p>
              </w:tc>
              <w:tc>
                <w:tcPr>
                  <w:tcW w:w="871" w:type="dxa"/>
                  <w:noWrap w:val="0"/>
                  <w:vAlign w:val="top"/>
                </w:tcPr>
                <w:p w14:paraId="4B45496B">
                  <w:pPr>
                    <w:pStyle w:val="8"/>
                    <w:spacing w:before="196" w:line="181" w:lineRule="auto"/>
                    <w:ind w:left="155"/>
                    <w:rPr>
                      <w:color w:val="auto"/>
                      <w:sz w:val="24"/>
                      <w:szCs w:val="24"/>
                      <w:highlight w:val="none"/>
                    </w:rPr>
                  </w:pPr>
                  <w:r>
                    <w:rPr>
                      <w:color w:val="auto"/>
                      <w:spacing w:val="-4"/>
                      <w:sz w:val="24"/>
                      <w:szCs w:val="24"/>
                      <w:highlight w:val="none"/>
                    </w:rPr>
                    <w:t>3.00%</w:t>
                  </w:r>
                </w:p>
              </w:tc>
              <w:tc>
                <w:tcPr>
                  <w:tcW w:w="873" w:type="dxa"/>
                  <w:noWrap w:val="0"/>
                  <w:vAlign w:val="top"/>
                </w:tcPr>
                <w:p w14:paraId="34DFD335">
                  <w:pPr>
                    <w:rPr>
                      <w:rFonts w:ascii="Arial"/>
                      <w:color w:val="auto"/>
                      <w:sz w:val="21"/>
                      <w:highlight w:val="none"/>
                    </w:rPr>
                  </w:pPr>
                </w:p>
              </w:tc>
            </w:tr>
          </w:tbl>
          <w:p w14:paraId="78065C0C">
            <w:pPr>
              <w:pStyle w:val="8"/>
              <w:spacing w:before="78" w:line="217" w:lineRule="auto"/>
              <w:ind w:left="495"/>
              <w:rPr>
                <w:color w:val="auto"/>
                <w:spacing w:val="-3"/>
                <w:sz w:val="24"/>
                <w:szCs w:val="24"/>
                <w:highlight w:val="none"/>
              </w:rPr>
            </w:pPr>
          </w:p>
          <w:p w14:paraId="191EC63D">
            <w:pPr>
              <w:pStyle w:val="8"/>
              <w:spacing w:before="78" w:line="217" w:lineRule="auto"/>
              <w:ind w:left="495"/>
              <w:rPr>
                <w:color w:val="auto"/>
                <w:spacing w:val="-3"/>
                <w:sz w:val="24"/>
                <w:szCs w:val="24"/>
                <w:highlight w:val="none"/>
              </w:rPr>
            </w:pPr>
          </w:p>
          <w:p w14:paraId="26BD02C0">
            <w:pPr>
              <w:pStyle w:val="8"/>
              <w:spacing w:before="78" w:line="217" w:lineRule="auto"/>
              <w:ind w:left="495"/>
              <w:rPr>
                <w:color w:val="auto"/>
                <w:sz w:val="24"/>
                <w:szCs w:val="24"/>
                <w:highlight w:val="none"/>
              </w:rPr>
            </w:pPr>
            <w:r>
              <w:rPr>
                <w:color w:val="auto"/>
                <w:spacing w:val="-3"/>
                <w:sz w:val="24"/>
                <w:szCs w:val="24"/>
                <w:highlight w:val="none"/>
              </w:rPr>
              <w:t>②最高评标限价=最高投标限价×（1-最高投标限价下浮率）</w:t>
            </w:r>
          </w:p>
          <w:p w14:paraId="222CDEF1">
            <w:pPr>
              <w:pStyle w:val="8"/>
              <w:spacing w:before="43" w:line="218" w:lineRule="auto"/>
              <w:ind w:left="101"/>
              <w:rPr>
                <w:color w:val="auto"/>
                <w:sz w:val="24"/>
                <w:szCs w:val="24"/>
                <w:highlight w:val="none"/>
              </w:rPr>
            </w:pPr>
            <w:r>
              <w:rPr>
                <w:color w:val="auto"/>
                <w:spacing w:val="3"/>
                <w:sz w:val="24"/>
                <w:szCs w:val="24"/>
                <w:highlight w:val="none"/>
              </w:rPr>
              <w:t>有效评标价范围：不大于最高评标限价的评标价为有效评</w:t>
            </w:r>
            <w:r>
              <w:rPr>
                <w:color w:val="auto"/>
                <w:spacing w:val="2"/>
                <w:sz w:val="24"/>
                <w:szCs w:val="24"/>
                <w:highlight w:val="none"/>
              </w:rPr>
              <w:t>标价</w:t>
            </w:r>
            <w:r>
              <w:rPr>
                <w:color w:val="auto"/>
                <w:spacing w:val="-3"/>
                <w:sz w:val="24"/>
                <w:szCs w:val="24"/>
                <w:highlight w:val="none"/>
              </w:rPr>
              <w:t xml:space="preserve">。若大于最高评标限价的评标价，其评标价得分为 </w:t>
            </w:r>
            <w:r>
              <w:rPr>
                <w:color w:val="auto"/>
                <w:spacing w:val="-4"/>
                <w:sz w:val="24"/>
                <w:szCs w:val="24"/>
                <w:highlight w:val="none"/>
              </w:rPr>
              <w:t>0 分。</w:t>
            </w:r>
          </w:p>
          <w:p w14:paraId="01FAE4EA">
            <w:pPr>
              <w:pStyle w:val="8"/>
              <w:spacing w:before="74" w:line="218" w:lineRule="auto"/>
              <w:ind w:left="564"/>
              <w:rPr>
                <w:color w:val="auto"/>
                <w:sz w:val="24"/>
                <w:szCs w:val="24"/>
                <w:highlight w:val="none"/>
              </w:rPr>
            </w:pPr>
            <w:r>
              <w:rPr>
                <w:color w:val="auto"/>
                <w:spacing w:val="-6"/>
                <w:sz w:val="24"/>
                <w:szCs w:val="24"/>
                <w:highlight w:val="none"/>
              </w:rPr>
              <w:t>（3）评标基准价的确定：</w:t>
            </w:r>
          </w:p>
          <w:p w14:paraId="48F9006E">
            <w:pPr>
              <w:pStyle w:val="8"/>
              <w:spacing w:before="74" w:line="218" w:lineRule="auto"/>
              <w:ind w:left="555"/>
              <w:rPr>
                <w:color w:val="auto"/>
                <w:sz w:val="24"/>
                <w:szCs w:val="24"/>
                <w:highlight w:val="none"/>
              </w:rPr>
            </w:pPr>
            <w:r>
              <w:rPr>
                <w:color w:val="auto"/>
                <w:spacing w:val="-3"/>
                <w:sz w:val="24"/>
                <w:szCs w:val="24"/>
                <w:highlight w:val="none"/>
              </w:rPr>
              <w:t>将最高评标限价下浮</w:t>
            </w:r>
            <w:r>
              <w:rPr>
                <w:color w:val="auto"/>
                <w:spacing w:val="-33"/>
                <w:sz w:val="24"/>
                <w:szCs w:val="24"/>
                <w:highlight w:val="none"/>
              </w:rPr>
              <w:t xml:space="preserve"> </w:t>
            </w:r>
            <w:r>
              <w:rPr>
                <w:color w:val="auto"/>
                <w:spacing w:val="-3"/>
                <w:sz w:val="24"/>
                <w:szCs w:val="24"/>
                <w:highlight w:val="none"/>
              </w:rPr>
              <w:t>1.0%，作为评标基准价。</w:t>
            </w:r>
          </w:p>
          <w:p w14:paraId="3ED12ABF">
            <w:pPr>
              <w:pStyle w:val="8"/>
              <w:spacing w:before="72" w:line="269" w:lineRule="auto"/>
              <w:ind w:left="78" w:right="102" w:firstLine="478"/>
              <w:jc w:val="both"/>
              <w:rPr>
                <w:color w:val="auto"/>
                <w:sz w:val="24"/>
                <w:szCs w:val="24"/>
                <w:highlight w:val="none"/>
              </w:rPr>
            </w:pPr>
            <w:r>
              <w:rPr>
                <w:color w:val="auto"/>
                <w:spacing w:val="-1"/>
                <w:sz w:val="24"/>
                <w:szCs w:val="24"/>
                <w:highlight w:val="none"/>
              </w:rPr>
              <w:t>在评标过程中，评标委员会应对招标人计算的评标基准价进行</w:t>
            </w:r>
            <w:r>
              <w:rPr>
                <w:color w:val="auto"/>
                <w:spacing w:val="17"/>
                <w:sz w:val="24"/>
                <w:szCs w:val="24"/>
                <w:highlight w:val="none"/>
              </w:rPr>
              <w:t xml:space="preserve"> </w:t>
            </w:r>
            <w:r>
              <w:rPr>
                <w:color w:val="auto"/>
                <w:spacing w:val="-1"/>
                <w:sz w:val="24"/>
                <w:szCs w:val="24"/>
                <w:highlight w:val="none"/>
              </w:rPr>
              <w:t>复核，存在计算错误的应予以修正并在评标报告中作出说明。除此</w:t>
            </w:r>
            <w:r>
              <w:rPr>
                <w:color w:val="auto"/>
                <w:spacing w:val="17"/>
                <w:sz w:val="24"/>
                <w:szCs w:val="24"/>
                <w:highlight w:val="none"/>
              </w:rPr>
              <w:t xml:space="preserve"> </w:t>
            </w:r>
            <w:r>
              <w:rPr>
                <w:color w:val="auto"/>
                <w:spacing w:val="-1"/>
                <w:sz w:val="24"/>
                <w:szCs w:val="24"/>
                <w:highlight w:val="none"/>
              </w:rPr>
              <w:t>之外，评标基准价在整个评标期间保持不变，不随任何因素发生变</w:t>
            </w:r>
            <w:r>
              <w:rPr>
                <w:color w:val="auto"/>
                <w:spacing w:val="17"/>
                <w:sz w:val="24"/>
                <w:szCs w:val="24"/>
                <w:highlight w:val="none"/>
              </w:rPr>
              <w:t xml:space="preserve"> </w:t>
            </w:r>
            <w:r>
              <w:rPr>
                <w:color w:val="auto"/>
                <w:spacing w:val="-12"/>
                <w:sz w:val="24"/>
                <w:szCs w:val="24"/>
                <w:highlight w:val="none"/>
              </w:rPr>
              <w:t>化。</w:t>
            </w:r>
          </w:p>
          <w:p w14:paraId="0B2CB5F7">
            <w:pPr>
              <w:spacing w:line="316" w:lineRule="auto"/>
              <w:rPr>
                <w:color w:val="auto"/>
                <w:sz w:val="24"/>
                <w:szCs w:val="24"/>
                <w:highlight w:val="none"/>
              </w:rPr>
            </w:pPr>
            <w:r>
              <w:rPr>
                <w:color w:val="auto"/>
                <w:spacing w:val="-2"/>
                <w:sz w:val="24"/>
                <w:szCs w:val="24"/>
                <w:highlight w:val="none"/>
              </w:rPr>
              <w:t>注：最高评标限价、评标基准价均四舍五入至个位整数。</w:t>
            </w:r>
          </w:p>
        </w:tc>
      </w:tr>
      <w:tr w14:paraId="21B28E37">
        <w:tblPrEx>
          <w:tblCellMar>
            <w:top w:w="0" w:type="dxa"/>
            <w:left w:w="0" w:type="dxa"/>
            <w:bottom w:w="0" w:type="dxa"/>
            <w:right w:w="0" w:type="dxa"/>
          </w:tblCellMar>
        </w:tblPrEx>
        <w:trPr>
          <w:trHeight w:val="1118" w:hRule="atLeast"/>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03480676">
            <w:pPr>
              <w:pStyle w:val="6"/>
              <w:kinsoku w:val="0"/>
              <w:overflowPunct w:val="0"/>
              <w:spacing w:line="276" w:lineRule="auto"/>
              <w:ind w:left="156" w:right="148"/>
              <w:jc w:val="center"/>
              <w:rPr>
                <w:color w:val="auto"/>
                <w:sz w:val="24"/>
                <w:szCs w:val="24"/>
                <w:highlight w:val="none"/>
              </w:rPr>
            </w:pPr>
            <w:r>
              <w:rPr>
                <w:color w:val="auto"/>
                <w:sz w:val="24"/>
                <w:szCs w:val="24"/>
                <w:highlight w:val="none"/>
              </w:rPr>
              <w:t>2.2.3</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2C96F1C">
            <w:pPr>
              <w:pStyle w:val="6"/>
              <w:kinsoku w:val="0"/>
              <w:overflowPunct w:val="0"/>
              <w:spacing w:before="109" w:line="276" w:lineRule="auto"/>
              <w:ind w:right="148"/>
              <w:jc w:val="center"/>
              <w:rPr>
                <w:color w:val="auto"/>
                <w:sz w:val="24"/>
                <w:szCs w:val="24"/>
                <w:highlight w:val="none"/>
              </w:rPr>
            </w:pPr>
            <w:r>
              <w:rPr>
                <w:rFonts w:hint="eastAsia"/>
                <w:color w:val="auto"/>
                <w:sz w:val="24"/>
                <w:szCs w:val="24"/>
                <w:highlight w:val="none"/>
              </w:rPr>
              <w:t>评标价的偏差率计算公</w:t>
            </w:r>
          </w:p>
          <w:p w14:paraId="2F99A199">
            <w:pPr>
              <w:pStyle w:val="6"/>
              <w:kinsoku w:val="0"/>
              <w:overflowPunct w:val="0"/>
              <w:spacing w:before="2" w:line="276" w:lineRule="auto"/>
              <w:ind w:left="156" w:right="148"/>
              <w:jc w:val="center"/>
              <w:rPr>
                <w:color w:val="auto"/>
                <w:sz w:val="24"/>
                <w:szCs w:val="24"/>
                <w:highlight w:val="none"/>
              </w:rPr>
            </w:pPr>
            <w:r>
              <w:rPr>
                <w:rFonts w:hint="eastAsia"/>
                <w:color w:val="auto"/>
                <w:sz w:val="24"/>
                <w:szCs w:val="24"/>
                <w:highlight w:val="none"/>
              </w:rPr>
              <w:t>式</w:t>
            </w:r>
          </w:p>
        </w:tc>
        <w:tc>
          <w:tcPr>
            <w:tcW w:w="3724" w:type="pct"/>
            <w:tcBorders>
              <w:top w:val="single" w:color="000000" w:sz="4" w:space="0"/>
              <w:left w:val="single" w:color="000000" w:sz="4" w:space="0"/>
              <w:bottom w:val="single" w:color="000000" w:sz="4" w:space="0"/>
              <w:right w:val="single" w:color="000000" w:sz="4" w:space="0"/>
            </w:tcBorders>
            <w:noWrap w:val="0"/>
            <w:vAlign w:val="center"/>
          </w:tcPr>
          <w:p w14:paraId="03B1A8D3">
            <w:pPr>
              <w:pStyle w:val="6"/>
              <w:spacing w:line="276" w:lineRule="auto"/>
              <w:ind w:left="63" w:leftChars="30" w:right="63" w:rightChars="30" w:firstLine="480" w:firstLineChars="200"/>
              <w:rPr>
                <w:color w:val="auto"/>
                <w:sz w:val="24"/>
                <w:szCs w:val="24"/>
                <w:highlight w:val="none"/>
              </w:rPr>
            </w:pPr>
            <w:r>
              <w:rPr>
                <w:rFonts w:hint="eastAsia"/>
                <w:color w:val="auto"/>
                <w:sz w:val="24"/>
                <w:szCs w:val="24"/>
                <w:highlight w:val="none"/>
              </w:rPr>
              <w:t>偏差率</w:t>
            </w:r>
            <w:r>
              <w:rPr>
                <w:color w:val="auto"/>
                <w:sz w:val="24"/>
                <w:szCs w:val="24"/>
                <w:highlight w:val="none"/>
              </w:rPr>
              <w:t xml:space="preserve">=100% </w:t>
            </w:r>
            <w:r>
              <w:rPr>
                <w:rFonts w:hint="eastAsia"/>
                <w:color w:val="auto"/>
                <w:sz w:val="24"/>
                <w:szCs w:val="24"/>
                <w:highlight w:val="none"/>
              </w:rPr>
              <w:t>×（投标人评标价－评标基准价）</w:t>
            </w:r>
            <w:r>
              <w:rPr>
                <w:color w:val="auto"/>
                <w:sz w:val="24"/>
                <w:szCs w:val="24"/>
                <w:highlight w:val="none"/>
              </w:rPr>
              <w:t>/</w:t>
            </w:r>
            <w:r>
              <w:rPr>
                <w:rFonts w:hint="eastAsia"/>
                <w:color w:val="auto"/>
                <w:sz w:val="24"/>
                <w:szCs w:val="24"/>
                <w:highlight w:val="none"/>
              </w:rPr>
              <w:t>评标基准价</w:t>
            </w:r>
          </w:p>
          <w:p w14:paraId="25A4B6A8">
            <w:pPr>
              <w:pStyle w:val="6"/>
              <w:spacing w:line="276" w:lineRule="auto"/>
              <w:ind w:left="63" w:leftChars="30" w:right="63" w:rightChars="30" w:firstLine="480" w:firstLineChars="200"/>
              <w:rPr>
                <w:color w:val="auto"/>
                <w:sz w:val="24"/>
                <w:szCs w:val="24"/>
                <w:highlight w:val="none"/>
              </w:rPr>
            </w:pPr>
            <w:r>
              <w:rPr>
                <w:rFonts w:hint="eastAsia"/>
                <w:color w:val="auto"/>
                <w:sz w:val="24"/>
                <w:szCs w:val="24"/>
                <w:highlight w:val="none"/>
              </w:rPr>
              <w:t>偏差率四舍五入保留至小数点后四位</w:t>
            </w:r>
          </w:p>
        </w:tc>
      </w:tr>
    </w:tbl>
    <w:p w14:paraId="3D8E79A8">
      <w:pPr>
        <w:jc w:val="left"/>
        <w:rPr>
          <w:rFonts w:ascii="宋体" w:hAnsi="宋体" w:cs="宋体"/>
          <w:b/>
          <w:color w:val="auto"/>
          <w:kern w:val="0"/>
          <w:sz w:val="24"/>
          <w:highlight w:val="none"/>
        </w:rPr>
      </w:pPr>
    </w:p>
    <w:p w14:paraId="77D10FAF">
      <w:pPr>
        <w:ind w:left="142"/>
        <w:jc w:val="left"/>
        <w:rPr>
          <w:rFonts w:ascii="宋体" w:hAnsi="宋体" w:cs="宋体"/>
          <w:b/>
          <w:color w:val="auto"/>
          <w:kern w:val="0"/>
          <w:sz w:val="24"/>
          <w:highlight w:val="none"/>
        </w:rPr>
      </w:pPr>
    </w:p>
    <w:p w14:paraId="6E54E774">
      <w:pPr>
        <w:ind w:left="142"/>
        <w:jc w:val="right"/>
        <w:rPr>
          <w:rFonts w:ascii="宋体" w:hAnsi="宋体" w:cs="宋体"/>
          <w:b/>
          <w:color w:val="auto"/>
          <w:kern w:val="0"/>
          <w:sz w:val="24"/>
          <w:highlight w:val="none"/>
        </w:rPr>
      </w:pPr>
      <w:r>
        <w:rPr>
          <w:rFonts w:hint="eastAsia" w:ascii="宋体" w:hAnsi="宋体" w:cs="宋体"/>
          <w:b/>
          <w:color w:val="auto"/>
          <w:kern w:val="0"/>
          <w:sz w:val="24"/>
          <w:highlight w:val="none"/>
        </w:rPr>
        <w:t>续上表</w:t>
      </w:r>
    </w:p>
    <w:tbl>
      <w:tblPr>
        <w:tblStyle w:val="3"/>
        <w:tblW w:w="5040"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
        <w:gridCol w:w="807"/>
        <w:gridCol w:w="267"/>
        <w:gridCol w:w="270"/>
        <w:gridCol w:w="406"/>
        <w:gridCol w:w="1074"/>
        <w:gridCol w:w="1074"/>
        <w:gridCol w:w="677"/>
        <w:gridCol w:w="1074"/>
        <w:gridCol w:w="3501"/>
      </w:tblGrid>
      <w:tr w14:paraId="03FF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501" w:type="pct"/>
            <w:gridSpan w:val="8"/>
            <w:noWrap/>
            <w:vAlign w:val="center"/>
          </w:tcPr>
          <w:p w14:paraId="3C800880">
            <w:pPr>
              <w:spacing w:line="276"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评分因素与权重分值</w:t>
            </w:r>
          </w:p>
        </w:tc>
        <w:tc>
          <w:tcPr>
            <w:tcW w:w="2498" w:type="pct"/>
            <w:gridSpan w:val="2"/>
            <w:vMerge w:val="restart"/>
            <w:noWrap/>
            <w:vAlign w:val="center"/>
          </w:tcPr>
          <w:p w14:paraId="70225FC1">
            <w:pPr>
              <w:spacing w:before="3" w:line="276" w:lineRule="auto"/>
              <w:ind w:left="63" w:leftChars="30" w:right="63" w:rightChars="3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评分标准</w:t>
            </w:r>
          </w:p>
        </w:tc>
      </w:tr>
      <w:tr w14:paraId="7E9B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443" w:type="pct"/>
            <w:gridSpan w:val="2"/>
            <w:noWrap/>
            <w:vAlign w:val="center"/>
          </w:tcPr>
          <w:p w14:paraId="2C9FB242">
            <w:pPr>
              <w:spacing w:line="312" w:lineRule="auto"/>
              <w:jc w:val="center"/>
              <w:rPr>
                <w:rFonts w:eastAsia="Calibri" w:cs="宋体"/>
                <w:b/>
                <w:color w:val="auto"/>
                <w:kern w:val="0"/>
                <w:sz w:val="24"/>
                <w:highlight w:val="none"/>
              </w:rPr>
            </w:pPr>
            <w:r>
              <w:rPr>
                <w:rFonts w:hint="eastAsia" w:eastAsia="Calibri" w:cs="宋体"/>
                <w:b/>
                <w:color w:val="auto"/>
                <w:kern w:val="0"/>
                <w:sz w:val="24"/>
                <w:highlight w:val="none"/>
              </w:rPr>
              <w:t>条款号</w:t>
            </w:r>
          </w:p>
        </w:tc>
        <w:tc>
          <w:tcPr>
            <w:tcW w:w="515" w:type="pct"/>
            <w:gridSpan w:val="3"/>
            <w:noWrap/>
            <w:vAlign w:val="center"/>
          </w:tcPr>
          <w:p w14:paraId="515C68FB">
            <w:pPr>
              <w:spacing w:line="312" w:lineRule="auto"/>
              <w:jc w:val="center"/>
              <w:rPr>
                <w:rFonts w:eastAsia="Calibri" w:cs="宋体"/>
                <w:b/>
                <w:color w:val="auto"/>
                <w:kern w:val="0"/>
                <w:sz w:val="24"/>
                <w:highlight w:val="none"/>
              </w:rPr>
            </w:pPr>
            <w:r>
              <w:rPr>
                <w:rFonts w:hint="eastAsia" w:eastAsia="Calibri" w:cs="宋体"/>
                <w:b/>
                <w:color w:val="auto"/>
                <w:kern w:val="0"/>
                <w:sz w:val="24"/>
                <w:highlight w:val="none"/>
              </w:rPr>
              <w:t>评分因素</w:t>
            </w:r>
          </w:p>
        </w:tc>
        <w:tc>
          <w:tcPr>
            <w:tcW w:w="587" w:type="pct"/>
            <w:noWrap/>
            <w:vAlign w:val="center"/>
          </w:tcPr>
          <w:p w14:paraId="5B67E352">
            <w:pPr>
              <w:spacing w:before="3" w:line="276" w:lineRule="auto"/>
              <w:jc w:val="center"/>
              <w:rPr>
                <w:rFonts w:eastAsia="Calibri" w:cs="宋体"/>
                <w:b/>
                <w:color w:val="auto"/>
                <w:kern w:val="0"/>
                <w:sz w:val="24"/>
                <w:highlight w:val="none"/>
              </w:rPr>
            </w:pPr>
            <w:r>
              <w:rPr>
                <w:rFonts w:hint="eastAsia" w:eastAsia="Calibri" w:cs="宋体"/>
                <w:b/>
                <w:color w:val="auto"/>
                <w:kern w:val="0"/>
                <w:sz w:val="24"/>
                <w:highlight w:val="none"/>
              </w:rPr>
              <w:t>评分因素权重分值</w:t>
            </w:r>
          </w:p>
        </w:tc>
        <w:tc>
          <w:tcPr>
            <w:tcW w:w="587" w:type="pct"/>
            <w:noWrap/>
            <w:vAlign w:val="center"/>
          </w:tcPr>
          <w:p w14:paraId="766832D5">
            <w:pPr>
              <w:spacing w:before="3" w:line="276" w:lineRule="auto"/>
              <w:jc w:val="center"/>
              <w:rPr>
                <w:rFonts w:eastAsia="Calibri" w:cs="宋体"/>
                <w:b/>
                <w:color w:val="auto"/>
                <w:kern w:val="0"/>
                <w:sz w:val="24"/>
                <w:highlight w:val="none"/>
              </w:rPr>
            </w:pPr>
            <w:r>
              <w:rPr>
                <w:rFonts w:hint="eastAsia" w:eastAsia="Calibri" w:cs="宋体"/>
                <w:b/>
                <w:color w:val="auto"/>
                <w:kern w:val="0"/>
                <w:sz w:val="24"/>
                <w:highlight w:val="none"/>
              </w:rPr>
              <w:t>各评分因素细分项</w:t>
            </w:r>
          </w:p>
        </w:tc>
        <w:tc>
          <w:tcPr>
            <w:tcW w:w="369" w:type="pct"/>
            <w:noWrap/>
            <w:vAlign w:val="center"/>
          </w:tcPr>
          <w:p w14:paraId="7734A6A9">
            <w:pPr>
              <w:spacing w:before="3" w:line="276"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分值</w:t>
            </w:r>
          </w:p>
        </w:tc>
        <w:tc>
          <w:tcPr>
            <w:tcW w:w="2498" w:type="pct"/>
            <w:gridSpan w:val="2"/>
            <w:vMerge w:val="continue"/>
            <w:noWrap/>
            <w:vAlign w:val="center"/>
          </w:tcPr>
          <w:p w14:paraId="2F640AA8">
            <w:pPr>
              <w:spacing w:before="3" w:line="276" w:lineRule="auto"/>
              <w:ind w:left="63" w:leftChars="30" w:right="63" w:rightChars="30"/>
              <w:jc w:val="center"/>
              <w:rPr>
                <w:rFonts w:ascii="宋体" w:hAnsi="宋体" w:cs="宋体"/>
                <w:b/>
                <w:bCs/>
                <w:color w:val="auto"/>
                <w:kern w:val="0"/>
                <w:sz w:val="24"/>
                <w:highlight w:val="none"/>
              </w:rPr>
            </w:pPr>
          </w:p>
        </w:tc>
      </w:tr>
      <w:tr w14:paraId="3E14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1" w:hRule="atLeast"/>
        </w:trPr>
        <w:tc>
          <w:tcPr>
            <w:tcW w:w="443" w:type="pct"/>
            <w:gridSpan w:val="2"/>
            <w:vMerge w:val="restart"/>
            <w:noWrap/>
            <w:vAlign w:val="center"/>
          </w:tcPr>
          <w:p w14:paraId="31DEE92E">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2.2.4（1）</w:t>
            </w:r>
          </w:p>
        </w:tc>
        <w:tc>
          <w:tcPr>
            <w:tcW w:w="515" w:type="pct"/>
            <w:gridSpan w:val="3"/>
            <w:vMerge w:val="restart"/>
            <w:noWrap/>
            <w:vAlign w:val="center"/>
          </w:tcPr>
          <w:p w14:paraId="28ADDA11">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技术建议书</w:t>
            </w:r>
          </w:p>
        </w:tc>
        <w:tc>
          <w:tcPr>
            <w:tcW w:w="587" w:type="pct"/>
            <w:vMerge w:val="restart"/>
            <w:noWrap/>
            <w:vAlign w:val="center"/>
          </w:tcPr>
          <w:p w14:paraId="6CC4609B">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30</w:t>
            </w:r>
            <w:r>
              <w:rPr>
                <w:rFonts w:hint="eastAsia" w:ascii="宋体" w:hAnsi="宋体" w:cs="宋体"/>
                <w:color w:val="auto"/>
                <w:kern w:val="0"/>
                <w:sz w:val="24"/>
                <w:highlight w:val="none"/>
              </w:rPr>
              <w:t>分</w:t>
            </w:r>
          </w:p>
        </w:tc>
        <w:tc>
          <w:tcPr>
            <w:tcW w:w="587" w:type="pct"/>
            <w:vMerge w:val="restart"/>
            <w:noWrap/>
            <w:vAlign w:val="center"/>
          </w:tcPr>
          <w:p w14:paraId="7FBE6A51">
            <w:pPr>
              <w:pStyle w:val="6"/>
              <w:spacing w:line="276" w:lineRule="auto"/>
              <w:jc w:val="center"/>
              <w:rPr>
                <w:color w:val="auto"/>
                <w:sz w:val="24"/>
                <w:szCs w:val="24"/>
                <w:highlight w:val="none"/>
              </w:rPr>
            </w:pPr>
            <w:r>
              <w:rPr>
                <w:rFonts w:hint="eastAsia"/>
                <w:color w:val="auto"/>
                <w:sz w:val="24"/>
                <w:szCs w:val="24"/>
                <w:highlight w:val="none"/>
              </w:rPr>
              <w:t>监理大纲 （或监理方案）和措施</w:t>
            </w:r>
          </w:p>
        </w:tc>
        <w:tc>
          <w:tcPr>
            <w:tcW w:w="369" w:type="pct"/>
            <w:vMerge w:val="restart"/>
            <w:noWrap/>
            <w:vAlign w:val="center"/>
          </w:tcPr>
          <w:p w14:paraId="6E7EC3E6">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15</w:t>
            </w:r>
            <w:r>
              <w:rPr>
                <w:rFonts w:hint="eastAsia" w:ascii="宋体" w:hAnsi="宋体" w:cs="宋体"/>
                <w:color w:val="auto"/>
                <w:kern w:val="0"/>
                <w:sz w:val="24"/>
                <w:highlight w:val="none"/>
              </w:rPr>
              <w:t>分</w:t>
            </w:r>
          </w:p>
        </w:tc>
        <w:tc>
          <w:tcPr>
            <w:tcW w:w="586" w:type="pct"/>
            <w:noWrap/>
            <w:vAlign w:val="center"/>
          </w:tcPr>
          <w:p w14:paraId="6E6ED429">
            <w:pPr>
              <w:spacing w:line="276" w:lineRule="auto"/>
              <w:ind w:left="63" w:leftChars="30" w:right="63" w:rightChars="30"/>
              <w:jc w:val="center"/>
              <w:rPr>
                <w:rFonts w:ascii="宋体" w:hAnsi="宋体" w:cs="宋体"/>
                <w:color w:val="auto"/>
                <w:kern w:val="0"/>
                <w:sz w:val="24"/>
                <w:highlight w:val="none"/>
              </w:rPr>
            </w:pPr>
            <w:r>
              <w:rPr>
                <w:rFonts w:hint="eastAsia" w:ascii="宋体" w:hAnsi="宋体" w:cs="宋体"/>
                <w:color w:val="auto"/>
                <w:kern w:val="0"/>
                <w:sz w:val="24"/>
                <w:highlight w:val="none"/>
              </w:rPr>
              <w:t>质量和安全监理</w:t>
            </w:r>
          </w:p>
          <w:p w14:paraId="5F47B9EC">
            <w:pPr>
              <w:spacing w:line="276" w:lineRule="auto"/>
              <w:ind w:left="63" w:leftChars="30" w:right="63" w:rightChars="30"/>
              <w:jc w:val="center"/>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分）</w:t>
            </w:r>
          </w:p>
        </w:tc>
        <w:tc>
          <w:tcPr>
            <w:tcW w:w="1911" w:type="pct"/>
            <w:noWrap/>
            <w:vAlign w:val="center"/>
          </w:tcPr>
          <w:p w14:paraId="5D76CC31">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质量和安全监理目标明确 ，且完全响应广东省施工标准化和安全标准化指南的得</w:t>
            </w:r>
            <w:r>
              <w:rPr>
                <w:rFonts w:hint="eastAsia" w:ascii="宋体" w:hAnsi="宋体" w:cs="宋体"/>
                <w:color w:val="auto"/>
                <w:kern w:val="0"/>
                <w:sz w:val="24"/>
                <w:highlight w:val="none"/>
                <w:u w:val="single"/>
              </w:rPr>
              <w:t>3.0</w:t>
            </w:r>
            <w:r>
              <w:rPr>
                <w:rFonts w:hint="eastAsia" w:ascii="宋体" w:hAnsi="宋体" w:cs="宋体"/>
                <w:color w:val="auto"/>
                <w:kern w:val="0"/>
                <w:sz w:val="24"/>
                <w:highlight w:val="none"/>
              </w:rPr>
              <w:t>分；监理措施具体且有效，对质量和安全问题所采取的对策及预控方法合理可行的，响应广东省施工标准化和安全标准化指南程度，酌情加</w:t>
            </w:r>
            <w:r>
              <w:rPr>
                <w:rFonts w:hint="eastAsia" w:ascii="宋体" w:hAnsi="宋体" w:cs="宋体"/>
                <w:color w:val="auto"/>
                <w:kern w:val="0"/>
                <w:sz w:val="24"/>
                <w:highlight w:val="none"/>
                <w:u w:val="single"/>
              </w:rPr>
              <w:t>0-2.0</w:t>
            </w:r>
            <w:r>
              <w:rPr>
                <w:rFonts w:hint="eastAsia" w:ascii="宋体" w:hAnsi="宋体" w:cs="宋体"/>
                <w:color w:val="auto"/>
                <w:kern w:val="0"/>
                <w:sz w:val="24"/>
                <w:highlight w:val="none"/>
              </w:rPr>
              <w:t>分。</w:t>
            </w:r>
          </w:p>
        </w:tc>
      </w:tr>
      <w:tr w14:paraId="0C45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6" w:hRule="atLeast"/>
        </w:trPr>
        <w:tc>
          <w:tcPr>
            <w:tcW w:w="443" w:type="pct"/>
            <w:gridSpan w:val="2"/>
            <w:vMerge w:val="continue"/>
            <w:noWrap/>
            <w:vAlign w:val="center"/>
          </w:tcPr>
          <w:p w14:paraId="62928137">
            <w:pPr>
              <w:spacing w:line="276" w:lineRule="auto"/>
              <w:jc w:val="center"/>
              <w:rPr>
                <w:rFonts w:ascii="宋体" w:hAnsi="宋体" w:cs="宋体"/>
                <w:color w:val="auto"/>
                <w:kern w:val="0"/>
                <w:sz w:val="24"/>
                <w:highlight w:val="none"/>
              </w:rPr>
            </w:pPr>
          </w:p>
        </w:tc>
        <w:tc>
          <w:tcPr>
            <w:tcW w:w="515" w:type="pct"/>
            <w:gridSpan w:val="3"/>
            <w:vMerge w:val="continue"/>
            <w:noWrap/>
            <w:vAlign w:val="center"/>
          </w:tcPr>
          <w:p w14:paraId="5BAA1F01">
            <w:pPr>
              <w:spacing w:line="276" w:lineRule="auto"/>
              <w:jc w:val="center"/>
              <w:rPr>
                <w:rFonts w:ascii="宋体" w:hAnsi="宋体" w:cs="宋体"/>
                <w:color w:val="auto"/>
                <w:kern w:val="0"/>
                <w:sz w:val="24"/>
                <w:highlight w:val="none"/>
              </w:rPr>
            </w:pPr>
          </w:p>
        </w:tc>
        <w:tc>
          <w:tcPr>
            <w:tcW w:w="587" w:type="pct"/>
            <w:vMerge w:val="continue"/>
            <w:noWrap/>
            <w:vAlign w:val="center"/>
          </w:tcPr>
          <w:p w14:paraId="0183A855">
            <w:pPr>
              <w:spacing w:line="276" w:lineRule="auto"/>
              <w:jc w:val="center"/>
              <w:rPr>
                <w:rFonts w:ascii="宋体" w:hAnsi="宋体" w:cs="宋体"/>
                <w:color w:val="auto"/>
                <w:kern w:val="0"/>
                <w:sz w:val="24"/>
                <w:highlight w:val="none"/>
              </w:rPr>
            </w:pPr>
          </w:p>
        </w:tc>
        <w:tc>
          <w:tcPr>
            <w:tcW w:w="587" w:type="pct"/>
            <w:vMerge w:val="continue"/>
            <w:noWrap/>
            <w:vAlign w:val="center"/>
          </w:tcPr>
          <w:p w14:paraId="166FA745">
            <w:pPr>
              <w:pStyle w:val="6"/>
              <w:spacing w:line="276" w:lineRule="auto"/>
              <w:jc w:val="center"/>
              <w:rPr>
                <w:color w:val="auto"/>
                <w:sz w:val="24"/>
                <w:szCs w:val="24"/>
                <w:highlight w:val="none"/>
              </w:rPr>
            </w:pPr>
          </w:p>
        </w:tc>
        <w:tc>
          <w:tcPr>
            <w:tcW w:w="369" w:type="pct"/>
            <w:vMerge w:val="continue"/>
            <w:noWrap/>
            <w:vAlign w:val="center"/>
          </w:tcPr>
          <w:p w14:paraId="0CF24B60">
            <w:pPr>
              <w:spacing w:line="276" w:lineRule="auto"/>
              <w:jc w:val="center"/>
              <w:rPr>
                <w:rFonts w:ascii="宋体" w:hAnsi="宋体" w:cs="宋体"/>
                <w:color w:val="auto"/>
                <w:kern w:val="0"/>
                <w:sz w:val="24"/>
                <w:highlight w:val="none"/>
              </w:rPr>
            </w:pPr>
          </w:p>
        </w:tc>
        <w:tc>
          <w:tcPr>
            <w:tcW w:w="586" w:type="pct"/>
            <w:noWrap/>
            <w:vAlign w:val="center"/>
          </w:tcPr>
          <w:p w14:paraId="2DEDA71F">
            <w:pPr>
              <w:spacing w:line="276" w:lineRule="auto"/>
              <w:ind w:left="70" w:leftChars="30" w:right="63" w:rightChars="30" w:hanging="7" w:hangingChars="3"/>
              <w:jc w:val="center"/>
              <w:rPr>
                <w:rFonts w:ascii="宋体" w:hAnsi="宋体" w:cs="宋体"/>
                <w:color w:val="auto"/>
                <w:kern w:val="0"/>
                <w:sz w:val="24"/>
                <w:highlight w:val="none"/>
              </w:rPr>
            </w:pPr>
            <w:r>
              <w:rPr>
                <w:rFonts w:hint="eastAsia" w:ascii="宋体" w:hAnsi="宋体" w:cs="宋体"/>
                <w:color w:val="auto"/>
                <w:kern w:val="0"/>
                <w:sz w:val="24"/>
                <w:highlight w:val="none"/>
              </w:rPr>
              <w:t>进度监理（</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分）</w:t>
            </w:r>
          </w:p>
        </w:tc>
        <w:tc>
          <w:tcPr>
            <w:tcW w:w="1911" w:type="pct"/>
            <w:noWrap/>
            <w:vAlign w:val="center"/>
          </w:tcPr>
          <w:p w14:paraId="46D03F48">
            <w:pPr>
              <w:spacing w:line="276" w:lineRule="auto"/>
              <w:ind w:left="70" w:leftChars="30" w:right="63" w:rightChars="30" w:hanging="7" w:hangingChars="3"/>
              <w:rPr>
                <w:rFonts w:ascii="宋体" w:hAnsi="宋体" w:cs="宋体"/>
                <w:color w:val="auto"/>
                <w:kern w:val="0"/>
                <w:sz w:val="24"/>
                <w:highlight w:val="none"/>
              </w:rPr>
            </w:pPr>
            <w:r>
              <w:rPr>
                <w:rFonts w:hint="eastAsia" w:ascii="宋体" w:hAnsi="宋体" w:cs="宋体"/>
                <w:color w:val="auto"/>
                <w:kern w:val="0"/>
                <w:sz w:val="24"/>
                <w:highlight w:val="none"/>
              </w:rPr>
              <w:t>进度监理目标明确并满足招标文件的要求得</w:t>
            </w:r>
            <w:r>
              <w:rPr>
                <w:rFonts w:hint="eastAsia" w:ascii="宋体" w:hAnsi="宋体" w:cs="宋体"/>
                <w:color w:val="auto"/>
                <w:kern w:val="0"/>
                <w:sz w:val="24"/>
                <w:highlight w:val="none"/>
                <w:u w:val="single"/>
              </w:rPr>
              <w:t>3.0</w:t>
            </w:r>
            <w:r>
              <w:rPr>
                <w:rFonts w:hint="eastAsia" w:ascii="宋体" w:hAnsi="宋体" w:cs="宋体"/>
                <w:color w:val="auto"/>
                <w:kern w:val="0"/>
                <w:sz w:val="24"/>
                <w:highlight w:val="none"/>
              </w:rPr>
              <w:t>分；监理措施具体且有效，对保证工期所采取的对策及预控方法合理可行的，酌情加</w:t>
            </w:r>
            <w:r>
              <w:rPr>
                <w:rFonts w:hint="eastAsia" w:ascii="宋体" w:hAnsi="宋体" w:cs="宋体"/>
                <w:color w:val="auto"/>
                <w:kern w:val="0"/>
                <w:sz w:val="24"/>
                <w:highlight w:val="none"/>
                <w:u w:val="single"/>
              </w:rPr>
              <w:t>0-2.0</w:t>
            </w:r>
            <w:r>
              <w:rPr>
                <w:rFonts w:hint="eastAsia" w:ascii="宋体" w:hAnsi="宋体" w:cs="宋体"/>
                <w:color w:val="auto"/>
                <w:kern w:val="0"/>
                <w:sz w:val="24"/>
                <w:highlight w:val="none"/>
              </w:rPr>
              <w:t>分。</w:t>
            </w:r>
          </w:p>
        </w:tc>
      </w:tr>
      <w:tr w14:paraId="2EC7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443" w:type="pct"/>
            <w:gridSpan w:val="2"/>
            <w:vMerge w:val="continue"/>
            <w:noWrap/>
            <w:vAlign w:val="center"/>
          </w:tcPr>
          <w:p w14:paraId="09227952">
            <w:pPr>
              <w:spacing w:line="276" w:lineRule="auto"/>
              <w:jc w:val="center"/>
              <w:rPr>
                <w:rFonts w:ascii="宋体" w:hAnsi="宋体" w:cs="宋体"/>
                <w:color w:val="auto"/>
                <w:kern w:val="0"/>
                <w:sz w:val="24"/>
                <w:highlight w:val="none"/>
              </w:rPr>
            </w:pPr>
          </w:p>
        </w:tc>
        <w:tc>
          <w:tcPr>
            <w:tcW w:w="515" w:type="pct"/>
            <w:gridSpan w:val="3"/>
            <w:vMerge w:val="continue"/>
            <w:noWrap/>
            <w:vAlign w:val="center"/>
          </w:tcPr>
          <w:p w14:paraId="54A6FDDD">
            <w:pPr>
              <w:spacing w:line="276" w:lineRule="auto"/>
              <w:jc w:val="center"/>
              <w:rPr>
                <w:rFonts w:ascii="宋体" w:hAnsi="宋体" w:cs="宋体"/>
                <w:color w:val="auto"/>
                <w:kern w:val="0"/>
                <w:sz w:val="24"/>
                <w:highlight w:val="none"/>
              </w:rPr>
            </w:pPr>
          </w:p>
        </w:tc>
        <w:tc>
          <w:tcPr>
            <w:tcW w:w="587" w:type="pct"/>
            <w:vMerge w:val="continue"/>
            <w:noWrap/>
            <w:vAlign w:val="center"/>
          </w:tcPr>
          <w:p w14:paraId="10D1A7ED">
            <w:pPr>
              <w:spacing w:line="276" w:lineRule="auto"/>
              <w:jc w:val="center"/>
              <w:rPr>
                <w:rFonts w:ascii="宋体" w:hAnsi="宋体" w:cs="宋体"/>
                <w:color w:val="auto"/>
                <w:kern w:val="0"/>
                <w:sz w:val="24"/>
                <w:highlight w:val="none"/>
              </w:rPr>
            </w:pPr>
          </w:p>
        </w:tc>
        <w:tc>
          <w:tcPr>
            <w:tcW w:w="587" w:type="pct"/>
            <w:vMerge w:val="continue"/>
            <w:noWrap/>
            <w:vAlign w:val="center"/>
          </w:tcPr>
          <w:p w14:paraId="11E79E6C">
            <w:pPr>
              <w:pStyle w:val="6"/>
              <w:spacing w:line="276" w:lineRule="auto"/>
              <w:jc w:val="center"/>
              <w:rPr>
                <w:color w:val="auto"/>
                <w:sz w:val="24"/>
                <w:szCs w:val="24"/>
                <w:highlight w:val="none"/>
              </w:rPr>
            </w:pPr>
          </w:p>
        </w:tc>
        <w:tc>
          <w:tcPr>
            <w:tcW w:w="369" w:type="pct"/>
            <w:vMerge w:val="continue"/>
            <w:noWrap/>
            <w:vAlign w:val="center"/>
          </w:tcPr>
          <w:p w14:paraId="64738BF6">
            <w:pPr>
              <w:spacing w:line="276" w:lineRule="auto"/>
              <w:jc w:val="center"/>
              <w:rPr>
                <w:rFonts w:ascii="宋体" w:hAnsi="宋体" w:cs="宋体"/>
                <w:color w:val="auto"/>
                <w:kern w:val="0"/>
                <w:sz w:val="24"/>
                <w:highlight w:val="none"/>
              </w:rPr>
            </w:pPr>
          </w:p>
        </w:tc>
        <w:tc>
          <w:tcPr>
            <w:tcW w:w="586" w:type="pct"/>
            <w:noWrap/>
            <w:vAlign w:val="center"/>
          </w:tcPr>
          <w:p w14:paraId="46F449DE">
            <w:pPr>
              <w:spacing w:line="276" w:lineRule="auto"/>
              <w:ind w:left="70" w:leftChars="30" w:right="63" w:rightChars="30" w:hanging="7" w:hangingChars="3"/>
              <w:jc w:val="center"/>
              <w:rPr>
                <w:rFonts w:ascii="宋体" w:hAnsi="宋体" w:cs="宋体"/>
                <w:color w:val="auto"/>
                <w:kern w:val="0"/>
                <w:sz w:val="24"/>
                <w:highlight w:val="none"/>
              </w:rPr>
            </w:pPr>
            <w:r>
              <w:rPr>
                <w:rFonts w:hint="eastAsia" w:ascii="宋体" w:hAnsi="宋体" w:cs="宋体"/>
                <w:color w:val="auto"/>
                <w:kern w:val="0"/>
                <w:sz w:val="24"/>
                <w:highlight w:val="none"/>
              </w:rPr>
              <w:t>费用和合同监理</w:t>
            </w:r>
          </w:p>
          <w:p w14:paraId="0A10D150">
            <w:pPr>
              <w:spacing w:line="276" w:lineRule="auto"/>
              <w:ind w:left="70" w:leftChars="30" w:right="63" w:rightChars="30" w:hanging="7" w:hangingChars="3"/>
              <w:jc w:val="center"/>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rPr>
              <w:t>分）</w:t>
            </w:r>
          </w:p>
        </w:tc>
        <w:tc>
          <w:tcPr>
            <w:tcW w:w="1911" w:type="pct"/>
            <w:noWrap/>
            <w:vAlign w:val="center"/>
          </w:tcPr>
          <w:p w14:paraId="603C7ECD">
            <w:pPr>
              <w:spacing w:line="276" w:lineRule="auto"/>
              <w:ind w:left="70" w:leftChars="30" w:right="63" w:rightChars="30" w:hanging="7" w:hangingChars="3"/>
              <w:rPr>
                <w:rFonts w:ascii="宋体" w:hAnsi="宋体" w:cs="宋体"/>
                <w:color w:val="auto"/>
                <w:kern w:val="0"/>
                <w:sz w:val="24"/>
                <w:highlight w:val="none"/>
              </w:rPr>
            </w:pPr>
            <w:r>
              <w:rPr>
                <w:rFonts w:hint="eastAsia" w:ascii="宋体" w:hAnsi="宋体" w:cs="宋体"/>
                <w:color w:val="auto"/>
                <w:kern w:val="0"/>
                <w:sz w:val="24"/>
                <w:highlight w:val="none"/>
              </w:rPr>
              <w:t>有工程计量与支付监理方面的具体管理方法和措施具体且有效，有明确的变更管理、预防索赔、减少合同纠纷的管理和控制措施得</w:t>
            </w:r>
            <w:r>
              <w:rPr>
                <w:rFonts w:hint="eastAsia" w:ascii="宋体" w:hAnsi="宋体" w:cs="宋体"/>
                <w:color w:val="auto"/>
                <w:kern w:val="0"/>
                <w:sz w:val="24"/>
                <w:highlight w:val="none"/>
                <w:u w:val="single"/>
              </w:rPr>
              <w:t>1.8</w:t>
            </w:r>
            <w:r>
              <w:rPr>
                <w:rFonts w:hint="eastAsia" w:ascii="宋体" w:hAnsi="宋体" w:cs="宋体"/>
                <w:color w:val="auto"/>
                <w:kern w:val="0"/>
                <w:sz w:val="24"/>
                <w:highlight w:val="none"/>
              </w:rPr>
              <w:t>分；有合理可行的控制超计量支付及提前计量支付的预控方法的，酌情加</w:t>
            </w:r>
            <w:r>
              <w:rPr>
                <w:rFonts w:hint="eastAsia" w:ascii="宋体" w:hAnsi="宋体" w:cs="宋体"/>
                <w:color w:val="auto"/>
                <w:kern w:val="0"/>
                <w:sz w:val="24"/>
                <w:highlight w:val="none"/>
                <w:u w:val="single"/>
              </w:rPr>
              <w:t>0-1.2</w:t>
            </w:r>
            <w:r>
              <w:rPr>
                <w:rFonts w:hint="eastAsia" w:ascii="宋体" w:hAnsi="宋体" w:cs="宋体"/>
                <w:color w:val="auto"/>
                <w:kern w:val="0"/>
                <w:sz w:val="24"/>
                <w:highlight w:val="none"/>
              </w:rPr>
              <w:t>分。</w:t>
            </w:r>
          </w:p>
        </w:tc>
      </w:tr>
      <w:tr w14:paraId="535D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6" w:hRule="atLeast"/>
        </w:trPr>
        <w:tc>
          <w:tcPr>
            <w:tcW w:w="443" w:type="pct"/>
            <w:gridSpan w:val="2"/>
            <w:vMerge w:val="continue"/>
            <w:noWrap/>
            <w:vAlign w:val="center"/>
          </w:tcPr>
          <w:p w14:paraId="7A36EB43">
            <w:pPr>
              <w:spacing w:line="276" w:lineRule="auto"/>
              <w:jc w:val="center"/>
              <w:rPr>
                <w:rFonts w:ascii="宋体" w:hAnsi="宋体" w:cs="宋体"/>
                <w:color w:val="auto"/>
                <w:kern w:val="0"/>
                <w:sz w:val="24"/>
                <w:highlight w:val="none"/>
              </w:rPr>
            </w:pPr>
          </w:p>
        </w:tc>
        <w:tc>
          <w:tcPr>
            <w:tcW w:w="515" w:type="pct"/>
            <w:gridSpan w:val="3"/>
            <w:vMerge w:val="continue"/>
            <w:noWrap/>
            <w:vAlign w:val="center"/>
          </w:tcPr>
          <w:p w14:paraId="2585332A">
            <w:pPr>
              <w:spacing w:line="276" w:lineRule="auto"/>
              <w:jc w:val="center"/>
              <w:rPr>
                <w:rFonts w:ascii="宋体" w:hAnsi="宋体" w:cs="宋体"/>
                <w:color w:val="auto"/>
                <w:kern w:val="0"/>
                <w:sz w:val="24"/>
                <w:highlight w:val="none"/>
              </w:rPr>
            </w:pPr>
          </w:p>
        </w:tc>
        <w:tc>
          <w:tcPr>
            <w:tcW w:w="587" w:type="pct"/>
            <w:vMerge w:val="continue"/>
            <w:noWrap/>
            <w:vAlign w:val="center"/>
          </w:tcPr>
          <w:p w14:paraId="65CD2C7B">
            <w:pPr>
              <w:spacing w:line="276" w:lineRule="auto"/>
              <w:jc w:val="center"/>
              <w:rPr>
                <w:rFonts w:ascii="宋体" w:hAnsi="宋体" w:cs="宋体"/>
                <w:color w:val="auto"/>
                <w:kern w:val="0"/>
                <w:sz w:val="24"/>
                <w:highlight w:val="none"/>
              </w:rPr>
            </w:pPr>
          </w:p>
        </w:tc>
        <w:tc>
          <w:tcPr>
            <w:tcW w:w="587" w:type="pct"/>
            <w:vMerge w:val="continue"/>
            <w:noWrap/>
            <w:vAlign w:val="center"/>
          </w:tcPr>
          <w:p w14:paraId="6E82A591">
            <w:pPr>
              <w:pStyle w:val="6"/>
              <w:spacing w:line="276" w:lineRule="auto"/>
              <w:jc w:val="center"/>
              <w:rPr>
                <w:color w:val="auto"/>
                <w:sz w:val="24"/>
                <w:szCs w:val="24"/>
                <w:highlight w:val="none"/>
              </w:rPr>
            </w:pPr>
          </w:p>
        </w:tc>
        <w:tc>
          <w:tcPr>
            <w:tcW w:w="369" w:type="pct"/>
            <w:vMerge w:val="continue"/>
            <w:noWrap/>
            <w:vAlign w:val="center"/>
          </w:tcPr>
          <w:p w14:paraId="0D227FE7">
            <w:pPr>
              <w:spacing w:line="276" w:lineRule="auto"/>
              <w:jc w:val="center"/>
              <w:rPr>
                <w:rFonts w:ascii="宋体" w:hAnsi="宋体" w:cs="宋体"/>
                <w:color w:val="auto"/>
                <w:kern w:val="0"/>
                <w:sz w:val="24"/>
                <w:highlight w:val="none"/>
              </w:rPr>
            </w:pPr>
          </w:p>
        </w:tc>
        <w:tc>
          <w:tcPr>
            <w:tcW w:w="586" w:type="pct"/>
            <w:noWrap/>
            <w:vAlign w:val="center"/>
          </w:tcPr>
          <w:p w14:paraId="0BA4290C">
            <w:pPr>
              <w:spacing w:line="276" w:lineRule="auto"/>
              <w:ind w:left="63" w:leftChars="30" w:right="63" w:rightChars="30"/>
              <w:jc w:val="center"/>
              <w:rPr>
                <w:rFonts w:ascii="宋体" w:hAnsi="宋体" w:cs="宋体"/>
                <w:color w:val="auto"/>
                <w:kern w:val="0"/>
                <w:sz w:val="24"/>
                <w:highlight w:val="none"/>
              </w:rPr>
            </w:pPr>
            <w:r>
              <w:rPr>
                <w:rFonts w:hint="eastAsia" w:ascii="宋体" w:hAnsi="宋体" w:cs="宋体"/>
                <w:color w:val="auto"/>
                <w:kern w:val="0"/>
                <w:sz w:val="24"/>
                <w:highlight w:val="none"/>
              </w:rPr>
              <w:t>施工环境保护管理（</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rPr>
              <w:t>分）</w:t>
            </w:r>
          </w:p>
        </w:tc>
        <w:tc>
          <w:tcPr>
            <w:tcW w:w="1911" w:type="pct"/>
            <w:noWrap/>
            <w:vAlign w:val="center"/>
          </w:tcPr>
          <w:p w14:paraId="4868F522">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有环保监理措施，且完全响应广东省施工标准化和安全标准化指南的得</w:t>
            </w:r>
            <w:r>
              <w:rPr>
                <w:rFonts w:hint="eastAsia" w:ascii="宋体" w:hAnsi="宋体" w:cs="宋体"/>
                <w:color w:val="auto"/>
                <w:kern w:val="0"/>
                <w:sz w:val="24"/>
                <w:highlight w:val="none"/>
                <w:u w:val="single"/>
              </w:rPr>
              <w:t>1.2</w:t>
            </w:r>
            <w:r>
              <w:rPr>
                <w:rFonts w:hint="eastAsia" w:ascii="宋体" w:hAnsi="宋体" w:cs="宋体"/>
                <w:color w:val="auto"/>
                <w:kern w:val="0"/>
                <w:sz w:val="24"/>
                <w:highlight w:val="none"/>
              </w:rPr>
              <w:t>分；环保监理措施和方法具体且有效的，响应广东省施工标准化和安全标准化指南程度，酌情加</w:t>
            </w:r>
            <w:r>
              <w:rPr>
                <w:rFonts w:hint="eastAsia" w:ascii="宋体" w:hAnsi="宋体" w:cs="宋体"/>
                <w:color w:val="auto"/>
                <w:kern w:val="0"/>
                <w:sz w:val="24"/>
                <w:highlight w:val="none"/>
                <w:u w:val="single"/>
              </w:rPr>
              <w:t>0-0.8</w:t>
            </w:r>
            <w:r>
              <w:rPr>
                <w:rFonts w:hint="eastAsia" w:ascii="宋体" w:hAnsi="宋体" w:cs="宋体"/>
                <w:color w:val="auto"/>
                <w:kern w:val="0"/>
                <w:sz w:val="24"/>
                <w:highlight w:val="none"/>
              </w:rPr>
              <w:t>分。</w:t>
            </w:r>
          </w:p>
        </w:tc>
      </w:tr>
      <w:tr w14:paraId="1037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3" w:hRule="atLeast"/>
        </w:trPr>
        <w:tc>
          <w:tcPr>
            <w:tcW w:w="443" w:type="pct"/>
            <w:gridSpan w:val="2"/>
            <w:vMerge w:val="continue"/>
            <w:noWrap/>
            <w:vAlign w:val="center"/>
          </w:tcPr>
          <w:p w14:paraId="3D3DDD69">
            <w:pPr>
              <w:spacing w:line="276" w:lineRule="auto"/>
              <w:jc w:val="center"/>
              <w:rPr>
                <w:rFonts w:ascii="宋体" w:hAnsi="宋体" w:cs="宋体"/>
                <w:color w:val="auto"/>
                <w:kern w:val="0"/>
                <w:sz w:val="24"/>
                <w:highlight w:val="none"/>
              </w:rPr>
            </w:pPr>
          </w:p>
        </w:tc>
        <w:tc>
          <w:tcPr>
            <w:tcW w:w="515" w:type="pct"/>
            <w:gridSpan w:val="3"/>
            <w:vMerge w:val="continue"/>
            <w:noWrap/>
            <w:vAlign w:val="center"/>
          </w:tcPr>
          <w:p w14:paraId="2DDD936D">
            <w:pPr>
              <w:spacing w:before="3" w:line="276" w:lineRule="auto"/>
              <w:jc w:val="center"/>
              <w:rPr>
                <w:rFonts w:ascii="宋体" w:hAnsi="宋体" w:cs="宋体"/>
                <w:color w:val="auto"/>
                <w:kern w:val="0"/>
                <w:sz w:val="24"/>
                <w:highlight w:val="none"/>
              </w:rPr>
            </w:pPr>
          </w:p>
        </w:tc>
        <w:tc>
          <w:tcPr>
            <w:tcW w:w="587" w:type="pct"/>
            <w:vMerge w:val="continue"/>
            <w:noWrap/>
            <w:vAlign w:val="center"/>
          </w:tcPr>
          <w:p w14:paraId="4679782F">
            <w:pPr>
              <w:spacing w:before="3" w:line="276" w:lineRule="auto"/>
              <w:jc w:val="center"/>
              <w:rPr>
                <w:rFonts w:ascii="宋体" w:hAnsi="宋体" w:cs="宋体"/>
                <w:color w:val="auto"/>
                <w:kern w:val="0"/>
                <w:sz w:val="24"/>
                <w:highlight w:val="none"/>
              </w:rPr>
            </w:pPr>
          </w:p>
        </w:tc>
        <w:tc>
          <w:tcPr>
            <w:tcW w:w="587" w:type="pct"/>
            <w:noWrap/>
            <w:vAlign w:val="center"/>
          </w:tcPr>
          <w:p w14:paraId="029EE618">
            <w:pPr>
              <w:pStyle w:val="6"/>
              <w:spacing w:before="88" w:line="276" w:lineRule="auto"/>
              <w:jc w:val="center"/>
              <w:rPr>
                <w:color w:val="auto"/>
                <w:sz w:val="24"/>
                <w:szCs w:val="24"/>
                <w:highlight w:val="none"/>
              </w:rPr>
            </w:pPr>
            <w:r>
              <w:rPr>
                <w:rFonts w:hint="eastAsia"/>
                <w:color w:val="auto"/>
                <w:sz w:val="24"/>
                <w:szCs w:val="24"/>
                <w:highlight w:val="none"/>
              </w:rPr>
              <w:t>本工程监理工作的重点与难点分析</w:t>
            </w:r>
          </w:p>
        </w:tc>
        <w:tc>
          <w:tcPr>
            <w:tcW w:w="369" w:type="pct"/>
            <w:noWrap/>
            <w:vAlign w:val="center"/>
          </w:tcPr>
          <w:p w14:paraId="60110F62">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分</w:t>
            </w:r>
          </w:p>
        </w:tc>
        <w:tc>
          <w:tcPr>
            <w:tcW w:w="2498" w:type="pct"/>
            <w:gridSpan w:val="2"/>
            <w:noWrap/>
            <w:vAlign w:val="center"/>
          </w:tcPr>
          <w:p w14:paraId="5D6D8F10">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有对工程重点、难点的分析得</w:t>
            </w:r>
            <w:r>
              <w:rPr>
                <w:rFonts w:hint="eastAsia" w:ascii="宋体" w:hAnsi="宋体" w:cs="宋体"/>
                <w:color w:val="auto"/>
                <w:kern w:val="0"/>
                <w:sz w:val="24"/>
                <w:highlight w:val="none"/>
                <w:u w:val="single"/>
              </w:rPr>
              <w:t>6.0</w:t>
            </w:r>
            <w:r>
              <w:rPr>
                <w:rFonts w:hint="eastAsia" w:ascii="宋体" w:hAnsi="宋体" w:cs="宋体"/>
                <w:color w:val="auto"/>
                <w:kern w:val="0"/>
                <w:sz w:val="24"/>
                <w:highlight w:val="none"/>
              </w:rPr>
              <w:t>分，分析准确，且有合理可行的应对措施的，酌情加</w:t>
            </w:r>
            <w:r>
              <w:rPr>
                <w:rFonts w:hint="eastAsia" w:ascii="宋体" w:hAnsi="宋体" w:cs="宋体"/>
                <w:color w:val="auto"/>
                <w:kern w:val="0"/>
                <w:sz w:val="24"/>
                <w:highlight w:val="none"/>
                <w:u w:val="single"/>
              </w:rPr>
              <w:t>0-4.0</w:t>
            </w:r>
            <w:r>
              <w:rPr>
                <w:rFonts w:hint="eastAsia" w:ascii="宋体" w:hAnsi="宋体" w:cs="宋体"/>
                <w:color w:val="auto"/>
                <w:kern w:val="0"/>
                <w:sz w:val="24"/>
                <w:highlight w:val="none"/>
              </w:rPr>
              <w:t>分。</w:t>
            </w:r>
          </w:p>
        </w:tc>
      </w:tr>
      <w:tr w14:paraId="1345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trPr>
        <w:tc>
          <w:tcPr>
            <w:tcW w:w="443" w:type="pct"/>
            <w:gridSpan w:val="2"/>
            <w:vMerge w:val="continue"/>
            <w:noWrap/>
            <w:vAlign w:val="center"/>
          </w:tcPr>
          <w:p w14:paraId="477402D4">
            <w:pPr>
              <w:spacing w:before="3" w:line="276" w:lineRule="auto"/>
              <w:jc w:val="center"/>
              <w:rPr>
                <w:rFonts w:ascii="宋体" w:hAnsi="宋体" w:cs="宋体"/>
                <w:color w:val="auto"/>
                <w:kern w:val="0"/>
                <w:sz w:val="24"/>
                <w:highlight w:val="none"/>
              </w:rPr>
            </w:pPr>
          </w:p>
        </w:tc>
        <w:tc>
          <w:tcPr>
            <w:tcW w:w="515" w:type="pct"/>
            <w:gridSpan w:val="3"/>
            <w:vMerge w:val="continue"/>
            <w:noWrap/>
            <w:vAlign w:val="center"/>
          </w:tcPr>
          <w:p w14:paraId="3B9532E1">
            <w:pPr>
              <w:spacing w:before="3" w:line="276" w:lineRule="auto"/>
              <w:jc w:val="center"/>
              <w:rPr>
                <w:rFonts w:ascii="宋体" w:hAnsi="宋体" w:cs="宋体"/>
                <w:color w:val="auto"/>
                <w:kern w:val="0"/>
                <w:sz w:val="24"/>
                <w:highlight w:val="none"/>
              </w:rPr>
            </w:pPr>
          </w:p>
        </w:tc>
        <w:tc>
          <w:tcPr>
            <w:tcW w:w="587" w:type="pct"/>
            <w:vMerge w:val="continue"/>
            <w:noWrap/>
            <w:vAlign w:val="center"/>
          </w:tcPr>
          <w:p w14:paraId="061986E5">
            <w:pPr>
              <w:spacing w:before="3" w:line="276" w:lineRule="auto"/>
              <w:jc w:val="center"/>
              <w:rPr>
                <w:rFonts w:ascii="宋体" w:hAnsi="宋体" w:cs="宋体"/>
                <w:color w:val="auto"/>
                <w:kern w:val="0"/>
                <w:sz w:val="24"/>
                <w:highlight w:val="none"/>
              </w:rPr>
            </w:pPr>
          </w:p>
        </w:tc>
        <w:tc>
          <w:tcPr>
            <w:tcW w:w="587" w:type="pct"/>
            <w:noWrap/>
            <w:vAlign w:val="center"/>
          </w:tcPr>
          <w:p w14:paraId="349059CB">
            <w:pPr>
              <w:pStyle w:val="6"/>
              <w:spacing w:before="88" w:line="276" w:lineRule="auto"/>
              <w:jc w:val="center"/>
              <w:rPr>
                <w:color w:val="auto"/>
                <w:sz w:val="24"/>
                <w:szCs w:val="24"/>
                <w:highlight w:val="none"/>
              </w:rPr>
            </w:pPr>
            <w:r>
              <w:rPr>
                <w:rFonts w:hint="eastAsia"/>
                <w:color w:val="auto"/>
                <w:sz w:val="24"/>
                <w:szCs w:val="24"/>
                <w:highlight w:val="none"/>
              </w:rPr>
              <w:t>对本工程的建议</w:t>
            </w:r>
          </w:p>
        </w:tc>
        <w:tc>
          <w:tcPr>
            <w:tcW w:w="369" w:type="pct"/>
            <w:noWrap/>
            <w:vAlign w:val="center"/>
          </w:tcPr>
          <w:p w14:paraId="3C89993B">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分</w:t>
            </w:r>
          </w:p>
        </w:tc>
        <w:tc>
          <w:tcPr>
            <w:tcW w:w="2498" w:type="pct"/>
            <w:gridSpan w:val="2"/>
            <w:noWrap/>
            <w:vAlign w:val="center"/>
          </w:tcPr>
          <w:p w14:paraId="7EB74887">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有对本工程的建议得</w:t>
            </w:r>
            <w:r>
              <w:rPr>
                <w:rFonts w:hint="eastAsia" w:ascii="宋体" w:hAnsi="宋体" w:cs="宋体"/>
                <w:color w:val="auto"/>
                <w:kern w:val="0"/>
                <w:sz w:val="24"/>
                <w:highlight w:val="none"/>
                <w:u w:val="single"/>
              </w:rPr>
              <w:t>3.0</w:t>
            </w:r>
            <w:r>
              <w:rPr>
                <w:rFonts w:hint="eastAsia" w:ascii="宋体" w:hAnsi="宋体" w:cs="宋体"/>
                <w:color w:val="auto"/>
                <w:kern w:val="0"/>
                <w:sz w:val="24"/>
                <w:highlight w:val="none"/>
              </w:rPr>
              <w:t>分，对管理模式、工程质量、进度、投资控制、合同管理等方面均提出合理可行的建议的，酌情加</w:t>
            </w:r>
            <w:r>
              <w:rPr>
                <w:rFonts w:hint="eastAsia" w:ascii="宋体" w:hAnsi="宋体" w:cs="宋体"/>
                <w:color w:val="auto"/>
                <w:kern w:val="0"/>
                <w:sz w:val="24"/>
                <w:highlight w:val="none"/>
                <w:u w:val="single"/>
              </w:rPr>
              <w:t>0-2.0</w:t>
            </w:r>
            <w:r>
              <w:rPr>
                <w:rFonts w:hint="eastAsia" w:ascii="宋体" w:hAnsi="宋体" w:cs="宋体"/>
                <w:color w:val="auto"/>
                <w:kern w:val="0"/>
                <w:sz w:val="24"/>
                <w:highlight w:val="none"/>
              </w:rPr>
              <w:t>分。</w:t>
            </w:r>
          </w:p>
        </w:tc>
      </w:tr>
      <w:tr w14:paraId="242F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443" w:type="pct"/>
            <w:gridSpan w:val="2"/>
            <w:noWrap/>
            <w:vAlign w:val="center"/>
          </w:tcPr>
          <w:p w14:paraId="437E4A08">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2.2.4（2）</w:t>
            </w:r>
          </w:p>
        </w:tc>
        <w:tc>
          <w:tcPr>
            <w:tcW w:w="515" w:type="pct"/>
            <w:gridSpan w:val="3"/>
            <w:noWrap/>
            <w:vAlign w:val="center"/>
          </w:tcPr>
          <w:p w14:paraId="36251368">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主要人员</w:t>
            </w:r>
          </w:p>
        </w:tc>
        <w:tc>
          <w:tcPr>
            <w:tcW w:w="587" w:type="pct"/>
            <w:noWrap/>
            <w:vAlign w:val="center"/>
          </w:tcPr>
          <w:p w14:paraId="0C9821DD">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25</w:t>
            </w:r>
            <w:r>
              <w:rPr>
                <w:rFonts w:hint="eastAsia" w:ascii="宋体" w:hAnsi="宋体" w:cs="宋体"/>
                <w:color w:val="auto"/>
                <w:kern w:val="0"/>
                <w:sz w:val="24"/>
                <w:highlight w:val="none"/>
              </w:rPr>
              <w:t>分</w:t>
            </w:r>
          </w:p>
        </w:tc>
        <w:tc>
          <w:tcPr>
            <w:tcW w:w="587" w:type="pct"/>
            <w:noWrap/>
            <w:vAlign w:val="center"/>
          </w:tcPr>
          <w:p w14:paraId="16FAD0F6">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总监理工程师任职资格与业绩</w:t>
            </w:r>
          </w:p>
        </w:tc>
        <w:tc>
          <w:tcPr>
            <w:tcW w:w="369" w:type="pct"/>
            <w:noWrap/>
            <w:vAlign w:val="center"/>
          </w:tcPr>
          <w:p w14:paraId="49FABC53">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25</w:t>
            </w:r>
            <w:r>
              <w:rPr>
                <w:rFonts w:hint="eastAsia" w:ascii="宋体" w:hAnsi="宋体" w:cs="宋体"/>
                <w:color w:val="auto"/>
                <w:kern w:val="0"/>
                <w:sz w:val="24"/>
                <w:highlight w:val="none"/>
              </w:rPr>
              <w:t>分</w:t>
            </w:r>
          </w:p>
        </w:tc>
        <w:tc>
          <w:tcPr>
            <w:tcW w:w="2498" w:type="pct"/>
            <w:gridSpan w:val="2"/>
            <w:noWrap/>
            <w:vAlign w:val="center"/>
          </w:tcPr>
          <w:p w14:paraId="46736A55">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总监理工程师符合资格审查要求的，得</w:t>
            </w:r>
            <w:r>
              <w:rPr>
                <w:rFonts w:hint="eastAsia" w:ascii="宋体" w:hAnsi="宋体" w:cs="宋体"/>
                <w:color w:val="auto"/>
                <w:kern w:val="0"/>
                <w:sz w:val="24"/>
                <w:highlight w:val="none"/>
                <w:u w:val="single"/>
              </w:rPr>
              <w:t>25</w:t>
            </w:r>
            <w:r>
              <w:rPr>
                <w:rFonts w:hint="eastAsia" w:ascii="宋体" w:hAnsi="宋体" w:cs="宋体"/>
                <w:color w:val="auto"/>
                <w:kern w:val="0"/>
                <w:sz w:val="24"/>
                <w:highlight w:val="none"/>
              </w:rPr>
              <w:t>分。</w:t>
            </w:r>
          </w:p>
        </w:tc>
      </w:tr>
      <w:tr w14:paraId="2FD9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2" w:hRule="atLeast"/>
        </w:trPr>
        <w:tc>
          <w:tcPr>
            <w:tcW w:w="443" w:type="pct"/>
            <w:gridSpan w:val="2"/>
            <w:noWrap/>
            <w:vAlign w:val="center"/>
          </w:tcPr>
          <w:p w14:paraId="3A69A9AF">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2.2.4</w:t>
            </w:r>
          </w:p>
          <w:p w14:paraId="0FB4EF5A">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515" w:type="pct"/>
            <w:gridSpan w:val="3"/>
            <w:noWrap/>
            <w:vAlign w:val="center"/>
          </w:tcPr>
          <w:p w14:paraId="4445F3F3">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评标价</w:t>
            </w:r>
          </w:p>
        </w:tc>
        <w:tc>
          <w:tcPr>
            <w:tcW w:w="587" w:type="pct"/>
            <w:noWrap/>
            <w:vAlign w:val="center"/>
          </w:tcPr>
          <w:p w14:paraId="503DD639">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分</w:t>
            </w:r>
          </w:p>
        </w:tc>
        <w:tc>
          <w:tcPr>
            <w:tcW w:w="3454" w:type="pct"/>
            <w:gridSpan w:val="4"/>
            <w:noWrap/>
            <w:vAlign w:val="center"/>
          </w:tcPr>
          <w:p w14:paraId="7F82D413">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评标价得分计算公式示例：</w:t>
            </w:r>
          </w:p>
          <w:p w14:paraId="71A31502">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(1)如果投标人的评标价&gt;评标基准价，则评标价得分＝F－偏差率×100× E1；</w:t>
            </w:r>
          </w:p>
          <w:p w14:paraId="30D3076E">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(2)如果投标人的评标价≤评标基准价，则评标价得分＝F＋偏差率×100× E2。</w:t>
            </w:r>
          </w:p>
          <w:p w14:paraId="14851033">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其中：F=10，一般原则上E1=1.0，E2=0.5，评标价得分保留小数点后四位，第五位四舍五入。</w:t>
            </w:r>
          </w:p>
        </w:tc>
      </w:tr>
      <w:tr w14:paraId="1C64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3" w:hRule="atLeast"/>
        </w:trPr>
        <w:tc>
          <w:tcPr>
            <w:tcW w:w="443" w:type="pct"/>
            <w:gridSpan w:val="2"/>
            <w:vMerge w:val="restart"/>
            <w:noWrap/>
            <w:vAlign w:val="center"/>
          </w:tcPr>
          <w:p w14:paraId="0BC5178A">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2.2.4（4）</w:t>
            </w:r>
          </w:p>
          <w:p w14:paraId="00AA620F">
            <w:pPr>
              <w:spacing w:before="3" w:line="276" w:lineRule="auto"/>
              <w:jc w:val="center"/>
              <w:rPr>
                <w:rFonts w:ascii="宋体" w:hAnsi="宋体" w:cs="宋体"/>
                <w:color w:val="auto"/>
                <w:kern w:val="0"/>
                <w:sz w:val="24"/>
                <w:highlight w:val="none"/>
              </w:rPr>
            </w:pPr>
          </w:p>
        </w:tc>
        <w:tc>
          <w:tcPr>
            <w:tcW w:w="293" w:type="pct"/>
            <w:gridSpan w:val="2"/>
            <w:vMerge w:val="restart"/>
            <w:noWrap/>
            <w:vAlign w:val="center"/>
          </w:tcPr>
          <w:p w14:paraId="1C74C478">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其他因素</w:t>
            </w:r>
          </w:p>
          <w:p w14:paraId="14977841">
            <w:pPr>
              <w:spacing w:before="3" w:line="276" w:lineRule="auto"/>
              <w:jc w:val="center"/>
              <w:rPr>
                <w:rFonts w:ascii="宋体" w:hAnsi="宋体" w:cs="宋体"/>
                <w:color w:val="auto"/>
                <w:kern w:val="0"/>
                <w:sz w:val="24"/>
                <w:highlight w:val="none"/>
              </w:rPr>
            </w:pPr>
          </w:p>
        </w:tc>
        <w:tc>
          <w:tcPr>
            <w:tcW w:w="221" w:type="pct"/>
            <w:noWrap/>
            <w:vAlign w:val="center"/>
          </w:tcPr>
          <w:p w14:paraId="33447FA3">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技术能力</w:t>
            </w:r>
          </w:p>
        </w:tc>
        <w:tc>
          <w:tcPr>
            <w:tcW w:w="587" w:type="pct"/>
            <w:noWrap/>
            <w:vAlign w:val="center"/>
          </w:tcPr>
          <w:p w14:paraId="1A51C378">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0</w:t>
            </w:r>
            <w:r>
              <w:rPr>
                <w:rFonts w:hint="eastAsia" w:ascii="宋体" w:hAnsi="宋体" w:cs="宋体"/>
                <w:color w:val="auto"/>
                <w:kern w:val="0"/>
                <w:sz w:val="24"/>
                <w:highlight w:val="none"/>
              </w:rPr>
              <w:t>分</w:t>
            </w:r>
          </w:p>
        </w:tc>
        <w:tc>
          <w:tcPr>
            <w:tcW w:w="587" w:type="pct"/>
            <w:noWrap/>
            <w:vAlign w:val="center"/>
          </w:tcPr>
          <w:p w14:paraId="3D1C8F63">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科研开发和技术创新</w:t>
            </w:r>
          </w:p>
        </w:tc>
        <w:tc>
          <w:tcPr>
            <w:tcW w:w="369" w:type="pct"/>
            <w:noWrap/>
            <w:vAlign w:val="center"/>
          </w:tcPr>
          <w:p w14:paraId="592D3417">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0</w:t>
            </w:r>
            <w:r>
              <w:rPr>
                <w:rFonts w:hint="eastAsia" w:ascii="宋体" w:hAnsi="宋体" w:cs="宋体"/>
                <w:color w:val="auto"/>
                <w:kern w:val="0"/>
                <w:sz w:val="24"/>
                <w:highlight w:val="none"/>
              </w:rPr>
              <w:t>分</w:t>
            </w:r>
          </w:p>
        </w:tc>
        <w:tc>
          <w:tcPr>
            <w:tcW w:w="2498" w:type="pct"/>
            <w:gridSpan w:val="2"/>
            <w:noWrap/>
            <w:vAlign w:val="center"/>
          </w:tcPr>
          <w:p w14:paraId="50937434">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（1）投标人获得与公路工程有关的国家级工法、专利（发明专利或实用新型专利）、国家级科学技术进步奖、主编或参编过国家标准、鲁班奖、詹天佑奖、国家优质工程奖，每项加</w:t>
            </w:r>
            <w:r>
              <w:rPr>
                <w:rFonts w:hint="eastAsia" w:ascii="宋体" w:hAnsi="宋体" w:cs="宋体"/>
                <w:color w:val="auto"/>
                <w:kern w:val="0"/>
                <w:sz w:val="24"/>
                <w:highlight w:val="none"/>
                <w:u w:val="single"/>
              </w:rPr>
              <w:t>0</w:t>
            </w:r>
            <w:r>
              <w:rPr>
                <w:rFonts w:hint="eastAsia" w:ascii="宋体" w:hAnsi="宋体" w:cs="宋体"/>
                <w:color w:val="auto"/>
                <w:kern w:val="0"/>
                <w:sz w:val="24"/>
                <w:highlight w:val="none"/>
              </w:rPr>
              <w:t>分；</w:t>
            </w:r>
          </w:p>
          <w:p w14:paraId="24533D5E">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（2）投标人获得省级科学技术进步奖、主编或参编过的行业或地方标准，每项加</w:t>
            </w:r>
            <w:r>
              <w:rPr>
                <w:rFonts w:hint="eastAsia" w:ascii="宋体" w:hAnsi="宋体" w:cs="宋体"/>
                <w:color w:val="auto"/>
                <w:kern w:val="0"/>
                <w:sz w:val="24"/>
                <w:highlight w:val="none"/>
                <w:u w:val="single"/>
              </w:rPr>
              <w:t>0</w:t>
            </w:r>
            <w:r>
              <w:rPr>
                <w:rFonts w:hint="eastAsia" w:ascii="宋体" w:hAnsi="宋体" w:cs="宋体"/>
                <w:color w:val="auto"/>
                <w:kern w:val="0"/>
                <w:sz w:val="24"/>
                <w:highlight w:val="none"/>
              </w:rPr>
              <w:t>分；</w:t>
            </w:r>
          </w:p>
          <w:p w14:paraId="080F1608">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（3）本项累计加分最高</w:t>
            </w:r>
            <w:r>
              <w:rPr>
                <w:rFonts w:hint="eastAsia" w:ascii="宋体" w:hAnsi="宋体" w:cs="宋体"/>
                <w:color w:val="auto"/>
                <w:kern w:val="0"/>
                <w:sz w:val="24"/>
                <w:highlight w:val="none"/>
                <w:u w:val="single"/>
              </w:rPr>
              <w:t>0</w:t>
            </w:r>
            <w:r>
              <w:rPr>
                <w:rFonts w:hint="eastAsia" w:ascii="宋体" w:hAnsi="宋体" w:cs="宋体"/>
                <w:color w:val="auto"/>
                <w:kern w:val="0"/>
                <w:sz w:val="24"/>
                <w:highlight w:val="none"/>
              </w:rPr>
              <w:t>分。</w:t>
            </w:r>
          </w:p>
          <w:p w14:paraId="723E3907">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注：提供相关证明材料复印件加盖公章，否则不得分。同一事项，获得多个奖励或专利或标准的，不重复加分，按较高分只计一次。</w:t>
            </w:r>
          </w:p>
        </w:tc>
      </w:tr>
      <w:tr w14:paraId="26AB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443" w:type="pct"/>
            <w:gridSpan w:val="2"/>
            <w:vMerge w:val="continue"/>
            <w:noWrap/>
            <w:vAlign w:val="center"/>
          </w:tcPr>
          <w:p w14:paraId="00019339">
            <w:pPr>
              <w:spacing w:before="3" w:line="276" w:lineRule="auto"/>
              <w:jc w:val="center"/>
              <w:rPr>
                <w:rFonts w:ascii="宋体" w:hAnsi="宋体" w:cs="宋体"/>
                <w:color w:val="auto"/>
                <w:kern w:val="0"/>
                <w:sz w:val="24"/>
                <w:highlight w:val="none"/>
              </w:rPr>
            </w:pPr>
          </w:p>
        </w:tc>
        <w:tc>
          <w:tcPr>
            <w:tcW w:w="293" w:type="pct"/>
            <w:gridSpan w:val="2"/>
            <w:vMerge w:val="continue"/>
            <w:noWrap/>
            <w:vAlign w:val="center"/>
          </w:tcPr>
          <w:p w14:paraId="61335E04">
            <w:pPr>
              <w:spacing w:before="3" w:line="276" w:lineRule="auto"/>
              <w:jc w:val="center"/>
              <w:rPr>
                <w:rFonts w:ascii="宋体" w:hAnsi="宋体" w:cs="宋体"/>
                <w:color w:val="auto"/>
                <w:kern w:val="0"/>
                <w:sz w:val="24"/>
                <w:highlight w:val="none"/>
              </w:rPr>
            </w:pPr>
          </w:p>
        </w:tc>
        <w:tc>
          <w:tcPr>
            <w:tcW w:w="221" w:type="pct"/>
            <w:vMerge w:val="restart"/>
            <w:noWrap/>
            <w:vAlign w:val="center"/>
          </w:tcPr>
          <w:p w14:paraId="7D4F1CC4">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业绩</w:t>
            </w:r>
          </w:p>
        </w:tc>
        <w:tc>
          <w:tcPr>
            <w:tcW w:w="587" w:type="pct"/>
            <w:vMerge w:val="restart"/>
            <w:noWrap/>
            <w:vAlign w:val="center"/>
          </w:tcPr>
          <w:p w14:paraId="3D71991A">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25</w:t>
            </w:r>
            <w:r>
              <w:rPr>
                <w:rFonts w:hint="eastAsia" w:ascii="宋体" w:hAnsi="宋体" w:cs="宋体"/>
                <w:color w:val="auto"/>
                <w:kern w:val="0"/>
                <w:sz w:val="24"/>
                <w:highlight w:val="none"/>
              </w:rPr>
              <w:t>分</w:t>
            </w:r>
          </w:p>
        </w:tc>
        <w:tc>
          <w:tcPr>
            <w:tcW w:w="587" w:type="pct"/>
            <w:noWrap/>
            <w:vAlign w:val="center"/>
          </w:tcPr>
          <w:p w14:paraId="2596B215">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基本要求</w:t>
            </w:r>
          </w:p>
        </w:tc>
        <w:tc>
          <w:tcPr>
            <w:tcW w:w="369" w:type="pct"/>
            <w:noWrap/>
            <w:vAlign w:val="center"/>
          </w:tcPr>
          <w:p w14:paraId="119F0F48">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15</w:t>
            </w:r>
            <w:r>
              <w:rPr>
                <w:rFonts w:hint="eastAsia" w:ascii="宋体" w:hAnsi="宋体" w:cs="宋体"/>
                <w:color w:val="auto"/>
                <w:kern w:val="0"/>
                <w:sz w:val="24"/>
                <w:highlight w:val="none"/>
              </w:rPr>
              <w:t>分</w:t>
            </w:r>
          </w:p>
        </w:tc>
        <w:tc>
          <w:tcPr>
            <w:tcW w:w="2498" w:type="pct"/>
            <w:gridSpan w:val="2"/>
            <w:noWrap/>
            <w:vAlign w:val="center"/>
          </w:tcPr>
          <w:p w14:paraId="26D5AE28">
            <w:pPr>
              <w:spacing w:before="3"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满足招标文件附录2业绩最低要求的得</w:t>
            </w:r>
            <w:r>
              <w:rPr>
                <w:rFonts w:hint="eastAsia" w:ascii="宋体" w:hAnsi="宋体" w:cs="宋体"/>
                <w:color w:val="auto"/>
                <w:kern w:val="0"/>
                <w:sz w:val="24"/>
                <w:highlight w:val="none"/>
                <w:u w:val="single"/>
              </w:rPr>
              <w:t>15</w:t>
            </w:r>
            <w:r>
              <w:rPr>
                <w:rFonts w:hint="eastAsia" w:ascii="宋体" w:hAnsi="宋体" w:cs="宋体"/>
                <w:color w:val="auto"/>
                <w:kern w:val="0"/>
                <w:sz w:val="24"/>
                <w:highlight w:val="none"/>
              </w:rPr>
              <w:t>分。</w:t>
            </w:r>
          </w:p>
        </w:tc>
      </w:tr>
      <w:tr w14:paraId="4CB8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trPr>
        <w:tc>
          <w:tcPr>
            <w:tcW w:w="443" w:type="pct"/>
            <w:gridSpan w:val="2"/>
            <w:vMerge w:val="continue"/>
            <w:noWrap/>
            <w:vAlign w:val="center"/>
          </w:tcPr>
          <w:p w14:paraId="586DAB30">
            <w:pPr>
              <w:spacing w:before="3" w:line="276" w:lineRule="auto"/>
              <w:jc w:val="center"/>
              <w:rPr>
                <w:rFonts w:ascii="宋体" w:hAnsi="宋体" w:cs="宋体"/>
                <w:color w:val="auto"/>
                <w:kern w:val="0"/>
                <w:sz w:val="24"/>
                <w:highlight w:val="none"/>
              </w:rPr>
            </w:pPr>
          </w:p>
        </w:tc>
        <w:tc>
          <w:tcPr>
            <w:tcW w:w="293" w:type="pct"/>
            <w:gridSpan w:val="2"/>
            <w:vMerge w:val="continue"/>
            <w:noWrap/>
            <w:vAlign w:val="center"/>
          </w:tcPr>
          <w:p w14:paraId="5F88872A">
            <w:pPr>
              <w:spacing w:before="3" w:line="276" w:lineRule="auto"/>
              <w:jc w:val="center"/>
              <w:rPr>
                <w:rFonts w:ascii="宋体" w:hAnsi="宋体" w:cs="宋体"/>
                <w:color w:val="auto"/>
                <w:kern w:val="0"/>
                <w:sz w:val="24"/>
                <w:highlight w:val="none"/>
              </w:rPr>
            </w:pPr>
          </w:p>
        </w:tc>
        <w:tc>
          <w:tcPr>
            <w:tcW w:w="221" w:type="pct"/>
            <w:vMerge w:val="continue"/>
            <w:noWrap/>
            <w:vAlign w:val="center"/>
          </w:tcPr>
          <w:p w14:paraId="70326B65">
            <w:pPr>
              <w:spacing w:before="3" w:line="276" w:lineRule="auto"/>
              <w:jc w:val="center"/>
              <w:rPr>
                <w:rFonts w:ascii="宋体" w:hAnsi="宋体" w:cs="宋体"/>
                <w:color w:val="auto"/>
                <w:kern w:val="0"/>
                <w:sz w:val="24"/>
                <w:highlight w:val="none"/>
              </w:rPr>
            </w:pPr>
          </w:p>
        </w:tc>
        <w:tc>
          <w:tcPr>
            <w:tcW w:w="587" w:type="pct"/>
            <w:vMerge w:val="continue"/>
            <w:noWrap/>
            <w:vAlign w:val="center"/>
          </w:tcPr>
          <w:p w14:paraId="6D204B42">
            <w:pPr>
              <w:spacing w:before="3" w:line="276" w:lineRule="auto"/>
              <w:jc w:val="center"/>
              <w:rPr>
                <w:rFonts w:ascii="宋体" w:hAnsi="宋体" w:cs="宋体"/>
                <w:color w:val="auto"/>
                <w:kern w:val="0"/>
                <w:sz w:val="24"/>
                <w:highlight w:val="none"/>
              </w:rPr>
            </w:pPr>
          </w:p>
        </w:tc>
        <w:tc>
          <w:tcPr>
            <w:tcW w:w="587" w:type="pct"/>
            <w:noWrap/>
            <w:vAlign w:val="center"/>
          </w:tcPr>
          <w:p w14:paraId="66A6857F">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业绩加分</w:t>
            </w:r>
          </w:p>
        </w:tc>
        <w:tc>
          <w:tcPr>
            <w:tcW w:w="369" w:type="pct"/>
            <w:noWrap/>
            <w:vAlign w:val="center"/>
          </w:tcPr>
          <w:p w14:paraId="7B9B75EA">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分</w:t>
            </w:r>
          </w:p>
        </w:tc>
        <w:tc>
          <w:tcPr>
            <w:tcW w:w="2498" w:type="pct"/>
            <w:gridSpan w:val="2"/>
            <w:noWrap/>
            <w:vAlign w:val="center"/>
          </w:tcPr>
          <w:p w14:paraId="49B28DF5">
            <w:pPr>
              <w:spacing w:before="3" w:line="276" w:lineRule="auto"/>
              <w:ind w:left="63" w:leftChars="30" w:right="63" w:rightChars="30"/>
              <w:rPr>
                <w:rFonts w:hint="eastAsia" w:ascii="宋体" w:hAnsi="宋体" w:cs="宋体"/>
                <w:color w:val="auto"/>
                <w:kern w:val="0"/>
                <w:sz w:val="24"/>
                <w:highlight w:val="none"/>
              </w:rPr>
            </w:pPr>
            <w:r>
              <w:rPr>
                <w:rFonts w:hint="eastAsia" w:ascii="宋体" w:hAnsi="宋体" w:cs="宋体"/>
                <w:color w:val="auto"/>
                <w:kern w:val="0"/>
                <w:sz w:val="24"/>
                <w:highlight w:val="none"/>
              </w:rPr>
              <w:t>自2019年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月1日以来，在完成满足资格</w:t>
            </w:r>
          </w:p>
          <w:p w14:paraId="5C5F4EDF">
            <w:pPr>
              <w:spacing w:before="3"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审查业绩最低要求的基础上，每增加</w:t>
            </w:r>
            <w:r>
              <w:rPr>
                <w:rFonts w:hint="eastAsia" w:ascii="宋体" w:hAnsi="宋体" w:cs="宋体"/>
                <w:color w:val="auto"/>
                <w:kern w:val="0"/>
                <w:sz w:val="24"/>
                <w:highlight w:val="none"/>
                <w:lang w:val="en-US" w:eastAsia="zh-CN"/>
              </w:rPr>
              <w:t>1项</w:t>
            </w:r>
            <w:r>
              <w:rPr>
                <w:rFonts w:hint="eastAsia" w:ascii="宋体" w:hAnsi="宋体" w:cs="宋体"/>
                <w:color w:val="auto"/>
                <w:kern w:val="0"/>
                <w:sz w:val="24"/>
                <w:highlight w:val="none"/>
              </w:rPr>
              <w:t>类似工程施工监理任务，加5分，最多加10分。</w:t>
            </w:r>
          </w:p>
        </w:tc>
      </w:tr>
      <w:tr w14:paraId="5D24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6" w:hRule="atLeast"/>
        </w:trPr>
        <w:tc>
          <w:tcPr>
            <w:tcW w:w="443" w:type="pct"/>
            <w:gridSpan w:val="2"/>
            <w:vMerge w:val="continue"/>
            <w:noWrap/>
            <w:vAlign w:val="center"/>
          </w:tcPr>
          <w:p w14:paraId="40887EB5">
            <w:pPr>
              <w:spacing w:before="3" w:line="276" w:lineRule="auto"/>
              <w:jc w:val="center"/>
              <w:rPr>
                <w:rFonts w:ascii="宋体" w:hAnsi="宋体" w:cs="宋体"/>
                <w:color w:val="auto"/>
                <w:kern w:val="0"/>
                <w:sz w:val="24"/>
                <w:highlight w:val="none"/>
              </w:rPr>
            </w:pPr>
          </w:p>
        </w:tc>
        <w:tc>
          <w:tcPr>
            <w:tcW w:w="293" w:type="pct"/>
            <w:gridSpan w:val="2"/>
            <w:vMerge w:val="continue"/>
            <w:noWrap/>
            <w:vAlign w:val="center"/>
          </w:tcPr>
          <w:p w14:paraId="15E72011">
            <w:pPr>
              <w:spacing w:before="3" w:line="276" w:lineRule="auto"/>
              <w:jc w:val="center"/>
              <w:rPr>
                <w:rFonts w:ascii="宋体" w:hAnsi="宋体" w:cs="宋体"/>
                <w:color w:val="auto"/>
                <w:kern w:val="0"/>
                <w:sz w:val="24"/>
                <w:highlight w:val="none"/>
              </w:rPr>
            </w:pPr>
          </w:p>
        </w:tc>
        <w:tc>
          <w:tcPr>
            <w:tcW w:w="221" w:type="pct"/>
            <w:noWrap/>
            <w:vAlign w:val="center"/>
          </w:tcPr>
          <w:p w14:paraId="080A9A59">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履约信誉</w:t>
            </w:r>
          </w:p>
        </w:tc>
        <w:tc>
          <w:tcPr>
            <w:tcW w:w="587" w:type="pct"/>
            <w:noWrap/>
            <w:vAlign w:val="center"/>
          </w:tcPr>
          <w:p w14:paraId="75862DDD">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分</w:t>
            </w:r>
          </w:p>
        </w:tc>
        <w:tc>
          <w:tcPr>
            <w:tcW w:w="587" w:type="pct"/>
            <w:noWrap/>
            <w:vAlign w:val="center"/>
          </w:tcPr>
          <w:p w14:paraId="79FA8200">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履约信誉</w:t>
            </w:r>
          </w:p>
        </w:tc>
        <w:tc>
          <w:tcPr>
            <w:tcW w:w="369" w:type="pct"/>
            <w:noWrap/>
            <w:vAlign w:val="center"/>
          </w:tcPr>
          <w:p w14:paraId="378AE30D">
            <w:pPr>
              <w:spacing w:before="3"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分</w:t>
            </w:r>
          </w:p>
        </w:tc>
        <w:tc>
          <w:tcPr>
            <w:tcW w:w="2498" w:type="pct"/>
            <w:gridSpan w:val="2"/>
            <w:noWrap/>
            <w:vAlign w:val="center"/>
          </w:tcPr>
          <w:p w14:paraId="2D7AF0D9">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1、信用等级分值（5分）</w:t>
            </w:r>
          </w:p>
          <w:p w14:paraId="0EFA380C">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AA、A、B、C级单位的信用等级分得分分别为5.00、4.75、4.45、3.65分。</w:t>
            </w:r>
          </w:p>
          <w:p w14:paraId="131B9B54">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注：信用等级的确定原则遵循投标人须知前附表10.2款的规定。</w:t>
            </w:r>
          </w:p>
          <w:p w14:paraId="6FE6A6BD">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2、履约情况（5分）</w:t>
            </w:r>
          </w:p>
          <w:p w14:paraId="58966A75">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若没出现下述情形得满分；</w:t>
            </w:r>
          </w:p>
          <w:p w14:paraId="4CBB0D96">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投标文件递交截止日前1年内，投标人因公路工程（含附属设施）质量、安全、履约或招标投标问题等原因被：</w:t>
            </w:r>
          </w:p>
          <w:p w14:paraId="09D88D36">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（1）交通运输部行政处罚的，扣5分/次。</w:t>
            </w:r>
          </w:p>
          <w:p w14:paraId="5E72EA4C">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（2）广东省交通运输厅行政处罚的，扣3 分/次。</w:t>
            </w:r>
          </w:p>
          <w:p w14:paraId="4556106B">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（3）项目所在地地级以上市交通运输局行政处罚的，扣1.5分/次。</w:t>
            </w:r>
          </w:p>
          <w:p w14:paraId="0E59DEC9">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）广东省交通运输厅正式约谈的，扣0.1分</w:t>
            </w:r>
            <w:r>
              <w:rPr>
                <w:rFonts w:ascii="宋体" w:hAnsi="宋体" w:cs="宋体"/>
                <w:color w:val="auto"/>
                <w:kern w:val="0"/>
                <w:sz w:val="24"/>
                <w:highlight w:val="none"/>
              </w:rPr>
              <w:t>/</w:t>
            </w:r>
            <w:r>
              <w:rPr>
                <w:rFonts w:hint="eastAsia" w:ascii="宋体" w:hAnsi="宋体" w:cs="宋体"/>
                <w:color w:val="auto"/>
                <w:kern w:val="0"/>
                <w:sz w:val="24"/>
                <w:highlight w:val="none"/>
              </w:rPr>
              <w:t>次。</w:t>
            </w:r>
          </w:p>
          <w:p w14:paraId="4E182EB6">
            <w:pPr>
              <w:spacing w:line="276" w:lineRule="auto"/>
              <w:ind w:left="63" w:leftChars="30" w:right="63" w:rightChars="30"/>
              <w:rPr>
                <w:rFonts w:ascii="宋体" w:hAnsi="宋体" w:cs="宋体"/>
                <w:color w:val="auto"/>
                <w:kern w:val="0"/>
                <w:sz w:val="24"/>
                <w:highlight w:val="none"/>
              </w:rPr>
            </w:pPr>
            <w:r>
              <w:rPr>
                <w:rFonts w:hint="eastAsia" w:ascii="宋体" w:hAnsi="宋体" w:cs="宋体"/>
                <w:color w:val="auto"/>
                <w:kern w:val="0"/>
                <w:sz w:val="24"/>
                <w:highlight w:val="none"/>
              </w:rPr>
              <w:t>注：同一事项同时被多个部门行政处罚或正式约谈只按最高的扣分计算1次。如果扣完本项分值，可以从总分中扣。</w:t>
            </w:r>
          </w:p>
        </w:tc>
      </w:tr>
      <w:tr w14:paraId="6180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400" w:hRule="atLeast"/>
        </w:trPr>
        <w:tc>
          <w:tcPr>
            <w:tcW w:w="4997" w:type="pct"/>
            <w:gridSpan w:val="9"/>
            <w:noWrap w:val="0"/>
            <w:vAlign w:val="top"/>
          </w:tcPr>
          <w:p w14:paraId="3B492A67">
            <w:pPr>
              <w:spacing w:line="380" w:lineRule="atLeast"/>
              <w:jc w:val="left"/>
              <w:rPr>
                <w:rFonts w:ascii="宋体" w:hAnsi="宋体" w:cs="宋体"/>
                <w:b/>
                <w:color w:val="auto"/>
                <w:kern w:val="0"/>
                <w:sz w:val="22"/>
                <w:szCs w:val="21"/>
                <w:highlight w:val="none"/>
              </w:rPr>
            </w:pPr>
            <w:r>
              <w:rPr>
                <w:rFonts w:ascii="宋体" w:hAnsi="宋体" w:cs="宋体"/>
                <w:b/>
                <w:color w:val="auto"/>
                <w:kern w:val="0"/>
                <w:sz w:val="22"/>
                <w:szCs w:val="21"/>
                <w:highlight w:val="none"/>
              </w:rPr>
              <w:t>需要补充的其他内容</w:t>
            </w:r>
          </w:p>
        </w:tc>
      </w:tr>
      <w:tr w14:paraId="7EE6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400" w:hRule="atLeast"/>
        </w:trPr>
        <w:tc>
          <w:tcPr>
            <w:tcW w:w="586" w:type="pct"/>
            <w:gridSpan w:val="2"/>
            <w:noWrap w:val="0"/>
            <w:vAlign w:val="center"/>
          </w:tcPr>
          <w:p w14:paraId="4F148EC4">
            <w:pPr>
              <w:pStyle w:val="7"/>
              <w:spacing w:line="276" w:lineRule="auto"/>
              <w:jc w:val="center"/>
              <w:rPr>
                <w:rFonts w:ascii="宋体" w:hAnsi="宋体" w:eastAsia="宋体"/>
                <w:color w:val="auto"/>
                <w:highlight w:val="none"/>
              </w:rPr>
            </w:pPr>
            <w:r>
              <w:rPr>
                <w:rFonts w:hint="eastAsia" w:ascii="宋体" w:hAnsi="宋体" w:eastAsia="宋体"/>
                <w:color w:val="auto"/>
                <w:highlight w:val="none"/>
              </w:rPr>
              <w:t>条款号</w:t>
            </w:r>
          </w:p>
        </w:tc>
        <w:tc>
          <w:tcPr>
            <w:tcW w:w="4410" w:type="pct"/>
            <w:gridSpan w:val="7"/>
            <w:noWrap w:val="0"/>
            <w:vAlign w:val="center"/>
          </w:tcPr>
          <w:p w14:paraId="4C951FD1">
            <w:pPr>
              <w:pStyle w:val="7"/>
              <w:spacing w:line="276" w:lineRule="auto"/>
              <w:jc w:val="center"/>
              <w:rPr>
                <w:rFonts w:ascii="宋体" w:hAnsi="宋体" w:eastAsia="宋体"/>
                <w:color w:val="auto"/>
                <w:highlight w:val="none"/>
              </w:rPr>
            </w:pPr>
            <w:r>
              <w:rPr>
                <w:rFonts w:hint="eastAsia" w:ascii="宋体" w:hAnsi="宋体" w:eastAsia="宋体"/>
                <w:color w:val="auto"/>
                <w:highlight w:val="none"/>
              </w:rPr>
              <w:t>补充或修改的内容</w:t>
            </w:r>
          </w:p>
        </w:tc>
      </w:tr>
      <w:tr w14:paraId="183A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510" w:hRule="atLeast"/>
        </w:trPr>
        <w:tc>
          <w:tcPr>
            <w:tcW w:w="586" w:type="pct"/>
            <w:gridSpan w:val="2"/>
            <w:noWrap w:val="0"/>
            <w:vAlign w:val="center"/>
          </w:tcPr>
          <w:p w14:paraId="59B9699B">
            <w:pPr>
              <w:spacing w:line="276" w:lineRule="auto"/>
              <w:jc w:val="center"/>
              <w:rPr>
                <w:rFonts w:ascii="宋体" w:hAnsi="宋体" w:cs="宋体"/>
                <w:color w:val="auto"/>
                <w:kern w:val="0"/>
                <w:sz w:val="24"/>
                <w:highlight w:val="none"/>
              </w:rPr>
            </w:pPr>
          </w:p>
          <w:p w14:paraId="63D57AA8">
            <w:pPr>
              <w:spacing w:line="276" w:lineRule="auto"/>
              <w:jc w:val="center"/>
              <w:rPr>
                <w:rFonts w:ascii="宋体" w:hAnsi="宋体" w:cs="宋体"/>
                <w:color w:val="auto"/>
                <w:kern w:val="0"/>
                <w:sz w:val="24"/>
                <w:highlight w:val="none"/>
              </w:rPr>
            </w:pPr>
          </w:p>
          <w:p w14:paraId="47C3438E">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4410" w:type="pct"/>
            <w:gridSpan w:val="7"/>
            <w:noWrap w:val="0"/>
            <w:vAlign w:val="top"/>
          </w:tcPr>
          <w:p w14:paraId="1C3F8DA9">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1.1 评标方法</w:t>
            </w:r>
          </w:p>
          <w:p w14:paraId="33AEEDEB">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本次评标采用双信封的综合评估法。评标委员会对满足招标文件实质性要求的投标文件，按照本章第</w:t>
            </w:r>
            <w:r>
              <w:rPr>
                <w:rFonts w:ascii="宋体" w:hAnsi="宋体" w:cs="宋体"/>
                <w:color w:val="auto"/>
                <w:kern w:val="0"/>
                <w:sz w:val="24"/>
                <w:highlight w:val="none"/>
              </w:rPr>
              <w:t xml:space="preserve"> 2.2 款规定的评分标准进行打分，并按得分由高到低顺序推荐中标候选人，但投标报价低于其成本的除外。综合评分相等时，评标委员会应按照评标办法前附表规定的优先次序推荐中标候选人或确定中标人。</w:t>
            </w:r>
          </w:p>
          <w:p w14:paraId="004377C1">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1.2评标组织</w:t>
            </w:r>
          </w:p>
          <w:p w14:paraId="11E7DC9A">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1.2.1  协助工作组</w:t>
            </w:r>
          </w:p>
          <w:p w14:paraId="73C5A55E">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招标人可在评标工作开始前成立协助工作组，选派熟悉招标工作、政治素质高的人员组成，协助评标委员会工作。协助工作组人员的具体数量由招标人视评标工作量确定。</w:t>
            </w:r>
          </w:p>
          <w:p w14:paraId="1C44ED66">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招标人可以协助评标委员会开展下列工作并提供相关信息：</w:t>
            </w:r>
          </w:p>
          <w:p w14:paraId="689ED418">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1）根据招标文件，编制评标使用的相应表格；</w:t>
            </w:r>
          </w:p>
          <w:p w14:paraId="3DDF1E2A">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2）对投标报价进行算术性校核；</w:t>
            </w:r>
          </w:p>
          <w:p w14:paraId="2E11064D">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3）以评标标准和方法为依据，列出投标文件相对于招标文件的所有偏差， 并进行归类汇总；</w:t>
            </w:r>
          </w:p>
          <w:p w14:paraId="2A99A699">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4）查询公路建设市场信用信息管理系统，对投标人的资质、业绩、主要人员资历和目前在岗情况、信用等级进行核实（如有）。</w:t>
            </w:r>
          </w:p>
          <w:p w14:paraId="6B3D44ED">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招标人不得对投标文件作出任何评价，不得故意遗漏或者片面摘录，不得在评标委员会对所有偏差定性之前透露存有偏差的投标人名称。</w:t>
            </w:r>
          </w:p>
          <w:p w14:paraId="444BDF85">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1.2.2  评标委员会</w:t>
            </w:r>
          </w:p>
          <w:p w14:paraId="47D8277A">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评标委员会由招标人按国家、广东省等的有关规定依法组建。评标委员人数参见本招标文件“投标人须知前附表第</w:t>
            </w:r>
            <w:r>
              <w:rPr>
                <w:rFonts w:ascii="宋体" w:hAnsi="宋体" w:cs="宋体"/>
                <w:color w:val="auto"/>
                <w:kern w:val="0"/>
                <w:sz w:val="24"/>
                <w:highlight w:val="none"/>
              </w:rPr>
              <w:t xml:space="preserve"> 6.1.1 款。评标委员会的主要工作内容包括：</w:t>
            </w:r>
          </w:p>
          <w:p w14:paraId="2D2F6C31">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1）评标委员会开始评标工作之前，首先听取招标人、协助工作组关于工程情况和辅助工作的说明，并认真研读招标文件，获取评标所需的重要信息和数据；</w:t>
            </w:r>
          </w:p>
          <w:p w14:paraId="6DABC6EA">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2）对协助工作组提供的评标工作用表和评标内容进行核查。</w:t>
            </w:r>
          </w:p>
          <w:p w14:paraId="5FCD3FD4">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3）按照以下 1.3 款程序进行各项评审工作。</w:t>
            </w:r>
          </w:p>
          <w:p w14:paraId="7F8190F5">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1.3评审工作程序</w:t>
            </w:r>
          </w:p>
          <w:p w14:paraId="00406910">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（一）第一信封（商务及技术文件）：</w:t>
            </w:r>
          </w:p>
          <w:p w14:paraId="038AF0DA">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l、初步评审：包括形式评审与响应性评审、资格评审；</w:t>
            </w:r>
          </w:p>
          <w:p w14:paraId="5DC76996">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2、详细评审（评审打分）：评标委员会首先对通过初步评审的投标文件第一</w:t>
            </w:r>
            <w:r>
              <w:rPr>
                <w:rFonts w:hint="eastAsia" w:ascii="宋体" w:hAnsi="宋体" w:cs="宋体"/>
                <w:color w:val="auto"/>
                <w:kern w:val="0"/>
                <w:sz w:val="24"/>
                <w:highlight w:val="none"/>
              </w:rPr>
              <w:t>个信封（商务及技术文件）进行详细评审，对投标人的监理实施方案、主要人员、其他因素等分别评审打分。</w:t>
            </w:r>
          </w:p>
          <w:p w14:paraId="3C142318">
            <w:pPr>
              <w:spacing w:line="276" w:lineRule="auto"/>
              <w:ind w:left="30" w:right="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（二）第二信封（报价文件）：</w:t>
            </w:r>
          </w:p>
          <w:p w14:paraId="7F0D4135">
            <w:pPr>
              <w:spacing w:line="276" w:lineRule="auto"/>
              <w:ind w:left="30" w:right="30" w:firstLine="480" w:firstLineChars="200"/>
              <w:rPr>
                <w:rFonts w:ascii="宋体" w:hAnsi="宋体" w:cs="宋体"/>
                <w:color w:val="auto"/>
                <w:kern w:val="0"/>
                <w:sz w:val="24"/>
                <w:highlight w:val="none"/>
              </w:rPr>
            </w:pPr>
            <w:r>
              <w:rPr>
                <w:rFonts w:ascii="宋体" w:hAnsi="宋体" w:cs="宋体"/>
                <w:color w:val="auto"/>
                <w:kern w:val="0"/>
                <w:sz w:val="24"/>
                <w:highlight w:val="none"/>
              </w:rPr>
              <w:t>1、初步评审：</w:t>
            </w:r>
          </w:p>
          <w:p w14:paraId="0291C494">
            <w:pPr>
              <w:spacing w:line="276" w:lineRule="auto"/>
              <w:ind w:left="30" w:right="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1）只有投标文件第一个信封通过详细评审的投标人才能继续参加第二信封报价文件的形式评审与响应性评审；</w:t>
            </w:r>
          </w:p>
          <w:p w14:paraId="0C6278B0">
            <w:pPr>
              <w:spacing w:line="276" w:lineRule="auto"/>
              <w:ind w:left="30" w:right="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2）报价算术性修正；</w:t>
            </w:r>
          </w:p>
          <w:p w14:paraId="21FED4FE">
            <w:pPr>
              <w:spacing w:line="276" w:lineRule="auto"/>
              <w:ind w:left="30" w:right="30" w:firstLine="480" w:firstLineChars="200"/>
              <w:rPr>
                <w:rFonts w:ascii="宋体" w:hAnsi="宋体" w:cs="宋体"/>
                <w:color w:val="auto"/>
                <w:kern w:val="0"/>
                <w:sz w:val="24"/>
                <w:highlight w:val="none"/>
              </w:rPr>
            </w:pPr>
            <w:r>
              <w:rPr>
                <w:rFonts w:ascii="宋体" w:hAnsi="宋体" w:cs="宋体"/>
                <w:color w:val="auto"/>
                <w:kern w:val="0"/>
                <w:sz w:val="24"/>
                <w:highlight w:val="none"/>
              </w:rPr>
              <w:t>2、详细评审：计算评标基准价、评标价得分及综合得分；</w:t>
            </w:r>
          </w:p>
          <w:p w14:paraId="22C19794">
            <w:pPr>
              <w:spacing w:line="276" w:lineRule="auto"/>
              <w:ind w:left="30" w:right="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（三）投标文件相关信息的核查。</w:t>
            </w:r>
          </w:p>
          <w:p w14:paraId="581F8BEE">
            <w:pPr>
              <w:spacing w:line="276" w:lineRule="auto"/>
              <w:ind w:left="30" w:right="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w:t>
            </w:r>
            <w:r>
              <w:rPr>
                <w:rFonts w:ascii="宋体" w:hAnsi="宋体" w:cs="宋体"/>
                <w:color w:val="auto"/>
                <w:kern w:val="0"/>
                <w:sz w:val="24"/>
                <w:highlight w:val="none"/>
              </w:rPr>
              <w:t>投标文件的澄清和说明(如有)</w:t>
            </w:r>
          </w:p>
          <w:p w14:paraId="76CEB119">
            <w:pPr>
              <w:spacing w:line="276" w:lineRule="auto"/>
              <w:ind w:left="30" w:right="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（五）按评标办法规定推荐中标候选人，编写评标报告。</w:t>
            </w:r>
          </w:p>
        </w:tc>
      </w:tr>
      <w:tr w14:paraId="2883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510" w:hRule="atLeast"/>
        </w:trPr>
        <w:tc>
          <w:tcPr>
            <w:tcW w:w="586" w:type="pct"/>
            <w:gridSpan w:val="2"/>
            <w:noWrap w:val="0"/>
            <w:vAlign w:val="center"/>
          </w:tcPr>
          <w:p w14:paraId="771560E3">
            <w:pPr>
              <w:spacing w:line="276" w:lineRule="auto"/>
              <w:jc w:val="center"/>
              <w:rPr>
                <w:rFonts w:ascii="宋体" w:hAnsi="宋体" w:cs="宋体"/>
                <w:color w:val="auto"/>
                <w:kern w:val="0"/>
                <w:sz w:val="24"/>
                <w:highlight w:val="none"/>
              </w:rPr>
            </w:pPr>
            <w:r>
              <w:rPr>
                <w:rFonts w:ascii="宋体" w:hAnsi="宋体" w:cs="宋体"/>
                <w:color w:val="auto"/>
                <w:kern w:val="0"/>
                <w:sz w:val="24"/>
                <w:highlight w:val="none"/>
              </w:rPr>
              <w:t>3.2.2</w:t>
            </w:r>
          </w:p>
        </w:tc>
        <w:tc>
          <w:tcPr>
            <w:tcW w:w="4410" w:type="pct"/>
            <w:gridSpan w:val="7"/>
            <w:noWrap w:val="0"/>
            <w:vAlign w:val="top"/>
          </w:tcPr>
          <w:p w14:paraId="4A2AA8C1">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原</w:t>
            </w:r>
            <w:r>
              <w:rPr>
                <w:rFonts w:ascii="宋体" w:hAnsi="宋体" w:cs="宋体"/>
                <w:color w:val="auto"/>
                <w:kern w:val="0"/>
                <w:sz w:val="24"/>
                <w:highlight w:val="none"/>
              </w:rPr>
              <w:t xml:space="preserve"> 3.2.2 条款补充细化如下：</w:t>
            </w:r>
          </w:p>
          <w:p w14:paraId="5AC67C6D">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评标委员会在第一个信封详细评审时，各评分因素（主要人员、技术能力</w:t>
            </w:r>
          </w:p>
          <w:p w14:paraId="0C4069BB">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（如有）、履约信誉除外）得分一般不得低于该权重分值的</w:t>
            </w:r>
            <w:r>
              <w:rPr>
                <w:rFonts w:ascii="宋体" w:hAnsi="宋体" w:cs="宋体"/>
                <w:color w:val="auto"/>
                <w:kern w:val="0"/>
                <w:sz w:val="24"/>
                <w:highlight w:val="none"/>
              </w:rPr>
              <w:t xml:space="preserve"> 60%，评标委员会成员对某一项评分因素的评分低于权重值 60%的，应当在评标报告中作出说明。</w:t>
            </w:r>
          </w:p>
          <w:p w14:paraId="396F6399">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商务评分（主要人员、其他因素）得分应以评标委员会各成员的算术平均值确定。</w:t>
            </w:r>
          </w:p>
          <w:p w14:paraId="0F58609C">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评标委员会人数为</w:t>
            </w:r>
            <w:r>
              <w:rPr>
                <w:rFonts w:ascii="宋体" w:hAnsi="宋体" w:cs="宋体"/>
                <w:color w:val="auto"/>
                <w:kern w:val="0"/>
                <w:sz w:val="24"/>
                <w:highlight w:val="none"/>
              </w:rPr>
              <w:t>7人时，计算投标人技术得分时:各评分因素细分项中取消一个最高、一个最低分后计算算术平均值的和为投标人的最终技术得分，平均值计算保留小数点后三位，小数点后第四位“四舍五入”。</w:t>
            </w:r>
          </w:p>
          <w:p w14:paraId="342E9227">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投标人的商务得分保留至小数点后两位，小数点后第三位“四舍五入”。</w:t>
            </w:r>
          </w:p>
        </w:tc>
      </w:tr>
      <w:tr w14:paraId="07DB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510" w:hRule="atLeast"/>
        </w:trPr>
        <w:tc>
          <w:tcPr>
            <w:tcW w:w="586" w:type="pct"/>
            <w:gridSpan w:val="2"/>
            <w:noWrap w:val="0"/>
            <w:vAlign w:val="center"/>
          </w:tcPr>
          <w:p w14:paraId="34D8C7BD">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3.6.1</w:t>
            </w:r>
          </w:p>
        </w:tc>
        <w:tc>
          <w:tcPr>
            <w:tcW w:w="4410" w:type="pct"/>
            <w:gridSpan w:val="7"/>
            <w:noWrap w:val="0"/>
            <w:vAlign w:val="top"/>
          </w:tcPr>
          <w:p w14:paraId="22C4C924">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3.6.1 项（2）目末增加以下条款：</w:t>
            </w:r>
          </w:p>
          <w:p w14:paraId="33D8461D">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g.广东省实施《中华人民共和国招标投标法》办法第十六条规定的情形。</w:t>
            </w:r>
          </w:p>
        </w:tc>
      </w:tr>
      <w:tr w14:paraId="2247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510" w:hRule="atLeast"/>
        </w:trPr>
        <w:tc>
          <w:tcPr>
            <w:tcW w:w="586" w:type="pct"/>
            <w:gridSpan w:val="2"/>
            <w:noWrap w:val="0"/>
            <w:vAlign w:val="center"/>
          </w:tcPr>
          <w:p w14:paraId="4EA85E0D">
            <w:pPr>
              <w:spacing w:line="276" w:lineRule="auto"/>
              <w:jc w:val="center"/>
              <w:rPr>
                <w:rFonts w:ascii="宋体" w:hAnsi="宋体" w:cs="宋体"/>
                <w:color w:val="auto"/>
                <w:kern w:val="0"/>
                <w:sz w:val="24"/>
                <w:highlight w:val="none"/>
              </w:rPr>
            </w:pPr>
            <w:r>
              <w:rPr>
                <w:rFonts w:ascii="宋体" w:hAnsi="宋体" w:cs="宋体"/>
                <w:color w:val="auto"/>
                <w:kern w:val="0"/>
                <w:sz w:val="24"/>
                <w:highlight w:val="none"/>
              </w:rPr>
              <w:t>3.6.3</w:t>
            </w:r>
          </w:p>
        </w:tc>
        <w:tc>
          <w:tcPr>
            <w:tcW w:w="4410" w:type="pct"/>
            <w:gridSpan w:val="7"/>
            <w:noWrap w:val="0"/>
            <w:vAlign w:val="top"/>
          </w:tcPr>
          <w:p w14:paraId="268CF902">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增加</w:t>
            </w:r>
            <w:r>
              <w:rPr>
                <w:rFonts w:ascii="宋体" w:hAnsi="宋体" w:cs="宋体"/>
                <w:color w:val="auto"/>
                <w:kern w:val="0"/>
                <w:sz w:val="24"/>
                <w:highlight w:val="none"/>
              </w:rPr>
              <w:t xml:space="preserve"> 3.6.3 项：</w:t>
            </w:r>
          </w:p>
          <w:p w14:paraId="2D0A103C">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w:t>
            </w:r>
          </w:p>
          <w:p w14:paraId="6B77FFAF">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为由行政监督部门依法处理。</w:t>
            </w:r>
          </w:p>
        </w:tc>
      </w:tr>
      <w:tr w14:paraId="4C28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416" w:hRule="atLeast"/>
        </w:trPr>
        <w:tc>
          <w:tcPr>
            <w:tcW w:w="586" w:type="pct"/>
            <w:gridSpan w:val="2"/>
            <w:noWrap w:val="0"/>
            <w:vAlign w:val="center"/>
          </w:tcPr>
          <w:p w14:paraId="6B6ECD59">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3.9</w:t>
            </w:r>
          </w:p>
        </w:tc>
        <w:tc>
          <w:tcPr>
            <w:tcW w:w="4410" w:type="pct"/>
            <w:gridSpan w:val="7"/>
            <w:noWrap w:val="0"/>
            <w:vAlign w:val="top"/>
          </w:tcPr>
          <w:p w14:paraId="749A8A88">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增加</w:t>
            </w:r>
            <w:r>
              <w:rPr>
                <w:rFonts w:ascii="宋体" w:hAnsi="宋体" w:cs="宋体"/>
                <w:color w:val="auto"/>
                <w:kern w:val="0"/>
                <w:sz w:val="24"/>
                <w:highlight w:val="none"/>
              </w:rPr>
              <w:t xml:space="preserve"> 3.9.3、3.9.4、3.9.5、3.9.6、3.6.7 条款后增加：</w:t>
            </w:r>
          </w:p>
          <w:p w14:paraId="365D3500">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3.9.3  推荐中标候选人方式：按各合同段最高投标限价高低顺序依次选定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14:paraId="0FC8A6EE">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3.9.4  通过第一个信封商务和技术文件评审的投标人少于 3 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14:paraId="4EA56F08">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3.9.5  通过第一个信封商务和技术文件评审的投标人在 3 个及以上的，招标人应当按照招标文件规定的程序进行第二个信封报价文件开标；在对报价文件进行评审后，有效投标不足 3 个的，评标委员会可以否决全部投标。未否决全部投标的，评标委员会应当在评标报告中阐明理由并推荐中标候选人。</w:t>
            </w:r>
          </w:p>
          <w:p w14:paraId="6F0AAFA4">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3.9.6  如果发生无法确定推荐中标候选人的其它意外情况，评标委员会可建议招标人重新招标。</w:t>
            </w:r>
          </w:p>
          <w:p w14:paraId="3E8D09D6">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3.9.7  本招标文件规定的否决投标条款包含在以下条款：</w:t>
            </w:r>
          </w:p>
          <w:p w14:paraId="5FA26F94">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1）招标公告第 3 点 投标人资格要求；</w:t>
            </w:r>
          </w:p>
          <w:p w14:paraId="3529EC1F">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ascii="宋体" w:hAnsi="宋体" w:cs="宋体"/>
                <w:color w:val="auto"/>
                <w:kern w:val="0"/>
                <w:sz w:val="24"/>
                <w:highlight w:val="none"/>
                <w:u w:val="single"/>
              </w:rPr>
              <w:t>投标人须知 1.4.3 项、1.4.4 项、1.4.5 项、1.12 项、3.4 项、3.5项；</w:t>
            </w:r>
          </w:p>
          <w:p w14:paraId="354803C5">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3）本评标办法的否决条款。</w:t>
            </w:r>
          </w:p>
          <w:p w14:paraId="2F7CC37A">
            <w:pPr>
              <w:spacing w:line="276" w:lineRule="auto"/>
              <w:ind w:left="63" w:leftChars="30" w:right="63" w:rightChars="30" w:firstLine="480" w:firstLineChars="200"/>
              <w:rPr>
                <w:rFonts w:ascii="宋体" w:hAnsi="宋体" w:cs="宋体"/>
                <w:color w:val="auto"/>
                <w:kern w:val="0"/>
                <w:sz w:val="24"/>
                <w:highlight w:val="none"/>
              </w:rPr>
            </w:pPr>
          </w:p>
          <w:p w14:paraId="3E057250">
            <w:pPr>
              <w:spacing w:line="276" w:lineRule="auto"/>
              <w:ind w:right="63" w:rightChars="30"/>
              <w:rPr>
                <w:rFonts w:ascii="宋体" w:hAnsi="宋体" w:cs="宋体"/>
                <w:b/>
                <w:color w:val="auto"/>
                <w:kern w:val="0"/>
                <w:sz w:val="24"/>
                <w:highlight w:val="none"/>
              </w:rPr>
            </w:pPr>
            <w:r>
              <w:rPr>
                <w:rFonts w:hint="eastAsia" w:ascii="宋体" w:hAnsi="宋体" w:cs="宋体"/>
                <w:b/>
                <w:color w:val="auto"/>
                <w:kern w:val="0"/>
                <w:sz w:val="24"/>
                <w:highlight w:val="none"/>
              </w:rPr>
              <w:t>附：</w:t>
            </w:r>
            <w:r>
              <w:rPr>
                <w:rFonts w:ascii="宋体" w:hAnsi="宋体" w:cs="宋体"/>
                <w:b/>
                <w:color w:val="auto"/>
                <w:kern w:val="0"/>
                <w:sz w:val="24"/>
                <w:highlight w:val="none"/>
              </w:rPr>
              <w:t>投标人须知 1.4.3 项、1.4.4 项、1.4.5 项、1.12 项、3.4 项、3.5项正文内容</w:t>
            </w:r>
            <w:r>
              <w:rPr>
                <w:rFonts w:hint="eastAsia" w:ascii="宋体" w:hAnsi="宋体" w:cs="宋体"/>
                <w:b/>
                <w:color w:val="auto"/>
                <w:kern w:val="0"/>
                <w:sz w:val="24"/>
                <w:highlight w:val="none"/>
              </w:rPr>
              <w:t>：</w:t>
            </w:r>
          </w:p>
          <w:p w14:paraId="2320A3B9">
            <w:pPr>
              <w:spacing w:line="276" w:lineRule="auto"/>
              <w:ind w:left="63" w:leftChars="30" w:right="63" w:rightChars="30" w:firstLine="482" w:firstLineChars="200"/>
              <w:rPr>
                <w:rFonts w:ascii="宋体" w:hAnsi="宋体" w:cs="宋体"/>
                <w:color w:val="auto"/>
                <w:kern w:val="0"/>
                <w:sz w:val="24"/>
                <w:highlight w:val="none"/>
              </w:rPr>
            </w:pPr>
            <w:r>
              <w:rPr>
                <w:rFonts w:ascii="宋体" w:hAnsi="宋体" w:cs="宋体"/>
                <w:b/>
                <w:color w:val="auto"/>
                <w:kern w:val="0"/>
                <w:sz w:val="24"/>
                <w:highlight w:val="none"/>
              </w:rPr>
              <w:t>1.4.3</w:t>
            </w:r>
            <w:r>
              <w:rPr>
                <w:rFonts w:ascii="宋体" w:hAnsi="宋体" w:cs="宋体"/>
                <w:color w:val="auto"/>
                <w:kern w:val="0"/>
                <w:sz w:val="24"/>
                <w:highlight w:val="none"/>
              </w:rPr>
              <w:t xml:space="preserve"> 投标人不得与本标段相关单位存在下列关联情形：</w:t>
            </w:r>
          </w:p>
          <w:p w14:paraId="6DECDA41">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1）为招标人不具有独立法人资格的附属机构（单位）；</w:t>
            </w:r>
          </w:p>
          <w:p w14:paraId="7F6D2409">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2）与招标人存在利害关系且可能影响招标公正性；</w:t>
            </w:r>
          </w:p>
          <w:p w14:paraId="379AACFF">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3）与本标段的其他投标人同为一个单位负责人；</w:t>
            </w:r>
          </w:p>
          <w:p w14:paraId="6F3B7438">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4）与本标段的其他投标人存在控股、管理关系；</w:t>
            </w:r>
          </w:p>
          <w:p w14:paraId="1B5EA6A0">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5）为本标段的代建人；</w:t>
            </w:r>
          </w:p>
          <w:p w14:paraId="6338C7CF">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6）为本标段的招标代理机构；</w:t>
            </w:r>
          </w:p>
          <w:p w14:paraId="79F4C60A">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7）与本标段的代建人或招标代理机构同为一个法定代表人；</w:t>
            </w:r>
          </w:p>
          <w:p w14:paraId="681A7F5B">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8）与本标段的代建人或招标代理机构存在控股或参股关系；</w:t>
            </w:r>
          </w:p>
          <w:p w14:paraId="4900D2D9">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9）与本标段对应工程的施工承包人以及建筑材料、建筑构配件和设备供应商有隶属关系或其他利害关系；</w:t>
            </w:r>
          </w:p>
          <w:p w14:paraId="15AEDF1C">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10）法律法规或投标人须知前附表规定的其他情形。</w:t>
            </w:r>
          </w:p>
          <w:p w14:paraId="79B5CD3E">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（11）投标人及与投标人有隶属关系或其他利害关系的单位与本标段的对应工程范围的中心试验室试验检测服务机构有隶属关系或其他利害关系。</w:t>
            </w:r>
          </w:p>
          <w:p w14:paraId="5166B125">
            <w:pPr>
              <w:spacing w:line="276" w:lineRule="auto"/>
              <w:ind w:left="63" w:leftChars="30" w:right="63" w:rightChars="30" w:firstLine="482" w:firstLineChars="200"/>
              <w:rPr>
                <w:rFonts w:ascii="宋体" w:hAnsi="宋体" w:cs="宋体"/>
                <w:color w:val="auto"/>
                <w:kern w:val="0"/>
                <w:sz w:val="24"/>
                <w:highlight w:val="none"/>
              </w:rPr>
            </w:pPr>
            <w:r>
              <w:rPr>
                <w:rFonts w:ascii="宋体" w:hAnsi="宋体" w:cs="宋体"/>
                <w:b/>
                <w:color w:val="auto"/>
                <w:kern w:val="0"/>
                <w:sz w:val="24"/>
                <w:highlight w:val="none"/>
              </w:rPr>
              <w:t>1.4.4</w:t>
            </w:r>
            <w:r>
              <w:rPr>
                <w:rFonts w:ascii="宋体" w:hAnsi="宋体" w:cs="宋体"/>
                <w:color w:val="auto"/>
                <w:kern w:val="0"/>
                <w:sz w:val="24"/>
                <w:highlight w:val="none"/>
              </w:rPr>
              <w:t xml:space="preserve"> 投标人（包括联合体各成员）不得存在下列不良状况或不良信用记录：</w:t>
            </w:r>
          </w:p>
          <w:p w14:paraId="7934BD18">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1）被省级及以上交通运输主管部门取消招标项目所在地的投标资格且处于有效期内；</w:t>
            </w:r>
          </w:p>
          <w:p w14:paraId="5EF8F7ED">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2）被责令停业，暂扣或吊销执照，或吊销资质证书；</w:t>
            </w:r>
          </w:p>
          <w:p w14:paraId="60A4E912">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3）进入清算程序，或被宣告破产，或其他丧失履约能力的情形；</w:t>
            </w:r>
          </w:p>
          <w:p w14:paraId="7BD415BE">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4）在国家企业信用信息公示系统（</w:t>
            </w:r>
            <w:r>
              <w:rPr>
                <w:rFonts w:ascii="宋体" w:hAnsi="宋体" w:cs="宋体"/>
                <w:color w:val="auto"/>
                <w:kern w:val="0"/>
                <w:sz w:val="22"/>
                <w:szCs w:val="22"/>
                <w:highlight w:val="none"/>
              </w:rPr>
              <w:fldChar w:fldCharType="begin"/>
            </w:r>
            <w:r>
              <w:rPr>
                <w:rFonts w:ascii="宋体" w:hAnsi="宋体" w:cs="宋体"/>
                <w:color w:val="auto"/>
                <w:kern w:val="0"/>
                <w:sz w:val="22"/>
                <w:szCs w:val="22"/>
                <w:highlight w:val="none"/>
              </w:rPr>
              <w:instrText xml:space="preserve"> HYPERLINK "https://www.gsxt.gov.cn/" </w:instrText>
            </w:r>
            <w:r>
              <w:rPr>
                <w:rFonts w:ascii="宋体" w:hAnsi="宋体" w:cs="宋体"/>
                <w:color w:val="auto"/>
                <w:kern w:val="0"/>
                <w:sz w:val="22"/>
                <w:szCs w:val="22"/>
                <w:highlight w:val="none"/>
              </w:rPr>
              <w:fldChar w:fldCharType="separate"/>
            </w:r>
            <w:r>
              <w:rPr>
                <w:rFonts w:ascii="宋体" w:hAnsi="宋体"/>
                <w:color w:val="auto"/>
                <w:sz w:val="24"/>
                <w:highlight w:val="none"/>
                <w:u w:val="single"/>
              </w:rPr>
              <w:t>https://www.gsxt.gov.cn/</w:t>
            </w:r>
            <w:r>
              <w:rPr>
                <w:rFonts w:ascii="宋体" w:hAnsi="宋体"/>
                <w:color w:val="auto"/>
                <w:sz w:val="24"/>
                <w:highlight w:val="none"/>
                <w:u w:val="single"/>
              </w:rPr>
              <w:fldChar w:fldCharType="end"/>
            </w:r>
            <w:r>
              <w:rPr>
                <w:rFonts w:ascii="宋体" w:hAnsi="宋体" w:cs="宋体"/>
                <w:color w:val="auto"/>
                <w:kern w:val="0"/>
                <w:sz w:val="24"/>
                <w:highlight w:val="none"/>
              </w:rPr>
              <w:t>）中被列入严重违法失信企业名单；</w:t>
            </w:r>
          </w:p>
          <w:p w14:paraId="3E97D28D">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5）在“信用中国”网站（</w:t>
            </w:r>
            <w:r>
              <w:rPr>
                <w:rFonts w:ascii="宋体" w:hAnsi="宋体" w:cs="宋体"/>
                <w:color w:val="auto"/>
                <w:kern w:val="0"/>
                <w:sz w:val="22"/>
                <w:szCs w:val="22"/>
                <w:highlight w:val="none"/>
              </w:rPr>
              <w:fldChar w:fldCharType="begin"/>
            </w:r>
            <w:r>
              <w:rPr>
                <w:rFonts w:ascii="宋体" w:hAnsi="宋体" w:cs="宋体"/>
                <w:color w:val="auto"/>
                <w:kern w:val="0"/>
                <w:sz w:val="22"/>
                <w:szCs w:val="22"/>
                <w:highlight w:val="none"/>
              </w:rPr>
              <w:instrText xml:space="preserve"> HYPERLINK "https://www.creditchina.gov.cn/" </w:instrText>
            </w:r>
            <w:r>
              <w:rPr>
                <w:rFonts w:ascii="宋体" w:hAnsi="宋体" w:cs="宋体"/>
                <w:color w:val="auto"/>
                <w:kern w:val="0"/>
                <w:sz w:val="22"/>
                <w:szCs w:val="22"/>
                <w:highlight w:val="none"/>
              </w:rPr>
              <w:fldChar w:fldCharType="separate"/>
            </w:r>
            <w:r>
              <w:rPr>
                <w:rFonts w:ascii="宋体" w:hAnsi="宋体"/>
                <w:color w:val="auto"/>
                <w:sz w:val="24"/>
                <w:highlight w:val="none"/>
                <w:u w:val="single"/>
              </w:rPr>
              <w:t>https://www.creditchina.gov.cn/</w:t>
            </w:r>
            <w:r>
              <w:rPr>
                <w:rFonts w:ascii="宋体" w:hAnsi="宋体"/>
                <w:color w:val="auto"/>
                <w:sz w:val="24"/>
                <w:highlight w:val="none"/>
                <w:u w:val="single"/>
              </w:rPr>
              <w:fldChar w:fldCharType="end"/>
            </w:r>
            <w:r>
              <w:rPr>
                <w:rFonts w:ascii="宋体" w:hAnsi="宋体" w:cs="宋体"/>
                <w:color w:val="auto"/>
                <w:kern w:val="0"/>
                <w:sz w:val="24"/>
                <w:highlight w:val="none"/>
              </w:rPr>
              <w:t>）中被列入失信被执行人名单；</w:t>
            </w:r>
          </w:p>
          <w:p w14:paraId="188A6AF9">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6）法律法规或投标人须知前附表规定的其他情形。</w:t>
            </w:r>
          </w:p>
          <w:p w14:paraId="6C96150D">
            <w:pPr>
              <w:spacing w:line="276" w:lineRule="auto"/>
              <w:ind w:left="63" w:leftChars="30" w:right="63" w:rightChars="30" w:firstLine="482" w:firstLineChars="200"/>
              <w:rPr>
                <w:rFonts w:ascii="宋体" w:hAnsi="宋体" w:cs="宋体"/>
                <w:color w:val="auto"/>
                <w:kern w:val="0"/>
                <w:sz w:val="24"/>
                <w:highlight w:val="none"/>
              </w:rPr>
            </w:pPr>
            <w:r>
              <w:rPr>
                <w:rFonts w:ascii="宋体" w:hAnsi="宋体" w:cs="宋体"/>
                <w:b/>
                <w:color w:val="auto"/>
                <w:kern w:val="0"/>
                <w:sz w:val="24"/>
                <w:highlight w:val="none"/>
              </w:rPr>
              <w:t>1.4.5</w:t>
            </w:r>
            <w:r>
              <w:rPr>
                <w:rFonts w:ascii="宋体" w:hAnsi="宋体" w:cs="宋体"/>
                <w:color w:val="auto"/>
                <w:kern w:val="0"/>
                <w:sz w:val="24"/>
                <w:highlight w:val="none"/>
              </w:rPr>
              <w:t xml:space="preserve"> 投标人（包括联合体各成员）应进入交通运输部“</w:t>
            </w:r>
            <w:r>
              <w:rPr>
                <w:rFonts w:hint="eastAsia" w:ascii="宋体" w:hAnsi="宋体" w:cs="宋体"/>
                <w:color w:val="auto"/>
                <w:kern w:val="0"/>
                <w:sz w:val="24"/>
                <w:highlight w:val="none"/>
              </w:rPr>
              <w:t>全国公路建设市场信用信息管理系统（https://hwdms.mot.gov.cn/)</w:t>
            </w:r>
            <w:r>
              <w:rPr>
                <w:rFonts w:ascii="宋体" w:hAnsi="宋体" w:cs="宋体"/>
                <w:color w:val="auto"/>
                <w:kern w:val="0"/>
                <w:sz w:val="24"/>
                <w:highlight w:val="none"/>
              </w:rPr>
              <w:t>”中的公路工程施工监理资质企业名录，且投标人名称和资质与该名录中的相应企业名称和资质完全一致。投标人不满足本项规定条件的，将被否决投标。</w:t>
            </w:r>
          </w:p>
          <w:p w14:paraId="7D2C0F1C">
            <w:pPr>
              <w:spacing w:line="276" w:lineRule="auto"/>
              <w:ind w:left="63" w:leftChars="30" w:right="63" w:rightChars="30" w:firstLine="482" w:firstLineChars="200"/>
              <w:rPr>
                <w:rFonts w:ascii="宋体" w:hAnsi="宋体" w:cs="宋体"/>
                <w:color w:val="auto"/>
                <w:kern w:val="0"/>
                <w:sz w:val="24"/>
                <w:highlight w:val="none"/>
              </w:rPr>
            </w:pPr>
            <w:r>
              <w:rPr>
                <w:rFonts w:ascii="宋体" w:hAnsi="宋体" w:cs="宋体"/>
                <w:b/>
                <w:color w:val="auto"/>
                <w:kern w:val="0"/>
                <w:sz w:val="24"/>
                <w:highlight w:val="none"/>
              </w:rPr>
              <w:t>1.12</w:t>
            </w:r>
            <w:r>
              <w:rPr>
                <w:rFonts w:ascii="宋体" w:hAnsi="宋体" w:cs="宋体"/>
                <w:color w:val="auto"/>
                <w:kern w:val="0"/>
                <w:sz w:val="24"/>
                <w:highlight w:val="none"/>
              </w:rPr>
              <w:t xml:space="preserve"> 响应和偏差</w:t>
            </w:r>
          </w:p>
          <w:p w14:paraId="17A73E6A">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1.12.1 投标文件偏离招标文件某些要求，视为投标文件存在偏差。偏差包括重大偏差和细微偏差。</w:t>
            </w:r>
          </w:p>
          <w:p w14:paraId="55CE10A7">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1.12.2 投标文件应对招标文件的实质性要求和条件作出满足性或更有利于招标人的响应，否则，视为投标文件存在重大偏差，投标人的投标将被否决。</w:t>
            </w:r>
          </w:p>
          <w:p w14:paraId="202E0A28">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投标文件存在第三章“评标办法”中所列任一否决投标情形的，均属于存在重大偏差。</w:t>
            </w:r>
          </w:p>
          <w:p w14:paraId="2314AAD3">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1.12.3 投标文件中的下列偏差为细微偏差：</w:t>
            </w:r>
          </w:p>
          <w:p w14:paraId="25AB7409">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1）在按照第三章“评标办法”的规定对投标价进行算术性错误修正后，最终投标报价未超过最高投标限价（如有）的情况下，出现第三章“评标办法”规定的算术性错误；</w:t>
            </w:r>
          </w:p>
          <w:p w14:paraId="5ADD1EF6">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2）技术建议书不够完善；</w:t>
            </w:r>
          </w:p>
          <w:p w14:paraId="08570E55">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3）投标文件页码不连续、采用活页夹装订、个别文字有遗漏错误等不影响投标文件实质性内容的偏差。</w:t>
            </w:r>
          </w:p>
          <w:p w14:paraId="0AAD6A00">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1.12.4 评标委员会对投标文件中的细微偏差按如下规定处理：</w:t>
            </w:r>
          </w:p>
          <w:p w14:paraId="10B07F51">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1）对于本章第1.12.3项（1）目所述的细微偏差，按照第三章“评标办法”的规定予以修正并要求投标人进行澄清；</w:t>
            </w:r>
          </w:p>
          <w:p w14:paraId="1434F0E1">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2）对于本章第1.12.3项（2）、（3）目所述的细微偏差，可在相关评分因素的评分中酌情扣分。</w:t>
            </w:r>
          </w:p>
          <w:p w14:paraId="33249D96">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1.12.5 投标人应根据招标文件的要求提供技术建议书等内容以对招标文件作出响应。</w:t>
            </w:r>
          </w:p>
          <w:p w14:paraId="766A1A5F">
            <w:pPr>
              <w:spacing w:line="276" w:lineRule="auto"/>
              <w:ind w:left="63" w:leftChars="30" w:right="63" w:rightChars="30" w:firstLine="482" w:firstLineChars="200"/>
              <w:rPr>
                <w:rFonts w:ascii="宋体" w:hAnsi="宋体" w:cs="宋体"/>
                <w:color w:val="auto"/>
                <w:kern w:val="0"/>
                <w:sz w:val="24"/>
                <w:highlight w:val="none"/>
              </w:rPr>
            </w:pPr>
            <w:r>
              <w:rPr>
                <w:rFonts w:ascii="宋体" w:hAnsi="宋体" w:cs="宋体"/>
                <w:b/>
                <w:color w:val="auto"/>
                <w:kern w:val="0"/>
                <w:sz w:val="24"/>
                <w:highlight w:val="none"/>
              </w:rPr>
              <w:t>3.4</w:t>
            </w:r>
            <w:r>
              <w:rPr>
                <w:rFonts w:ascii="宋体" w:hAnsi="宋体" w:cs="宋体"/>
                <w:color w:val="auto"/>
                <w:kern w:val="0"/>
                <w:sz w:val="24"/>
                <w:highlight w:val="none"/>
              </w:rPr>
              <w:t xml:space="preserve"> 投标保证金</w:t>
            </w:r>
          </w:p>
          <w:p w14:paraId="649708A1">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3.4.1 投标人在递交投标文件的同时，应按投标人须知前附表规定的金额和第七章“投标文件格式”规定的投标保证金格式递交投标保证金，并作为其投标文件的组成部分。联合体投标的，其投标保证金由牵头人递交，并应符合投标人须知前附表的规定。</w:t>
            </w:r>
          </w:p>
          <w:p w14:paraId="003B3882">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投标保证金应采用现金、支票、银行保函或招标人在投标人须知前附表规定的其他形式。</w:t>
            </w:r>
          </w:p>
          <w:p w14:paraId="300A1734">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7C558F59">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2）若采用银行保函，则应由符合投标人须知前附表规定级别的银行开具，并采用招标文件提供的格式。银行保函复印件装订在投标文件内，原件应在递交投标文件截止时间之前单独密封递交给招标人。</w:t>
            </w:r>
          </w:p>
          <w:p w14:paraId="0A78F86F">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无论采取何种形式的投标保证金，投标保证金有效期均应与投标有效期一致。招标人如果按本章第</w:t>
            </w:r>
            <w:r>
              <w:rPr>
                <w:rFonts w:ascii="宋体" w:hAnsi="宋体" w:cs="宋体"/>
                <w:color w:val="auto"/>
                <w:kern w:val="0"/>
                <w:sz w:val="24"/>
                <w:highlight w:val="none"/>
              </w:rPr>
              <w:t>3.3.3项的规定延长了投标有效期，则投标保证金的有效期也相应延长。</w:t>
            </w:r>
          </w:p>
          <w:p w14:paraId="4EE72038">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3.4.2投标人不按本章第3.4.1项要求提交投标保证金的，评标委员会将否决其投标。</w:t>
            </w:r>
          </w:p>
          <w:p w14:paraId="27352734">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6406139A">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利息计算原则见投标人须知前附表。</w:t>
            </w:r>
          </w:p>
          <w:p w14:paraId="0BB908C0">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3.4.4有下列情形之一的，投标保证金将不予退还：</w:t>
            </w:r>
          </w:p>
          <w:p w14:paraId="7A0DEFA4">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1）投标人在投标有效期内撤销投标文件；</w:t>
            </w:r>
          </w:p>
          <w:p w14:paraId="38C62209">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2）中标人在收到中标通知书后，无正当理由不与招标人订立合同，在签订合同时向招标人提出附加条件，或不按照招标文件要求提交履约保证金；</w:t>
            </w:r>
          </w:p>
          <w:p w14:paraId="680F7F25">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3）发生投标人须知前附表规定的其他可以不予退还投标保证金的情形。</w:t>
            </w:r>
          </w:p>
          <w:p w14:paraId="5A47113D">
            <w:pPr>
              <w:spacing w:line="276" w:lineRule="auto"/>
              <w:ind w:left="63" w:leftChars="30" w:right="63" w:rightChars="30" w:firstLine="482" w:firstLineChars="200"/>
              <w:rPr>
                <w:rFonts w:ascii="宋体" w:hAnsi="宋体" w:cs="宋体"/>
                <w:color w:val="auto"/>
                <w:kern w:val="0"/>
                <w:sz w:val="24"/>
                <w:highlight w:val="none"/>
              </w:rPr>
            </w:pPr>
            <w:r>
              <w:rPr>
                <w:rFonts w:ascii="宋体" w:hAnsi="宋体" w:cs="宋体"/>
                <w:b/>
                <w:color w:val="auto"/>
                <w:kern w:val="0"/>
                <w:sz w:val="24"/>
                <w:highlight w:val="none"/>
              </w:rPr>
              <w:t>3.5</w:t>
            </w:r>
            <w:r>
              <w:rPr>
                <w:rFonts w:ascii="宋体" w:hAnsi="宋体" w:cs="宋体"/>
                <w:color w:val="auto"/>
                <w:kern w:val="0"/>
                <w:sz w:val="24"/>
                <w:highlight w:val="none"/>
              </w:rPr>
              <w:t xml:space="preserve"> 资格审查资料</w:t>
            </w:r>
          </w:p>
          <w:p w14:paraId="02CB35DC">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除投标人须知前附表另有规定外，投标人应按下列规定提供资格审查资料，以证明其满足本章第</w:t>
            </w:r>
            <w:r>
              <w:rPr>
                <w:rFonts w:ascii="宋体" w:hAnsi="宋体" w:cs="宋体"/>
                <w:color w:val="auto"/>
                <w:kern w:val="0"/>
                <w:sz w:val="24"/>
                <w:highlight w:val="none"/>
              </w:rPr>
              <w:t>1.4款规定的资质、业绩、信誉等要求。</w:t>
            </w:r>
          </w:p>
          <w:p w14:paraId="43BCB08D">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3.5.1 “投标人基本情况表”应附企业法人营业执照副本和组织机构代码证副本（按照“三证合一”或“五证合一”登记制度进行登记的，可仅提供营业执照副本，下同）、监理资质证书副本、基本账户开户许可证的复印件，投标人在交通运输部“全国公路建设市场信用信息管理系统”公路工程施工监理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743A37A7">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企业法人营业执照副本和组织机构代码证副本、监理资质证书副本、基本账户开户许可证的复印件应提供全本（证书封面、封底、空白页除外），应包括投标人名称、投标人其他相关信息、颁发机构名称、投标人信息变更情况等关键页在内，并逐页加盖投标人单位章。</w:t>
            </w:r>
          </w:p>
          <w:p w14:paraId="1425F044">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3.5.2 “近年完成的类似项目”应是已列入交通运输主管部门“公路建设市场信用信息管理系统”并公开的业绩，具体时间要求见投标人须知前附表。</w:t>
            </w:r>
          </w:p>
          <w:p w14:paraId="52792EC3">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“近年完成的类似项目情况表”应附在交通运输部“全国公路建设市场信用信息管理系统”（网址https://hwdms.mot.gov.cn/)</w:t>
            </w:r>
            <w:r>
              <w:rPr>
                <w:rFonts w:ascii="宋体" w:hAnsi="宋体" w:cs="宋体"/>
                <w:color w:val="auto"/>
                <w:kern w:val="0"/>
                <w:sz w:val="24"/>
                <w:highlight w:val="none"/>
              </w:rPr>
              <w:t>中查询到的企业“业绩信息”相关项目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w:t>
            </w:r>
          </w:p>
          <w:p w14:paraId="7DCCBB07">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如投标人未提供相关项目网页截图复印件或相关项目网页截图中的信息无法证实投标人满足招标文件规定的资格审查条件（业绩最低要求），则该项目业绩不予认定。</w:t>
            </w:r>
          </w:p>
          <w:p w14:paraId="3FF62CFA">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3.5.3 “投标人的信誉情况表”应附投标人在国家企业信用信息公示系统中未被列入严重违法失信企业名单、在“信用中国”网站中未被列入失信被执行人名单的网页截图复印件，以及由项目所在地或投标人住所地检察机关职务犯罪预防部门出具的近三年内投标人及其法定代表人、拟委任的总监理工程师或驻地监理工程师均无行贿犯罪行为的查询记录证明原件。</w:t>
            </w:r>
          </w:p>
          <w:p w14:paraId="606DEBAE">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3.5.4 “拟委任的总监理工程师或驻地监理工程师资历表”应附总监理工程师或驻地监理工程师的身份证、职称资格证书和资格审查条件所要求的其他相关证书（如公路工程监理工程师证书等）的复印件，以及投标人所属社保机构出具的拟委任的总监理工程师或驻地监理工程师的社保缴费证明或其他能够证明拟委任的总监理工程师或驻地监理工程师参加社保的有效证明材料复印件。</w:t>
            </w:r>
          </w:p>
          <w:p w14:paraId="011E30E2">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拟委任的总监理工程师或驻地监理工程师资历表”还应附交通运输部“全国公路建设市场信用信息管理系统”中载明的、能够证明总监理工程师或驻地监理工程师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如投标人未提供相关业绩网页截图复印件或相关业绩网页截图中的</w:t>
            </w:r>
            <w:bookmarkStart w:id="1" w:name="_GoBack"/>
            <w:bookmarkEnd w:id="1"/>
            <w:r>
              <w:rPr>
                <w:rFonts w:hint="eastAsia" w:ascii="宋体" w:hAnsi="宋体" w:cs="宋体"/>
                <w:color w:val="auto"/>
                <w:kern w:val="0"/>
                <w:sz w:val="24"/>
                <w:highlight w:val="none"/>
              </w:rPr>
              <w:t>信息无法证实投标人满足招标文件规定的资格审查条件（总监理工程师或驻地监理工程师最低要求），则该业绩不予认定。</w:t>
            </w:r>
          </w:p>
          <w:p w14:paraId="28DF5A80">
            <w:pPr>
              <w:spacing w:line="276" w:lineRule="auto"/>
              <w:ind w:left="63" w:leftChars="30" w:right="63" w:rightChars="3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如总监理工程师或驻地监理工程师目前仍在其他项目上任职，则投标人应提供由该项目委托人出具的、承诺上述人员能够从该项目撤离的书面证明材料原件。</w:t>
            </w:r>
          </w:p>
          <w:p w14:paraId="2A5106C8">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3.5.5 “拟委任的其他主要监理人员汇总表”（如有）应填报满足投标人须知前附表附录5规定的其他主要监理人员的相关信息。“拟委任的其他主要监理人员资历表”（如有）中相关人员应附身份证、职称资格证书和资格审查条件所要求的其他相关证书（如公路工程监理工程师证书等）的复印件，相关业绩证明材料复印件，以及投标人所属社保机构出具的社保缴费证明或其他能够证明其参加社保的有效证明材料复印件。</w:t>
            </w:r>
          </w:p>
          <w:p w14:paraId="08AF9F6A">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3.5.6 投标人须知前附表规定接受联合体投标的，本章第3.5.1项至第3.5.5项规定的表格和资料应包括联合体各方相关情况。</w:t>
            </w:r>
          </w:p>
          <w:p w14:paraId="7CD6D6E1">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3.5.7 除合同条款约定的特殊情形外，投标人在投标文件中填报的总监理工程师或驻地监理工程师不允许更换。</w:t>
            </w:r>
          </w:p>
          <w:p w14:paraId="08696F65">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3.5.8 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3FF29885">
            <w:pPr>
              <w:spacing w:line="276" w:lineRule="auto"/>
              <w:ind w:left="63" w:leftChars="30" w:right="63" w:rightChars="30" w:firstLine="480" w:firstLineChars="200"/>
              <w:rPr>
                <w:rFonts w:ascii="宋体" w:hAnsi="宋体" w:cs="宋体"/>
                <w:color w:val="auto"/>
                <w:kern w:val="0"/>
                <w:sz w:val="24"/>
                <w:highlight w:val="none"/>
              </w:rPr>
            </w:pPr>
            <w:r>
              <w:rPr>
                <w:rFonts w:ascii="宋体" w:hAnsi="宋体" w:cs="宋体"/>
                <w:color w:val="auto"/>
                <w:kern w:val="0"/>
                <w:sz w:val="24"/>
                <w:highlight w:val="none"/>
              </w:rPr>
              <w:t>3.5.9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公路建设市场信用信息管理系统。</w:t>
            </w:r>
          </w:p>
        </w:tc>
      </w:tr>
    </w:tbl>
    <w:p w14:paraId="6549FD36"/>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A60A">
    <w:pPr>
      <w:spacing w:line="14" w:lineRule="auto"/>
      <w:jc w:val="left"/>
      <w:rPr>
        <w:rFonts w:ascii="宋体" w:hAnsi="宋体" w:cs="宋体"/>
        <w:kern w:val="0"/>
        <w:sz w:val="20"/>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mJjNTcyMzA0NTgxODg5NjkwOWZiOTM1ZmY2MjgifQ=="/>
  </w:docVars>
  <w:rsids>
    <w:rsidRoot w:val="00000000"/>
    <w:rsid w:val="34D32E07"/>
    <w:rsid w:val="5CCE3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widowControl w:val="0"/>
      <w:spacing w:before="1"/>
      <w:ind w:right="95"/>
      <w:jc w:val="center"/>
      <w:outlineLvl w:val="1"/>
    </w:pPr>
    <w:rPr>
      <w:rFonts w:ascii="黑体" w:hAnsi="黑体" w:eastAsia="黑体" w:cs="黑体"/>
      <w:sz w:val="50"/>
      <w:szCs w:val="50"/>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样式 宋体 行距: 1.5 倍行距"/>
    <w:autoRedefine/>
    <w:qFormat/>
    <w:uiPriority w:val="0"/>
    <w:pPr>
      <w:widowControl w:val="0"/>
      <w:jc w:val="center"/>
    </w:pPr>
    <w:rPr>
      <w:rFonts w:ascii="Times New Roman" w:hAnsi="Times New Roman" w:eastAsia="宋体" w:cs="宋体"/>
      <w:b/>
      <w:sz w:val="22"/>
      <w:szCs w:val="22"/>
      <w:lang w:val="en-US" w:eastAsia="zh-CN" w:bidi="ar-SA"/>
    </w:rPr>
  </w:style>
  <w:style w:type="paragraph" w:customStyle="1" w:styleId="6">
    <w:name w:val="Table Paragraph"/>
    <w:autoRedefine/>
    <w:qFormat/>
    <w:uiPriority w:val="0"/>
    <w:pPr>
      <w:widowControl w:val="0"/>
    </w:pPr>
    <w:rPr>
      <w:rFonts w:ascii="宋体" w:hAnsi="宋体" w:eastAsia="宋体" w:cs="宋体"/>
      <w:sz w:val="22"/>
      <w:szCs w:val="22"/>
      <w:lang w:val="en-US" w:eastAsia="zh-CN" w:bidi="ar-SA"/>
    </w:rPr>
  </w:style>
  <w:style w:type="paragraph" w:customStyle="1" w:styleId="7">
    <w:name w:val="Default"/>
    <w:autoRedefine/>
    <w:qFormat/>
    <w:uiPriority w:val="0"/>
    <w:pPr>
      <w:widowControl w:val="0"/>
    </w:pPr>
    <w:rPr>
      <w:rFonts w:ascii="Times New Roman" w:hAnsi="Times New Roman" w:eastAsia="Times New Roman" w:cs="Times New Roman"/>
      <w:sz w:val="24"/>
      <w:szCs w:val="24"/>
      <w:lang w:val="en-US" w:eastAsia="zh-CN" w:bidi="ar-SA"/>
    </w:r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9676</Words>
  <Characters>10265</Characters>
  <Lines>0</Lines>
  <Paragraphs>0</Paragraphs>
  <TotalTime>0</TotalTime>
  <ScaleCrop>false</ScaleCrop>
  <LinksUpToDate>false</LinksUpToDate>
  <CharactersWithSpaces>10371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2024-04-16T05:44:00Z</dcterms:created>
  <dc:creator>Administrator</dc:creator>
  <cp:lastModifiedBy>容容容</cp:lastModifiedBy>
  <dcterms:modified xsi:type="dcterms:W3CDTF">2024-09-27T10:45:23Z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1255B80AFEF446F0AEFC6813B17D32FB_12</vt:lpwstr>
  </property>
</Properties>
</file>