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3827" w:firstLineChars="1196"/>
        <w:jc w:val="center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GUwYjhkNTFmOGEzYTkyZTc4ZWRiZjliZjMxMzQifQ=="/>
  </w:docVars>
  <w:rsids>
    <w:rsidRoot w:val="564E5969"/>
    <w:rsid w:val="564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2023-09-01T02:08:00Z</dcterms:created>
  <dc:creator>妙芳的小办公</dc:creator>
  <cp:lastModifiedBy>妙芳的小办公</cp:lastModifiedBy>
  <dcterms:modified xsi:type="dcterms:W3CDTF">2023-09-01T02:08:55Z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BD6CEF410739425B809FF83B1F6C7624_11</vt:lpwstr>
  </property>
</Properties>
</file>