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梅县区交通运输局202</w:t>
      </w:r>
      <w:r>
        <w:rPr>
          <w:rFonts w:hint="eastAsia" w:ascii="微软雅黑" w:hAnsi="微软雅黑" w:eastAsia="微软雅黑" w:cs="微软雅黑"/>
          <w:i w:val="0"/>
          <w:iCs w:val="0"/>
          <w:caps w:val="0"/>
          <w:color w:val="000000"/>
          <w:spacing w:val="0"/>
          <w:shd w:val="clear" w:fill="FFFFFF"/>
          <w:lang w:val="en-US" w:eastAsia="zh-CN"/>
        </w:rPr>
        <w:t>2</w:t>
      </w:r>
      <w:r>
        <w:rPr>
          <w:rFonts w:hint="eastAsia" w:ascii="微软雅黑" w:hAnsi="微软雅黑" w:eastAsia="微软雅黑" w:cs="微软雅黑"/>
          <w:i w:val="0"/>
          <w:iCs w:val="0"/>
          <w:caps w:val="0"/>
          <w:color w:val="000000"/>
          <w:spacing w:val="0"/>
          <w:shd w:val="clear" w:fill="FFFFFF"/>
        </w:rPr>
        <w:t>年政府信息公开工作年度报告</w:t>
      </w:r>
    </w:p>
    <w:p/>
    <w:p>
      <w:pPr>
        <w:pStyle w:val="3"/>
        <w:keepNext w:val="0"/>
        <w:keepLines w:val="0"/>
        <w:widowControl/>
        <w:suppressLineNumbers w:val="0"/>
        <w:spacing w:before="225" w:beforeAutospacing="0" w:line="420" w:lineRule="atLeast"/>
        <w:jc w:val="left"/>
        <w:rPr>
          <w:sz w:val="24"/>
          <w:szCs w:val="24"/>
        </w:rPr>
      </w:pPr>
      <w:r>
        <w:rPr>
          <w:rStyle w:val="6"/>
          <w:sz w:val="24"/>
          <w:szCs w:val="24"/>
        </w:rPr>
        <w:t>根据省政府办公厅转发《国务院办公厅政府信息与政务公开办公室关于政府信息公开工作年度报吿有关事项的通知》的要求，按照国办公开办部署，抓紧部署落实，确保修订后的《中华人民共和国政府信息公开条例》关于政府信息公开工作年度报告的规定落到实处，并根据《中华人民共和国政府信息公开条例》的要求编制。统计数据期限为202</w:t>
      </w:r>
      <w:r>
        <w:rPr>
          <w:rStyle w:val="6"/>
          <w:rFonts w:hint="eastAsia"/>
          <w:sz w:val="24"/>
          <w:szCs w:val="24"/>
          <w:lang w:val="en-US" w:eastAsia="zh-CN"/>
        </w:rPr>
        <w:t>2</w:t>
      </w:r>
      <w:r>
        <w:rPr>
          <w:rStyle w:val="6"/>
          <w:sz w:val="24"/>
          <w:szCs w:val="24"/>
        </w:rPr>
        <w:t>年1月1日至202</w:t>
      </w:r>
      <w:r>
        <w:rPr>
          <w:rStyle w:val="6"/>
          <w:rFonts w:hint="eastAsia"/>
          <w:sz w:val="24"/>
          <w:szCs w:val="24"/>
          <w:lang w:val="en-US" w:eastAsia="zh-CN"/>
        </w:rPr>
        <w:t>2</w:t>
      </w:r>
      <w:r>
        <w:rPr>
          <w:rStyle w:val="6"/>
          <w:sz w:val="24"/>
          <w:szCs w:val="24"/>
        </w:rPr>
        <w:t>年12月31日。  </w:t>
      </w:r>
    </w:p>
    <w:p>
      <w:pPr>
        <w:pStyle w:val="3"/>
        <w:keepNext w:val="0"/>
        <w:keepLines w:val="0"/>
        <w:widowControl/>
        <w:suppressLineNumbers w:val="0"/>
        <w:spacing w:before="225" w:beforeAutospacing="0" w:line="420" w:lineRule="atLeast"/>
        <w:jc w:val="left"/>
        <w:rPr>
          <w:sz w:val="24"/>
          <w:szCs w:val="24"/>
        </w:rPr>
      </w:pPr>
      <w:r>
        <w:rPr>
          <w:rStyle w:val="6"/>
          <w:sz w:val="24"/>
          <w:szCs w:val="24"/>
        </w:rPr>
        <w:t>　　一、 总体情况</w:t>
      </w:r>
      <w:bookmarkStart w:id="0" w:name="_GoBack"/>
      <w:bookmarkEnd w:id="0"/>
    </w:p>
    <w:p>
      <w:pPr>
        <w:pStyle w:val="3"/>
        <w:keepNext w:val="0"/>
        <w:keepLines w:val="0"/>
        <w:widowControl/>
        <w:suppressLineNumbers w:val="0"/>
        <w:spacing w:before="225" w:beforeAutospacing="0" w:line="420" w:lineRule="atLeast"/>
        <w:jc w:val="left"/>
        <w:rPr>
          <w:sz w:val="24"/>
          <w:szCs w:val="24"/>
        </w:rPr>
      </w:pPr>
      <w:r>
        <w:rPr>
          <w:rStyle w:val="6"/>
          <w:sz w:val="24"/>
          <w:szCs w:val="24"/>
        </w:rPr>
        <w:t>　　（一）主动公开方面。对照梅县区人民政府完善责任分工要求，依法对市网站及县政府信息网中政务公开、政府部门、部门动态公开、部门工作报告相关栏目进行更新，在政府信息平台公向社会主动开信息共90条。其中，工作动态类信息</w:t>
      </w:r>
      <w:r>
        <w:rPr>
          <w:rStyle w:val="6"/>
          <w:rFonts w:hint="eastAsia"/>
          <w:sz w:val="24"/>
          <w:szCs w:val="24"/>
          <w:lang w:val="en-US" w:eastAsia="zh-CN"/>
        </w:rPr>
        <w:t>39</w:t>
      </w:r>
      <w:r>
        <w:rPr>
          <w:rStyle w:val="6"/>
          <w:sz w:val="24"/>
          <w:szCs w:val="24"/>
        </w:rPr>
        <w:t>条，部门文件</w:t>
      </w:r>
      <w:r>
        <w:rPr>
          <w:rStyle w:val="6"/>
          <w:rFonts w:hint="eastAsia"/>
          <w:sz w:val="24"/>
          <w:szCs w:val="24"/>
          <w:lang w:val="en-US" w:eastAsia="zh-CN"/>
        </w:rPr>
        <w:t>9</w:t>
      </w:r>
      <w:r>
        <w:rPr>
          <w:rStyle w:val="6"/>
          <w:sz w:val="24"/>
          <w:szCs w:val="24"/>
        </w:rPr>
        <w:t>条，部门预决算和三公经费预决算</w:t>
      </w:r>
      <w:r>
        <w:rPr>
          <w:rStyle w:val="6"/>
          <w:rFonts w:hint="eastAsia"/>
          <w:sz w:val="24"/>
          <w:szCs w:val="24"/>
          <w:lang w:val="en-US" w:eastAsia="zh-CN"/>
        </w:rPr>
        <w:t>3</w:t>
      </w:r>
      <w:r>
        <w:rPr>
          <w:rStyle w:val="6"/>
          <w:sz w:val="24"/>
          <w:szCs w:val="24"/>
        </w:rPr>
        <w:t>条，政府信息公开工作年度报告1条，其他文件1条，公告</w:t>
      </w:r>
      <w:r>
        <w:rPr>
          <w:rStyle w:val="6"/>
          <w:rFonts w:hint="eastAsia"/>
          <w:sz w:val="24"/>
          <w:szCs w:val="24"/>
          <w:lang w:val="en-US" w:eastAsia="zh-CN"/>
        </w:rPr>
        <w:t>26</w:t>
      </w:r>
      <w:r>
        <w:rPr>
          <w:rStyle w:val="6"/>
          <w:sz w:val="24"/>
          <w:szCs w:val="24"/>
        </w:rPr>
        <w:t>条。</w:t>
      </w:r>
    </w:p>
    <w:p>
      <w:pPr>
        <w:pStyle w:val="3"/>
        <w:keepNext w:val="0"/>
        <w:keepLines w:val="0"/>
        <w:widowControl/>
        <w:suppressLineNumbers w:val="0"/>
        <w:spacing w:before="225" w:beforeAutospacing="0" w:line="420" w:lineRule="atLeast"/>
        <w:jc w:val="left"/>
        <w:rPr>
          <w:sz w:val="24"/>
          <w:szCs w:val="24"/>
        </w:rPr>
      </w:pPr>
      <w:r>
        <w:rPr>
          <w:rStyle w:val="6"/>
          <w:sz w:val="24"/>
          <w:szCs w:val="24"/>
        </w:rPr>
        <w:t>　　（二）依申请公开情况。202</w:t>
      </w:r>
      <w:r>
        <w:rPr>
          <w:rStyle w:val="6"/>
          <w:rFonts w:hint="eastAsia"/>
          <w:sz w:val="24"/>
          <w:szCs w:val="24"/>
          <w:lang w:val="en-US" w:eastAsia="zh-CN"/>
        </w:rPr>
        <w:t>2</w:t>
      </w:r>
      <w:r>
        <w:rPr>
          <w:rStyle w:val="6"/>
          <w:sz w:val="24"/>
          <w:szCs w:val="24"/>
        </w:rPr>
        <w:t>年我局未收到政府信息公开方面的复议、诉讼和举报投诉，做到依法依规运行。</w:t>
      </w:r>
    </w:p>
    <w:p>
      <w:pPr>
        <w:pStyle w:val="3"/>
        <w:keepNext w:val="0"/>
        <w:keepLines w:val="0"/>
        <w:widowControl/>
        <w:suppressLineNumbers w:val="0"/>
        <w:spacing w:before="225" w:beforeAutospacing="0" w:line="420" w:lineRule="atLeast"/>
        <w:jc w:val="left"/>
        <w:rPr>
          <w:sz w:val="24"/>
          <w:szCs w:val="24"/>
        </w:rPr>
      </w:pPr>
      <w:r>
        <w:rPr>
          <w:rStyle w:val="6"/>
          <w:sz w:val="24"/>
          <w:szCs w:val="24"/>
        </w:rPr>
        <w:t>　　（三）政府信息管理情况。我局政府信息公开目录编为组织机构（领导分工、机构职能）、部门文件、办事指南、工作动态、部门预决算和三公经费、其他等6个类别，</w:t>
      </w:r>
      <w:r>
        <w:rPr>
          <w:rStyle w:val="6"/>
          <w:rFonts w:hint="eastAsia"/>
          <w:sz w:val="24"/>
          <w:szCs w:val="24"/>
          <w:lang w:val="en-US" w:eastAsia="zh-CN"/>
        </w:rPr>
        <w:t>按照</w:t>
      </w:r>
      <w:r>
        <w:rPr>
          <w:rStyle w:val="6"/>
          <w:sz w:val="24"/>
          <w:szCs w:val="24"/>
        </w:rPr>
        <w:t>《中华人民共和国政府信息公开条例》有关规定，完善公开制度、健全工作机制、深化公开内容、丰富公开载体。</w:t>
      </w:r>
    </w:p>
    <w:p>
      <w:pPr>
        <w:pStyle w:val="3"/>
        <w:keepNext w:val="0"/>
        <w:keepLines w:val="0"/>
        <w:widowControl/>
        <w:suppressLineNumbers w:val="0"/>
        <w:spacing w:before="225" w:beforeAutospacing="0" w:line="420" w:lineRule="atLeast"/>
        <w:jc w:val="left"/>
        <w:rPr>
          <w:sz w:val="24"/>
          <w:szCs w:val="24"/>
        </w:rPr>
      </w:pPr>
      <w:r>
        <w:rPr>
          <w:rStyle w:val="6"/>
          <w:sz w:val="24"/>
          <w:szCs w:val="24"/>
        </w:rPr>
        <w:t>　　（三）平台保障情况。充分发挥区政府门户网站第一平台作用，加强政府网站内容建设和信息发布审核，做到及时</w:t>
      </w:r>
      <w:r>
        <w:rPr>
          <w:rStyle w:val="6"/>
          <w:rFonts w:hint="eastAsia"/>
          <w:sz w:val="24"/>
          <w:szCs w:val="24"/>
          <w:lang w:eastAsia="zh-CN"/>
        </w:rPr>
        <w:t>、</w:t>
      </w:r>
      <w:r>
        <w:rPr>
          <w:rStyle w:val="6"/>
          <w:rFonts w:hint="eastAsia"/>
          <w:sz w:val="24"/>
          <w:szCs w:val="24"/>
          <w:lang w:val="en-US" w:eastAsia="zh-CN"/>
        </w:rPr>
        <w:t>准确</w:t>
      </w:r>
      <w:r>
        <w:rPr>
          <w:rStyle w:val="6"/>
          <w:sz w:val="24"/>
          <w:szCs w:val="24"/>
        </w:rPr>
        <w:t>更新，严格</w:t>
      </w:r>
      <w:r>
        <w:rPr>
          <w:rStyle w:val="6"/>
          <w:rFonts w:hint="eastAsia"/>
          <w:sz w:val="24"/>
          <w:szCs w:val="24"/>
          <w:lang w:val="en-US" w:eastAsia="zh-CN"/>
        </w:rPr>
        <w:t>把握</w:t>
      </w:r>
      <w:r>
        <w:rPr>
          <w:rStyle w:val="6"/>
          <w:sz w:val="24"/>
          <w:szCs w:val="24"/>
        </w:rPr>
        <w:t>审核</w:t>
      </w:r>
      <w:r>
        <w:rPr>
          <w:rStyle w:val="6"/>
          <w:rFonts w:hint="eastAsia"/>
          <w:sz w:val="24"/>
          <w:szCs w:val="24"/>
          <w:lang w:val="en-US" w:eastAsia="zh-CN"/>
        </w:rPr>
        <w:t>关</w:t>
      </w:r>
      <w:r>
        <w:rPr>
          <w:rStyle w:val="6"/>
          <w:sz w:val="24"/>
          <w:szCs w:val="24"/>
        </w:rPr>
        <w:t>，确保政府公开信息的时效性、准确性。 </w:t>
      </w:r>
    </w:p>
    <w:p>
      <w:pPr>
        <w:pStyle w:val="3"/>
        <w:keepNext w:val="0"/>
        <w:keepLines w:val="0"/>
        <w:widowControl/>
        <w:suppressLineNumbers w:val="0"/>
        <w:spacing w:before="225" w:beforeAutospacing="0" w:line="420" w:lineRule="atLeast"/>
        <w:jc w:val="left"/>
        <w:rPr>
          <w:sz w:val="24"/>
          <w:szCs w:val="24"/>
        </w:rPr>
      </w:pPr>
      <w:r>
        <w:rPr>
          <w:rStyle w:val="6"/>
          <w:sz w:val="24"/>
          <w:szCs w:val="24"/>
        </w:rPr>
        <w:t>　　（四）监督保障情况。我局制定了信息公开实施方案和相关工作制度，严格遵循</w:t>
      </w:r>
      <w:r>
        <w:rPr>
          <w:rStyle w:val="6"/>
          <w:rFonts w:hint="eastAsia"/>
          <w:sz w:val="24"/>
          <w:szCs w:val="24"/>
        </w:rPr>
        <w:t>“先审查、后公开”，做好政务信息保密工作，确保信息公开及时、规范、安全</w:t>
      </w:r>
      <w:r>
        <w:rPr>
          <w:rStyle w:val="6"/>
          <w:sz w:val="24"/>
          <w:szCs w:val="24"/>
        </w:rPr>
        <w:t>。 </w:t>
      </w:r>
    </w:p>
    <w:p>
      <w:pPr>
        <w:pStyle w:val="3"/>
        <w:keepNext w:val="0"/>
        <w:keepLines w:val="0"/>
        <w:widowControl/>
        <w:suppressLineNumbers w:val="0"/>
        <w:spacing w:before="225" w:beforeAutospacing="0" w:line="420" w:lineRule="atLeast"/>
        <w:jc w:val="left"/>
        <w:rPr>
          <w:sz w:val="24"/>
          <w:szCs w:val="24"/>
        </w:rPr>
      </w:pPr>
      <w:r>
        <w:rPr>
          <w:sz w:val="24"/>
          <w:szCs w:val="24"/>
        </w:rPr>
        <w:t>　　三、主动公开政府信息情况</w:t>
      </w:r>
    </w:p>
    <w:tbl>
      <w:tblPr>
        <w:tblpPr w:leftFromText="180" w:rightFromText="180" w:vertAnchor="text" w:tblpXSpec="left" w:tblpY="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8"/>
        <w:gridCol w:w="2150"/>
        <w:gridCol w:w="2143"/>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0" w:type="pct"/>
            <w:gridSpan w:val="4"/>
            <w:tcBorders>
              <w:top w:val="nil"/>
              <w:left w:val="nil"/>
              <w:bottom w:val="nil"/>
              <w:right w:val="nil"/>
            </w:tcBorders>
            <w:shd w:val="clear" w:color="auto" w:fill="C6D9F1"/>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信息内容</w:t>
            </w:r>
          </w:p>
        </w:tc>
        <w:tc>
          <w:tcPr>
            <w:tcW w:w="1249"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本年制发件数</w:t>
            </w:r>
          </w:p>
        </w:tc>
        <w:tc>
          <w:tcPr>
            <w:tcW w:w="1245"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本年废止件数</w:t>
            </w:r>
          </w:p>
        </w:tc>
        <w:tc>
          <w:tcPr>
            <w:tcW w:w="125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规章</w:t>
            </w:r>
          </w:p>
        </w:tc>
        <w:tc>
          <w:tcPr>
            <w:tcW w:w="1249"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245"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25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行政规范性文件</w:t>
            </w:r>
          </w:p>
        </w:tc>
        <w:tc>
          <w:tcPr>
            <w:tcW w:w="1249"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245"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25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nil"/>
              <w:bottom w:val="nil"/>
              <w:right w:val="nil"/>
            </w:tcBorders>
            <w:shd w:val="clear" w:color="auto" w:fill="C6D9F1"/>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信息内容</w:t>
            </w:r>
          </w:p>
        </w:tc>
        <w:tc>
          <w:tcPr>
            <w:tcW w:w="3745" w:type="pct"/>
            <w:gridSpan w:val="3"/>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行政许可</w:t>
            </w:r>
          </w:p>
        </w:tc>
        <w:tc>
          <w:tcPr>
            <w:tcW w:w="3745"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rFonts w:ascii="宋体" w:hAnsi="宋体" w:eastAsia="宋体" w:cs="宋体"/>
                <w:sz w:val="24"/>
                <w:szCs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nil"/>
              <w:bottom w:val="nil"/>
              <w:right w:val="nil"/>
            </w:tcBorders>
            <w:shd w:val="clear" w:color="auto" w:fill="C6D9F1"/>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信息内容</w:t>
            </w:r>
          </w:p>
        </w:tc>
        <w:tc>
          <w:tcPr>
            <w:tcW w:w="3745" w:type="pct"/>
            <w:gridSpan w:val="3"/>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行政处罚</w:t>
            </w:r>
          </w:p>
        </w:tc>
        <w:tc>
          <w:tcPr>
            <w:tcW w:w="3745"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rFonts w:ascii="宋体" w:hAnsi="宋体" w:eastAsia="宋体" w:cs="宋体"/>
                <w:sz w:val="24"/>
                <w:szCs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行政强制</w:t>
            </w:r>
          </w:p>
        </w:tc>
        <w:tc>
          <w:tcPr>
            <w:tcW w:w="3745"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rFonts w:ascii="宋体" w:hAnsi="宋体" w:eastAsia="宋体" w:cs="宋体"/>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nil"/>
              <w:bottom w:val="nil"/>
              <w:right w:val="nil"/>
            </w:tcBorders>
            <w:shd w:val="clear" w:color="auto" w:fill="C6D9F1"/>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信息内容</w:t>
            </w:r>
          </w:p>
        </w:tc>
        <w:tc>
          <w:tcPr>
            <w:tcW w:w="3745"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4"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行政事业性收费</w:t>
            </w:r>
          </w:p>
        </w:tc>
        <w:tc>
          <w:tcPr>
            <w:tcW w:w="3745"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bl>
    <w:p>
      <w:pPr>
        <w:pStyle w:val="3"/>
        <w:keepNext w:val="0"/>
        <w:keepLines w:val="0"/>
        <w:widowControl/>
        <w:suppressLineNumbers w:val="0"/>
        <w:spacing w:before="225" w:beforeAutospacing="0" w:line="420" w:lineRule="atLeast"/>
        <w:jc w:val="left"/>
        <w:rPr>
          <w:sz w:val="24"/>
          <w:szCs w:val="24"/>
        </w:rPr>
      </w:pPr>
      <w:r>
        <w:rPr>
          <w:sz w:val="24"/>
          <w:szCs w:val="24"/>
        </w:rPr>
        <w:t>　　四、收到和处理政府信息公开申请情况</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0"/>
        <w:gridCol w:w="1020"/>
        <w:gridCol w:w="780"/>
        <w:gridCol w:w="1550"/>
        <w:gridCol w:w="540"/>
        <w:gridCol w:w="540"/>
        <w:gridCol w:w="540"/>
        <w:gridCol w:w="540"/>
        <w:gridCol w:w="540"/>
        <w:gridCol w:w="422"/>
        <w:gridCol w:w="119"/>
        <w:gridCol w:w="306"/>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180" w:type="pct"/>
            <w:gridSpan w:val="4"/>
            <w:vMerge w:val="restart"/>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（本列数据的勾稽关系为：第一项加第二项之和，等于第三项加第四项之和）</w:t>
            </w:r>
          </w:p>
        </w:tc>
        <w:tc>
          <w:tcPr>
            <w:tcW w:w="2819" w:type="pct"/>
            <w:gridSpan w:val="9"/>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180" w:type="pct"/>
            <w:gridSpan w:val="4"/>
            <w:vMerge w:val="continue"/>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30" w:type="pct"/>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自然人</w:t>
            </w:r>
          </w:p>
        </w:tc>
        <w:tc>
          <w:tcPr>
            <w:tcW w:w="1338" w:type="pct"/>
            <w:gridSpan w:val="7"/>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法人或其他组织</w:t>
            </w:r>
          </w:p>
        </w:tc>
        <w:tc>
          <w:tcPr>
            <w:tcW w:w="1250" w:type="pct"/>
            <w:vMerge w:val="restar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180" w:type="pct"/>
            <w:gridSpan w:val="4"/>
            <w:vMerge w:val="continue"/>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3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商业企业</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科研</w:t>
            </w:r>
          </w:p>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机构</w:t>
            </w:r>
          </w:p>
        </w:tc>
        <w:tc>
          <w:tcPr>
            <w:tcW w:w="280"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社会公益组织</w:t>
            </w:r>
          </w:p>
        </w:tc>
        <w:tc>
          <w:tcPr>
            <w:tcW w:w="190"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法律服务机构</w:t>
            </w:r>
          </w:p>
        </w:tc>
        <w:tc>
          <w:tcPr>
            <w:tcW w:w="227" w:type="pct"/>
            <w:gridSpan w:val="2"/>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其他</w:t>
            </w:r>
          </w:p>
        </w:tc>
        <w:tc>
          <w:tcPr>
            <w:tcW w:w="177" w:type="pct"/>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pPr>
          </w:p>
        </w:tc>
        <w:tc>
          <w:tcPr>
            <w:tcW w:w="1250" w:type="pct"/>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180" w:type="pct"/>
            <w:gridSpan w:val="4"/>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一、本年新收政府信息公开申请数量</w:t>
            </w:r>
          </w:p>
        </w:tc>
        <w:tc>
          <w:tcPr>
            <w:tcW w:w="23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27"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28" w:type="pct"/>
            <w:gridSpan w:val="2"/>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180" w:type="pct"/>
            <w:gridSpan w:val="4"/>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二、上年结转政府信息公开申请数量</w:t>
            </w:r>
          </w:p>
        </w:tc>
        <w:tc>
          <w:tcPr>
            <w:tcW w:w="23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27"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28"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三、本年度办理结果</w:t>
            </w:r>
          </w:p>
        </w:tc>
        <w:tc>
          <w:tcPr>
            <w:tcW w:w="1873"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27"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28" w:type="pct"/>
            <w:gridSpan w:val="2"/>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873"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27"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28"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2.其他法律行政法规禁止公开</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3.危及“三安全一稳定”</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4.保护第三方合法权益</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5.属于三类内部事务信息</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6.属于四类过程性信息</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7.属于行政执法案卷</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8.属于行政查询事项</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（四）无法提供</w:t>
            </w: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1.本机关不掌握相关政府信息</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2.没有现成信息需要另行制作</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3.补正后申请内容仍不明确</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（五）不予处理</w:t>
            </w: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1.信访举报投诉类申请</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2.重复申请</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3.要求提供公开出版物</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4.无正当理由大量反复申请</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5.要求行政机关确认或重新出具已获取信息</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（六）其他处理</w:t>
            </w: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1.申请人无正当理由逾期不补正、行政机关不再处理其政府信息公开申请</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2.申请人逾期未按通知要求缴纳费用、行政机关不再处理其政府信息公开申请</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1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pPr>
          </w:p>
        </w:tc>
        <w:tc>
          <w:tcPr>
            <w:tcW w:w="30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3.其他</w:t>
            </w:r>
          </w:p>
        </w:tc>
        <w:tc>
          <w:tcPr>
            <w:tcW w:w="1486"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77"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77"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0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873" w:type="pct"/>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（七）总计</w:t>
            </w:r>
          </w:p>
        </w:tc>
        <w:tc>
          <w:tcPr>
            <w:tcW w:w="23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27"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28"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180" w:type="pct"/>
            <w:gridSpan w:val="4"/>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四、结转下年度继续办理</w:t>
            </w:r>
          </w:p>
        </w:tc>
        <w:tc>
          <w:tcPr>
            <w:tcW w:w="23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3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8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90"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227"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1428"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bl>
    <w:p>
      <w:pPr>
        <w:pStyle w:val="3"/>
        <w:keepNext w:val="0"/>
        <w:keepLines w:val="0"/>
        <w:widowControl/>
        <w:suppressLineNumbers w:val="0"/>
        <w:spacing w:before="225" w:beforeAutospacing="0" w:line="420" w:lineRule="atLeast"/>
        <w:jc w:val="left"/>
        <w:rPr>
          <w:sz w:val="24"/>
          <w:szCs w:val="24"/>
        </w:rPr>
      </w:pPr>
      <w:r>
        <w:rPr>
          <w:sz w:val="24"/>
          <w:szCs w:val="24"/>
        </w:rPr>
        <w:t>　　五、政府信息公开行政复议、行政诉讼情况</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78"/>
        <w:gridCol w:w="578"/>
        <w:gridCol w:w="578"/>
        <w:gridCol w:w="578"/>
        <w:gridCol w:w="553"/>
        <w:gridCol w:w="291"/>
        <w:gridCol w:w="286"/>
        <w:gridCol w:w="578"/>
        <w:gridCol w:w="578"/>
        <w:gridCol w:w="578"/>
        <w:gridCol w:w="553"/>
        <w:gridCol w:w="293"/>
        <w:gridCol w:w="284"/>
        <w:gridCol w:w="578"/>
        <w:gridCol w:w="579"/>
        <w:gridCol w:w="579"/>
        <w:gridCol w:w="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834" w:type="pct"/>
            <w:gridSpan w:val="6"/>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行政复议</w:t>
            </w:r>
          </w:p>
        </w:tc>
        <w:tc>
          <w:tcPr>
            <w:tcW w:w="3165" w:type="pct"/>
            <w:gridSpan w:val="11"/>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6" w:type="pct"/>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结果维持</w:t>
            </w:r>
          </w:p>
        </w:tc>
        <w:tc>
          <w:tcPr>
            <w:tcW w:w="336" w:type="pct"/>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结果纠正</w:t>
            </w:r>
          </w:p>
        </w:tc>
        <w:tc>
          <w:tcPr>
            <w:tcW w:w="336" w:type="pct"/>
            <w:vMerge w:val="restar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其他结果</w:t>
            </w:r>
          </w:p>
        </w:tc>
        <w:tc>
          <w:tcPr>
            <w:tcW w:w="336" w:type="pct"/>
            <w:vMerge w:val="restar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尚未审结</w:t>
            </w:r>
          </w:p>
        </w:tc>
        <w:tc>
          <w:tcPr>
            <w:tcW w:w="321" w:type="pct"/>
            <w:vMerge w:val="restar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总计</w:t>
            </w:r>
          </w:p>
        </w:tc>
        <w:tc>
          <w:tcPr>
            <w:tcW w:w="1834" w:type="pct"/>
            <w:gridSpan w:val="7"/>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未经复议直接起诉</w:t>
            </w:r>
          </w:p>
        </w:tc>
        <w:tc>
          <w:tcPr>
            <w:tcW w:w="1498" w:type="pct"/>
            <w:gridSpan w:val="5"/>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6" w:type="pct"/>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36" w:type="pct"/>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36" w:type="pct"/>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36" w:type="pct"/>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21" w:type="pct"/>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35"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结果维持</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结果纠正</w:t>
            </w:r>
          </w:p>
        </w:tc>
        <w:tc>
          <w:tcPr>
            <w:tcW w:w="336"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其他结果</w:t>
            </w:r>
          </w:p>
        </w:tc>
        <w:tc>
          <w:tcPr>
            <w:tcW w:w="336"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尚未审结</w:t>
            </w:r>
          </w:p>
        </w:tc>
        <w:tc>
          <w:tcPr>
            <w:tcW w:w="321"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总计</w:t>
            </w:r>
          </w:p>
        </w:tc>
        <w:tc>
          <w:tcPr>
            <w:tcW w:w="335" w:type="pct"/>
            <w:gridSpan w:val="2"/>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结果维持</w:t>
            </w:r>
          </w:p>
        </w:tc>
        <w:tc>
          <w:tcPr>
            <w:tcW w:w="336"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结果纠正</w:t>
            </w:r>
          </w:p>
        </w:tc>
        <w:tc>
          <w:tcPr>
            <w:tcW w:w="336"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其他结果</w:t>
            </w:r>
          </w:p>
        </w:tc>
        <w:tc>
          <w:tcPr>
            <w:tcW w:w="336"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尚未审结</w:t>
            </w:r>
          </w:p>
        </w:tc>
        <w:tc>
          <w:tcPr>
            <w:tcW w:w="321" w:type="pc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36" w:type="pc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2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5"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2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5" w:type="pct"/>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36"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c>
          <w:tcPr>
            <w:tcW w:w="321" w:type="pc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wordWrap w:val="0"/>
              <w:spacing w:before="225" w:beforeAutospacing="0" w:line="420" w:lineRule="atLeast"/>
              <w:jc w:val="left"/>
              <w:rPr>
                <w:sz w:val="24"/>
                <w:szCs w:val="24"/>
              </w:rPr>
            </w:pPr>
            <w:r>
              <w:rPr>
                <w:sz w:val="24"/>
                <w:szCs w:val="24"/>
                <w:bdr w:val="none" w:color="auto" w:sz="0" w:space="0"/>
              </w:rPr>
              <w:t>0</w:t>
            </w:r>
          </w:p>
        </w:tc>
      </w:tr>
    </w:tbl>
    <w:p>
      <w:pPr>
        <w:pStyle w:val="3"/>
        <w:keepNext w:val="0"/>
        <w:keepLines w:val="0"/>
        <w:widowControl/>
        <w:suppressLineNumbers w:val="0"/>
        <w:spacing w:before="225" w:beforeAutospacing="0" w:line="420" w:lineRule="atLeast"/>
        <w:jc w:val="left"/>
        <w:rPr>
          <w:sz w:val="24"/>
          <w:szCs w:val="24"/>
        </w:rPr>
      </w:pPr>
      <w:r>
        <w:rPr>
          <w:sz w:val="24"/>
          <w:szCs w:val="24"/>
        </w:rPr>
        <w:t>　　六、存在的主要问题及改进情况</w:t>
      </w:r>
    </w:p>
    <w:p>
      <w:pPr>
        <w:pStyle w:val="3"/>
        <w:keepNext w:val="0"/>
        <w:keepLines w:val="0"/>
        <w:widowControl/>
        <w:suppressLineNumbers w:val="0"/>
        <w:spacing w:before="225" w:beforeAutospacing="0" w:line="420" w:lineRule="atLeast"/>
        <w:jc w:val="left"/>
        <w:rPr>
          <w:rStyle w:val="6"/>
          <w:rFonts w:hint="default"/>
          <w:sz w:val="24"/>
          <w:szCs w:val="24"/>
          <w:lang w:val="en-US" w:eastAsia="zh-CN"/>
        </w:rPr>
      </w:pPr>
      <w:r>
        <w:rPr>
          <w:rStyle w:val="6"/>
          <w:sz w:val="24"/>
          <w:szCs w:val="24"/>
        </w:rPr>
        <w:t>　　</w:t>
      </w:r>
      <w:r>
        <w:rPr>
          <w:rStyle w:val="6"/>
          <w:sz w:val="24"/>
          <w:szCs w:val="24"/>
          <w:lang w:val="en-US" w:eastAsia="zh-CN"/>
        </w:rPr>
        <w:t>202</w:t>
      </w:r>
      <w:r>
        <w:rPr>
          <w:rStyle w:val="6"/>
          <w:rFonts w:hint="default"/>
          <w:sz w:val="24"/>
          <w:szCs w:val="24"/>
          <w:lang w:val="en-US" w:eastAsia="zh-CN"/>
        </w:rPr>
        <w:t>2年，我局在政府信息公开工作中做了大量的工作，虽然取得了一定的成绩，但还存在一些不足，主要表现在对政府信息公开工作相关要求和规定的学习有待进一步加强。</w:t>
      </w:r>
    </w:p>
    <w:p>
      <w:pPr>
        <w:spacing w:line="550" w:lineRule="exact"/>
        <w:ind w:firstLine="482" w:firstLineChars="200"/>
        <w:rPr>
          <w:rStyle w:val="6"/>
          <w:rFonts w:hint="eastAsia"/>
          <w:sz w:val="24"/>
          <w:szCs w:val="24"/>
        </w:rPr>
      </w:pPr>
      <w:r>
        <w:rPr>
          <w:rStyle w:val="6"/>
          <w:rFonts w:hint="default"/>
          <w:sz w:val="24"/>
          <w:szCs w:val="24"/>
          <w:lang w:val="en-US" w:eastAsia="zh-CN"/>
        </w:rPr>
        <w:t>下一步，我局将严格落实政府信息公开工作的总体要求，加强对全体干部的政府信息公开工作知识的学习和培训,促进广大干部进一步领会和贯彻落实《中华人民共和国政府信息公开条例》，增强政府信息公开的及时性、全面性、规范性，以更高质量的政务公开促落实、促规范、促服务。</w:t>
      </w:r>
    </w:p>
    <w:p>
      <w:pPr>
        <w:pStyle w:val="3"/>
        <w:keepNext w:val="0"/>
        <w:keepLines w:val="0"/>
        <w:widowControl/>
        <w:suppressLineNumbers w:val="0"/>
        <w:spacing w:before="225" w:beforeAutospacing="0" w:line="420" w:lineRule="atLeast"/>
        <w:jc w:val="left"/>
        <w:rPr>
          <w:sz w:val="24"/>
          <w:szCs w:val="24"/>
        </w:rPr>
      </w:pPr>
      <w:r>
        <w:rPr>
          <w:sz w:val="24"/>
          <w:szCs w:val="24"/>
        </w:rPr>
        <w:t>　　六、</w:t>
      </w:r>
      <w:r>
        <w:rPr>
          <w:rStyle w:val="6"/>
          <w:sz w:val="24"/>
          <w:szCs w:val="24"/>
        </w:rPr>
        <w:t>其他需要报告的事项</w:t>
      </w:r>
    </w:p>
    <w:p>
      <w:pPr>
        <w:pStyle w:val="3"/>
        <w:keepNext w:val="0"/>
        <w:keepLines w:val="0"/>
        <w:widowControl/>
        <w:suppressLineNumbers w:val="0"/>
        <w:spacing w:before="225" w:beforeAutospacing="0" w:line="420" w:lineRule="atLeast"/>
        <w:ind w:firstLine="481"/>
        <w:jc w:val="left"/>
        <w:rPr>
          <w:rStyle w:val="6"/>
          <w:sz w:val="24"/>
          <w:szCs w:val="24"/>
        </w:rPr>
      </w:pPr>
      <w:r>
        <w:rPr>
          <w:rStyle w:val="6"/>
          <w:sz w:val="24"/>
          <w:szCs w:val="24"/>
        </w:rPr>
        <w:t>无。</w:t>
      </w:r>
      <w:r>
        <w:rPr>
          <w:rStyle w:val="6"/>
          <w:rFonts w:hint="eastAsia"/>
          <w:sz w:val="24"/>
          <w:szCs w:val="24"/>
          <w:lang w:val="en-US" w:eastAsia="zh-CN"/>
        </w:rPr>
        <w:t xml:space="preserve">                                </w:t>
      </w:r>
      <w:r>
        <w:rPr>
          <w:rStyle w:val="6"/>
          <w:sz w:val="24"/>
          <w:szCs w:val="24"/>
        </w:rPr>
        <w:t>　　</w:t>
      </w:r>
    </w:p>
    <w:p>
      <w:pPr>
        <w:pStyle w:val="3"/>
        <w:keepNext w:val="0"/>
        <w:keepLines w:val="0"/>
        <w:widowControl/>
        <w:suppressLineNumbers w:val="0"/>
        <w:spacing w:before="225" w:beforeAutospacing="0" w:line="420" w:lineRule="atLeast"/>
        <w:ind w:firstLine="481"/>
        <w:jc w:val="right"/>
        <w:rPr>
          <w:rStyle w:val="6"/>
          <w:sz w:val="24"/>
          <w:szCs w:val="24"/>
        </w:rPr>
      </w:pPr>
      <w:r>
        <w:rPr>
          <w:rStyle w:val="6"/>
          <w:sz w:val="24"/>
          <w:szCs w:val="24"/>
        </w:rPr>
        <w:t>2022年1月</w:t>
      </w:r>
      <w:r>
        <w:rPr>
          <w:rStyle w:val="6"/>
          <w:rFonts w:hint="eastAsia"/>
          <w:sz w:val="24"/>
          <w:szCs w:val="24"/>
          <w:lang w:val="en-US" w:eastAsia="zh-CN"/>
        </w:rPr>
        <w:t>9</w:t>
      </w:r>
      <w:r>
        <w:rPr>
          <w:rStyle w:val="6"/>
          <w:sz w:val="24"/>
          <w:szCs w:val="24"/>
        </w:rPr>
        <w:t>日</w:t>
      </w:r>
    </w:p>
    <w:p>
      <w:pPr>
        <w:pStyle w:val="3"/>
        <w:keepNext w:val="0"/>
        <w:keepLines w:val="0"/>
        <w:widowControl/>
        <w:suppressLineNumbers w:val="0"/>
        <w:spacing w:before="225" w:beforeAutospacing="0" w:line="420" w:lineRule="atLeast"/>
        <w:ind w:firstLine="481"/>
        <w:jc w:val="right"/>
        <w:rPr>
          <w:rStyle w:val="6"/>
          <w:sz w:val="24"/>
          <w:szCs w:val="24"/>
        </w:rPr>
      </w:pPr>
    </w:p>
    <w:p>
      <w:pPr>
        <w:pStyle w:val="3"/>
        <w:keepNext w:val="0"/>
        <w:keepLines w:val="0"/>
        <w:widowControl/>
        <w:suppressLineNumbers w:val="0"/>
        <w:spacing w:before="225" w:beforeAutospacing="0" w:line="420" w:lineRule="atLeast"/>
        <w:jc w:val="both"/>
        <w:rPr>
          <w:sz w:val="24"/>
          <w:szCs w:val="24"/>
        </w:rPr>
      </w:pPr>
      <w:r>
        <w:rPr>
          <w:sz w:val="24"/>
          <w:szCs w:val="24"/>
        </w:rPr>
        <w:t>附件：</w:t>
      </w:r>
    </w:p>
    <w:p>
      <w:pPr>
        <w:pStyle w:val="3"/>
        <w:keepNext w:val="0"/>
        <w:keepLines w:val="0"/>
        <w:widowControl/>
        <w:suppressLineNumbers w:val="0"/>
        <w:spacing w:before="225" w:beforeAutospacing="0" w:line="420" w:lineRule="atLeast"/>
        <w:jc w:val="both"/>
      </w:pPr>
      <w:r>
        <w:rPr>
          <w:color w:val="000000"/>
          <w:sz w:val="24"/>
          <w:szCs w:val="24"/>
          <w:u w:val="none"/>
        </w:rPr>
        <w:fldChar w:fldCharType="begin"/>
      </w:r>
      <w:r>
        <w:rPr>
          <w:color w:val="000000"/>
          <w:sz w:val="24"/>
          <w:szCs w:val="24"/>
          <w:u w:val="none"/>
        </w:rPr>
        <w:instrText xml:space="preserve"> HYPERLINK "http://www.gdmx.gov.cn/attachment/0/119/119765/2277066.docx" \t "http://www.gdmx.gov.cn/zfxxgkml/mxqjtysj/zfxxgkgzndbg/content/_blank" </w:instrText>
      </w:r>
      <w:r>
        <w:rPr>
          <w:color w:val="000000"/>
          <w:sz w:val="24"/>
          <w:szCs w:val="24"/>
          <w:u w:val="none"/>
        </w:rPr>
        <w:fldChar w:fldCharType="separate"/>
      </w:r>
      <w:r>
        <w:rPr>
          <w:rStyle w:val="7"/>
          <w:color w:val="000000"/>
          <w:sz w:val="24"/>
          <w:szCs w:val="24"/>
          <w:u w:val="none"/>
        </w:rPr>
        <w:t>梅县区交通运输局202</w:t>
      </w:r>
      <w:r>
        <w:rPr>
          <w:rStyle w:val="7"/>
          <w:rFonts w:hint="eastAsia"/>
          <w:color w:val="000000"/>
          <w:sz w:val="24"/>
          <w:szCs w:val="24"/>
          <w:u w:val="none"/>
          <w:lang w:val="en-US" w:eastAsia="zh-CN"/>
        </w:rPr>
        <w:t>2</w:t>
      </w:r>
      <w:r>
        <w:rPr>
          <w:rStyle w:val="7"/>
          <w:color w:val="000000"/>
          <w:sz w:val="24"/>
          <w:szCs w:val="24"/>
          <w:u w:val="none"/>
        </w:rPr>
        <w:t>年政府信息公开工作年度报告.docx</w:t>
      </w:r>
      <w:r>
        <w:rPr>
          <w:color w:val="000000"/>
          <w:sz w:val="24"/>
          <w:szCs w:val="24"/>
          <w:u w:val="none"/>
        </w:rPr>
        <w:fldChar w:fldCharType="end"/>
      </w:r>
    </w:p>
    <w:sectPr>
      <w:pgSz w:w="11906" w:h="16838"/>
      <w:pgMar w:top="8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ZDE4NWFmYWM3NzIyZTdlMzE1YjE4MTYwOWIwMzIifQ=="/>
    <w:docVar w:name="KSO_WPS_MARK_KEY" w:val="1349d56d-4fde-45ab-bfd3-dbcd245ee33b"/>
  </w:docVars>
  <w:rsids>
    <w:rsidRoot w:val="00000000"/>
    <w:rsid w:val="07B93C79"/>
    <w:rsid w:val="07C03DF5"/>
    <w:rsid w:val="0B6A3733"/>
    <w:rsid w:val="10FF460C"/>
    <w:rsid w:val="18053987"/>
    <w:rsid w:val="193F788A"/>
    <w:rsid w:val="21EE53C1"/>
    <w:rsid w:val="29837EA3"/>
    <w:rsid w:val="34D53AEB"/>
    <w:rsid w:val="3A4164A5"/>
    <w:rsid w:val="3B581673"/>
    <w:rsid w:val="3F47212A"/>
    <w:rsid w:val="42CB6BCE"/>
    <w:rsid w:val="4CDE0D42"/>
    <w:rsid w:val="4E8636A2"/>
    <w:rsid w:val="536835E1"/>
    <w:rsid w:val="60E247BB"/>
    <w:rsid w:val="61E37639"/>
    <w:rsid w:val="650D2C1F"/>
    <w:rsid w:val="6E056D59"/>
    <w:rsid w:val="6E242F18"/>
    <w:rsid w:val="72623AC0"/>
    <w:rsid w:val="72E46AF7"/>
    <w:rsid w:val="7824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1776</Words>
  <Characters>1826</Characters>
  <Lines>0</Lines>
  <Paragraphs>0</Paragraphs>
  <TotalTime>7</TotalTime>
  <ScaleCrop>false</ScaleCrop>
  <LinksUpToDate>false</LinksUpToDate>
  <CharactersWithSpaces>1891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2022-11-10T08:28:00Z</dcterms:created>
  <dc:creator>Administrator</dc:creator>
  <cp:lastModifiedBy>Administrator</cp:lastModifiedBy>
  <dcterms:modified xsi:type="dcterms:W3CDTF">2023-01-09T09:17:13Z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E4F8AD0F82384BD195CC1EA59590F074</vt:lpwstr>
  </property>
</Properties>
</file>