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360" w:lineRule="auto"/>
        <w:jc w:val="center"/>
        <w:rPr>
          <w:rFonts w:ascii="仿宋_GB2312" w:hAnsi="宋体" w:eastAsia="仿宋_GB2312"/>
          <w:sz w:val="28"/>
          <w:szCs w:val="28"/>
        </w:rPr>
      </w:pPr>
      <w:r>
        <w:rPr>
          <w:rFonts w:hint="eastAsia" w:ascii="方正小标宋简体" w:hAnsi="方正小标宋简体" w:eastAsia="方正小标宋简体" w:cs="方正小标宋简体"/>
          <w:b/>
          <w:bCs/>
          <w:sz w:val="44"/>
          <w:szCs w:val="44"/>
        </w:rPr>
        <w:t>项目支出绩效自评报告</w:t>
      </w: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p>
    <w:p>
      <w:pPr>
        <w:spacing w:line="360" w:lineRule="auto"/>
        <w:ind w:firstLine="560" w:firstLineChars="200"/>
        <w:rPr>
          <w:rFonts w:ascii="仿宋_GB2312" w:hAnsi="宋体" w:eastAsia="仿宋_GB2312"/>
          <w:sz w:val="28"/>
          <w:szCs w:val="28"/>
        </w:rPr>
      </w:pPr>
    </w:p>
    <w:p>
      <w:pPr>
        <w:spacing w:line="360" w:lineRule="auto"/>
        <w:rPr>
          <w:rFonts w:ascii="仿宋_GB2312" w:hAnsi="宋体" w:eastAsia="仿宋_GB2312"/>
          <w:sz w:val="28"/>
          <w:szCs w:val="28"/>
        </w:rPr>
      </w:pP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项目名称：冷链经费、疫苗经费(疫苗配送等)</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区级项目主管部门：梅州市梅县区卫生健康局</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填报人姓名：黄小娜</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联系电话:2562032</w:t>
      </w:r>
    </w:p>
    <w:p>
      <w:pPr>
        <w:snapToGrid w:val="0"/>
        <w:spacing w:line="360" w:lineRule="auto"/>
        <w:ind w:firstLine="640" w:firstLineChars="200"/>
        <w:rPr>
          <w:rFonts w:ascii="仿宋_GB2312" w:eastAsia="仿宋_GB2312"/>
          <w:sz w:val="32"/>
          <w:szCs w:val="32"/>
        </w:rPr>
        <w:sectPr>
          <w:head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t>填报日期：2022年4月22日</w:t>
      </w:r>
    </w:p>
    <w:p>
      <w:pPr>
        <w:pStyle w:val="13"/>
        <w:numPr>
          <w:ilvl w:val="0"/>
          <w:numId w:val="1"/>
        </w:numPr>
        <w:spacing w:line="600" w:lineRule="exact"/>
        <w:ind w:firstLineChars="0"/>
        <w:rPr>
          <w:rFonts w:ascii="仿宋" w:hAnsi="仿宋" w:eastAsia="仿宋" w:cs="仿宋"/>
          <w:b/>
          <w:bCs/>
          <w:sz w:val="32"/>
          <w:szCs w:val="32"/>
        </w:rPr>
      </w:pPr>
      <w:r>
        <w:rPr>
          <w:rFonts w:hint="eastAsia" w:ascii="仿宋" w:hAnsi="仿宋" w:eastAsia="仿宋" w:cs="仿宋"/>
          <w:b/>
          <w:bCs/>
          <w:sz w:val="32"/>
          <w:szCs w:val="32"/>
        </w:rPr>
        <w:t>项目概况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冷链经费用于对全区19个预防接种门诊、4家产科预防接种门诊、19家狂犬病暴露处置门诊开展免疫规划工作指导和免疫规划冷链设备的使用更新维护，目的是严格疫苗管理，保障接种安全。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疫苗经费（疫苗配送）是根据国务院关于修改《疫苗流通和预防接种管理条例》的决定（中华人民共和国令第668号）的要求规定，对全区所有预防接种门诊使用的疫苗实行每月配送，目的是加强疫苗储存运输管理，保证疫苗质量，确保预防接种有效性和安全性。</w:t>
      </w:r>
    </w:p>
    <w:p>
      <w:pPr>
        <w:pStyle w:val="13"/>
        <w:numPr>
          <w:ilvl w:val="0"/>
          <w:numId w:val="1"/>
        </w:numPr>
        <w:spacing w:line="600" w:lineRule="exact"/>
        <w:ind w:firstLineChars="0"/>
        <w:rPr>
          <w:rFonts w:ascii="仿宋" w:hAnsi="仿宋" w:eastAsia="仿宋" w:cs="仿宋"/>
          <w:b/>
          <w:bCs/>
          <w:sz w:val="32"/>
          <w:szCs w:val="32"/>
        </w:rPr>
      </w:pPr>
      <w:r>
        <w:rPr>
          <w:rFonts w:hint="eastAsia" w:ascii="仿宋" w:hAnsi="仿宋" w:eastAsia="仿宋" w:cs="仿宋"/>
          <w:b/>
          <w:bCs/>
          <w:sz w:val="32"/>
          <w:szCs w:val="32"/>
        </w:rPr>
        <w:t>项目执行基本情况</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上述两项资金于当年7月到账，共计14万元，区疾控中心严格按照财务管理制度进行管理，做到专款专用，全年两项资金实际支出数14万元，执行率100%。</w:t>
      </w:r>
    </w:p>
    <w:p>
      <w:pPr>
        <w:pStyle w:val="13"/>
        <w:numPr>
          <w:ilvl w:val="0"/>
          <w:numId w:val="1"/>
        </w:numPr>
        <w:spacing w:line="600" w:lineRule="exact"/>
        <w:ind w:firstLineChars="0"/>
        <w:rPr>
          <w:rFonts w:ascii="仿宋" w:hAnsi="仿宋" w:eastAsia="仿宋" w:cs="仿宋"/>
          <w:b/>
          <w:bCs/>
          <w:sz w:val="32"/>
          <w:szCs w:val="32"/>
        </w:rPr>
      </w:pPr>
      <w:r>
        <w:rPr>
          <w:rFonts w:hint="eastAsia" w:ascii="仿宋" w:hAnsi="仿宋" w:eastAsia="仿宋" w:cs="仿宋"/>
          <w:b/>
          <w:bCs/>
          <w:sz w:val="32"/>
          <w:szCs w:val="32"/>
        </w:rPr>
        <w:t>项目自评情况</w:t>
      </w:r>
    </w:p>
    <w:p>
      <w:pPr>
        <w:spacing w:line="600" w:lineRule="exact"/>
        <w:ind w:firstLine="645"/>
        <w:rPr>
          <w:rFonts w:ascii="仿宋" w:hAnsi="仿宋" w:eastAsia="仿宋" w:cs="仿宋"/>
          <w:sz w:val="32"/>
          <w:szCs w:val="32"/>
        </w:rPr>
      </w:pPr>
      <w:r>
        <w:rPr>
          <w:rFonts w:hint="eastAsia" w:ascii="仿宋" w:hAnsi="仿宋" w:eastAsia="仿宋" w:cs="仿宋"/>
          <w:sz w:val="32"/>
          <w:szCs w:val="32"/>
        </w:rPr>
        <w:t>区疾控中心严格按照《中华人民共和国疫苗管理法》、《预防接种工作规范》等要求，制</w:t>
      </w:r>
      <w:r>
        <w:rPr>
          <w:rFonts w:hint="eastAsia" w:ascii="仿宋" w:hAnsi="仿宋" w:eastAsia="仿宋" w:cs="仿宋"/>
          <w:color w:val="auto"/>
          <w:sz w:val="32"/>
          <w:szCs w:val="32"/>
        </w:rPr>
        <w:t>订了</w:t>
      </w:r>
      <w:r>
        <w:rPr>
          <w:rFonts w:hint="eastAsia" w:ascii="仿宋" w:hAnsi="仿宋" w:eastAsia="仿宋" w:cs="仿宋"/>
          <w:color w:val="auto"/>
          <w:sz w:val="32"/>
          <w:szCs w:val="32"/>
          <w:lang w:val="en-US" w:eastAsia="zh-CN"/>
        </w:rPr>
        <w:t>梅县区</w:t>
      </w:r>
      <w:r>
        <w:rPr>
          <w:rFonts w:hint="eastAsia" w:ascii="仿宋" w:hAnsi="仿宋" w:eastAsia="仿宋" w:cs="仿宋"/>
          <w:sz w:val="32"/>
          <w:szCs w:val="32"/>
        </w:rPr>
        <w:t>《疫苗储存和运输管理制度》，全面规范开展全区的疫苗储存及冷链配送工作， 2020年10月依托“广东省民生实事”项目，区疾控中心疫苗储存冷库建成并投入使用，配套普通冷库总容积为33立方米，缓冲区和作业区合计98立方</w:t>
      </w:r>
      <w:bookmarkStart w:id="0" w:name="_GoBack"/>
      <w:bookmarkEnd w:id="0"/>
      <w:r>
        <w:rPr>
          <w:rFonts w:hint="eastAsia" w:ascii="仿宋" w:hAnsi="仿宋" w:eastAsia="仿宋" w:cs="仿宋"/>
          <w:sz w:val="32"/>
          <w:szCs w:val="32"/>
        </w:rPr>
        <w:t>米，低温冷库15立方米。现有冷库总容积190.43立方米。冷库各区域包括：冷库、作业区、缓冲区均设有温度自动监测系统。2020年12月底在原有1辆冷藏车的基础上，由省级再配置1辆疫苗冷链专用车，目前区疾控中心共有2辆，保证全区疫苗全程冷链配送到各个接种单位。</w:t>
      </w:r>
    </w:p>
    <w:p>
      <w:pPr>
        <w:spacing w:line="600" w:lineRule="exact"/>
        <w:ind w:firstLine="645"/>
        <w:rPr>
          <w:rFonts w:ascii="仿宋" w:hAnsi="仿宋" w:eastAsia="仿宋" w:cs="仿宋"/>
          <w:sz w:val="32"/>
          <w:szCs w:val="32"/>
        </w:rPr>
      </w:pPr>
      <w:r>
        <w:rPr>
          <w:rFonts w:hint="eastAsia" w:ascii="仿宋" w:hAnsi="仿宋" w:eastAsia="仿宋" w:cs="仿宋"/>
          <w:sz w:val="32"/>
          <w:szCs w:val="32"/>
        </w:rPr>
        <w:t>（1）疫苗存储情况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区疾控中心普通冷库总容积为33立方米，低温冷库15立方米，缓冲区和作业区合计98立方米，能满足日常疫苗存储。</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冷库维护工作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2021年至12月前冷库维护和冷库设备故障修理由建设方“深圳欧雪”免费维护一年。2022年开始委托广东源耀生命科学有限公司开展冷库维护保养、故障修理工作。</w:t>
      </w:r>
    </w:p>
    <w:p>
      <w:pPr>
        <w:spacing w:line="600" w:lineRule="exact"/>
        <w:ind w:firstLine="645"/>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sz w:val="32"/>
          <w:szCs w:val="32"/>
        </w:rPr>
        <w:t>温度预警情况</w:t>
      </w:r>
    </w:p>
    <w:p>
      <w:pPr>
        <w:spacing w:line="600" w:lineRule="exact"/>
        <w:ind w:firstLine="645"/>
        <w:rPr>
          <w:rFonts w:ascii="仿宋" w:hAnsi="仿宋" w:eastAsia="仿宋" w:cs="仿宋"/>
          <w:sz w:val="32"/>
          <w:szCs w:val="32"/>
        </w:rPr>
      </w:pPr>
      <w:r>
        <w:rPr>
          <w:rFonts w:hint="eastAsia" w:ascii="仿宋" w:hAnsi="仿宋" w:eastAsia="仿宋" w:cs="仿宋"/>
          <w:sz w:val="32"/>
          <w:szCs w:val="32"/>
        </w:rPr>
        <w:t>2021年采用智能系统的冷链预警系统，费用纳入冷库维护费用中。</w:t>
      </w:r>
    </w:p>
    <w:p>
      <w:pPr>
        <w:spacing w:line="600" w:lineRule="exact"/>
        <w:ind w:firstLine="645"/>
        <w:rPr>
          <w:rFonts w:ascii="仿宋" w:hAnsi="仿宋" w:eastAsia="仿宋" w:cs="仿宋"/>
          <w:sz w:val="32"/>
          <w:szCs w:val="32"/>
        </w:rPr>
      </w:pPr>
      <w:r>
        <w:rPr>
          <w:rFonts w:hint="eastAsia" w:ascii="仿宋" w:hAnsi="仿宋" w:eastAsia="仿宋" w:cs="仿宋"/>
          <w:sz w:val="32"/>
          <w:szCs w:val="32"/>
        </w:rPr>
        <w:t>（4）疫苗运输工作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我区严格规范做好预防接种管理工作，按各预防接种门诊每月上报的使用计划进行疫苗配送工作，每次配送均对运输疫苗的冷链设备（冷链车）进行温度监测并记录，记录内容包括疫苗名称、生产企业、数量、批号及有效期、启运和到达时间、启运和到达时的疫苗储存温度和环境温度、运输过程中的温度变化、运输工具名称和接送疫苗人员签名。记录数据做到真实、准确。</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（5）冷链运输应急工作</w:t>
      </w:r>
    </w:p>
    <w:p>
      <w:pPr>
        <w:spacing w:line="600" w:lineRule="exact"/>
        <w:ind w:firstLine="640" w:firstLineChars="200"/>
        <w:rPr>
          <w:rFonts w:ascii="仿宋" w:hAnsi="仿宋" w:eastAsia="仿宋" w:cs="仿宋"/>
          <w:b/>
          <w:bCs/>
          <w:sz w:val="32"/>
          <w:szCs w:val="32"/>
        </w:rPr>
      </w:pPr>
      <w:r>
        <w:rPr>
          <w:rFonts w:hint="eastAsia" w:ascii="仿宋" w:hAnsi="仿宋" w:eastAsia="仿宋" w:cs="仿宋"/>
          <w:sz w:val="32"/>
          <w:szCs w:val="32"/>
        </w:rPr>
        <w:t>冷链运输单位制定了《疫苗储运过程中温度控制应急预案》，定期对疫苗配送车辆进行检修，保障车辆运输安全。疫苗储存冷库及冷链运输车温度监测记录完整；在配送疫苗的过程中及时将冷链运输温度提供给各预防接种单位，并完整填写疫苗运输记录表。</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103CD"/>
    <w:multiLevelType w:val="multilevel"/>
    <w:tmpl w:val="3AE103CD"/>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0OTVlNzQ1OWRjYzk3ZWVkNTk3Zjg2NDRkZmRhNzMifQ=="/>
  </w:docVars>
  <w:rsids>
    <w:rsidRoot w:val="00172A27"/>
    <w:rsid w:val="00000F43"/>
    <w:rsid w:val="00002208"/>
    <w:rsid w:val="0001548A"/>
    <w:rsid w:val="00053690"/>
    <w:rsid w:val="00053CD2"/>
    <w:rsid w:val="000729F1"/>
    <w:rsid w:val="00076260"/>
    <w:rsid w:val="00086730"/>
    <w:rsid w:val="00086BFC"/>
    <w:rsid w:val="000918B1"/>
    <w:rsid w:val="000A0BD3"/>
    <w:rsid w:val="000A4AC4"/>
    <w:rsid w:val="000F0CDE"/>
    <w:rsid w:val="000F245F"/>
    <w:rsid w:val="000F4E8D"/>
    <w:rsid w:val="000F5310"/>
    <w:rsid w:val="000F5981"/>
    <w:rsid w:val="00114C4A"/>
    <w:rsid w:val="00120143"/>
    <w:rsid w:val="00130103"/>
    <w:rsid w:val="00160736"/>
    <w:rsid w:val="00164AE2"/>
    <w:rsid w:val="00166569"/>
    <w:rsid w:val="00172A27"/>
    <w:rsid w:val="00173A94"/>
    <w:rsid w:val="00175CEF"/>
    <w:rsid w:val="00177339"/>
    <w:rsid w:val="00181D0E"/>
    <w:rsid w:val="00181FBA"/>
    <w:rsid w:val="00185E66"/>
    <w:rsid w:val="00197A2B"/>
    <w:rsid w:val="001A7A6E"/>
    <w:rsid w:val="001B54D5"/>
    <w:rsid w:val="001C1F35"/>
    <w:rsid w:val="001C4567"/>
    <w:rsid w:val="001D32C9"/>
    <w:rsid w:val="001D50B7"/>
    <w:rsid w:val="00202824"/>
    <w:rsid w:val="00203C15"/>
    <w:rsid w:val="00221001"/>
    <w:rsid w:val="00225B4B"/>
    <w:rsid w:val="002358E6"/>
    <w:rsid w:val="0024474D"/>
    <w:rsid w:val="00262CB1"/>
    <w:rsid w:val="00265FF1"/>
    <w:rsid w:val="00266E50"/>
    <w:rsid w:val="00272F2C"/>
    <w:rsid w:val="00282FE8"/>
    <w:rsid w:val="00286E3D"/>
    <w:rsid w:val="00290153"/>
    <w:rsid w:val="00293E46"/>
    <w:rsid w:val="00295723"/>
    <w:rsid w:val="0029757E"/>
    <w:rsid w:val="002A0C4B"/>
    <w:rsid w:val="002A67BD"/>
    <w:rsid w:val="002B3FFB"/>
    <w:rsid w:val="002D1EA8"/>
    <w:rsid w:val="002D23F7"/>
    <w:rsid w:val="002D43C4"/>
    <w:rsid w:val="002F1277"/>
    <w:rsid w:val="002F19D9"/>
    <w:rsid w:val="002F531F"/>
    <w:rsid w:val="00305903"/>
    <w:rsid w:val="00334B24"/>
    <w:rsid w:val="003417A8"/>
    <w:rsid w:val="00344CBE"/>
    <w:rsid w:val="003544D6"/>
    <w:rsid w:val="0039636A"/>
    <w:rsid w:val="003C6330"/>
    <w:rsid w:val="004122FD"/>
    <w:rsid w:val="00420C80"/>
    <w:rsid w:val="00427D3C"/>
    <w:rsid w:val="0043767C"/>
    <w:rsid w:val="00443BA7"/>
    <w:rsid w:val="00447F4E"/>
    <w:rsid w:val="00460D9A"/>
    <w:rsid w:val="00471877"/>
    <w:rsid w:val="00474BD9"/>
    <w:rsid w:val="004B00E4"/>
    <w:rsid w:val="004B5207"/>
    <w:rsid w:val="004C717A"/>
    <w:rsid w:val="004D3FEC"/>
    <w:rsid w:val="004E7296"/>
    <w:rsid w:val="004F0341"/>
    <w:rsid w:val="004F0DC3"/>
    <w:rsid w:val="004F7C04"/>
    <w:rsid w:val="005063F8"/>
    <w:rsid w:val="00507837"/>
    <w:rsid w:val="00512358"/>
    <w:rsid w:val="00550AE1"/>
    <w:rsid w:val="005772C8"/>
    <w:rsid w:val="005A28A5"/>
    <w:rsid w:val="005A446F"/>
    <w:rsid w:val="005B0410"/>
    <w:rsid w:val="005B7BFE"/>
    <w:rsid w:val="005C151A"/>
    <w:rsid w:val="005C4403"/>
    <w:rsid w:val="005F6EFC"/>
    <w:rsid w:val="006021EC"/>
    <w:rsid w:val="00603972"/>
    <w:rsid w:val="00604502"/>
    <w:rsid w:val="00611608"/>
    <w:rsid w:val="00613A21"/>
    <w:rsid w:val="00616B40"/>
    <w:rsid w:val="00636D99"/>
    <w:rsid w:val="00657B0A"/>
    <w:rsid w:val="00664B0E"/>
    <w:rsid w:val="0066670B"/>
    <w:rsid w:val="00674AC6"/>
    <w:rsid w:val="006A0FB2"/>
    <w:rsid w:val="006A4EA9"/>
    <w:rsid w:val="006C35EB"/>
    <w:rsid w:val="006D6109"/>
    <w:rsid w:val="006D74A3"/>
    <w:rsid w:val="006E3DBC"/>
    <w:rsid w:val="006F1DD8"/>
    <w:rsid w:val="006F56E2"/>
    <w:rsid w:val="00710564"/>
    <w:rsid w:val="00736555"/>
    <w:rsid w:val="00740F18"/>
    <w:rsid w:val="007463F0"/>
    <w:rsid w:val="00752A8E"/>
    <w:rsid w:val="00785DAA"/>
    <w:rsid w:val="00787E6A"/>
    <w:rsid w:val="007A53B5"/>
    <w:rsid w:val="007B2BE0"/>
    <w:rsid w:val="007B438A"/>
    <w:rsid w:val="007C125B"/>
    <w:rsid w:val="007D00CD"/>
    <w:rsid w:val="007D14E8"/>
    <w:rsid w:val="007E6AD4"/>
    <w:rsid w:val="007E6CAB"/>
    <w:rsid w:val="007F0EEB"/>
    <w:rsid w:val="007F7521"/>
    <w:rsid w:val="00801B94"/>
    <w:rsid w:val="00802F17"/>
    <w:rsid w:val="00806A74"/>
    <w:rsid w:val="00823E5E"/>
    <w:rsid w:val="008A22D3"/>
    <w:rsid w:val="008A57F9"/>
    <w:rsid w:val="008B28C6"/>
    <w:rsid w:val="008C1412"/>
    <w:rsid w:val="008C3605"/>
    <w:rsid w:val="008C7CC2"/>
    <w:rsid w:val="008F52D4"/>
    <w:rsid w:val="008F6B7F"/>
    <w:rsid w:val="00900E90"/>
    <w:rsid w:val="00925BB1"/>
    <w:rsid w:val="009328CC"/>
    <w:rsid w:val="00933063"/>
    <w:rsid w:val="00936877"/>
    <w:rsid w:val="00966127"/>
    <w:rsid w:val="0097739D"/>
    <w:rsid w:val="009A6B85"/>
    <w:rsid w:val="009B4406"/>
    <w:rsid w:val="009C0BAF"/>
    <w:rsid w:val="009D1676"/>
    <w:rsid w:val="009E1102"/>
    <w:rsid w:val="00A1301D"/>
    <w:rsid w:val="00A279A6"/>
    <w:rsid w:val="00A3775F"/>
    <w:rsid w:val="00A44238"/>
    <w:rsid w:val="00A55A13"/>
    <w:rsid w:val="00A5766E"/>
    <w:rsid w:val="00A77815"/>
    <w:rsid w:val="00A85F73"/>
    <w:rsid w:val="00A92C53"/>
    <w:rsid w:val="00A93B2E"/>
    <w:rsid w:val="00AB4CBB"/>
    <w:rsid w:val="00AC6CB2"/>
    <w:rsid w:val="00AE13A8"/>
    <w:rsid w:val="00AE20A7"/>
    <w:rsid w:val="00AF51AC"/>
    <w:rsid w:val="00AF53DA"/>
    <w:rsid w:val="00B035E1"/>
    <w:rsid w:val="00B12541"/>
    <w:rsid w:val="00B24395"/>
    <w:rsid w:val="00B36FE0"/>
    <w:rsid w:val="00B55BF7"/>
    <w:rsid w:val="00B65C56"/>
    <w:rsid w:val="00B77B4C"/>
    <w:rsid w:val="00B835B8"/>
    <w:rsid w:val="00B91DBE"/>
    <w:rsid w:val="00BB0CAE"/>
    <w:rsid w:val="00BD2EF1"/>
    <w:rsid w:val="00BF5EAE"/>
    <w:rsid w:val="00C06C17"/>
    <w:rsid w:val="00C10459"/>
    <w:rsid w:val="00C10B86"/>
    <w:rsid w:val="00C21BF6"/>
    <w:rsid w:val="00C26D27"/>
    <w:rsid w:val="00C340CC"/>
    <w:rsid w:val="00C44982"/>
    <w:rsid w:val="00C50943"/>
    <w:rsid w:val="00C67164"/>
    <w:rsid w:val="00C74D00"/>
    <w:rsid w:val="00C81FA9"/>
    <w:rsid w:val="00C9182A"/>
    <w:rsid w:val="00CA7BE1"/>
    <w:rsid w:val="00CB3996"/>
    <w:rsid w:val="00CE2F3F"/>
    <w:rsid w:val="00CE42FF"/>
    <w:rsid w:val="00CE6B77"/>
    <w:rsid w:val="00D07602"/>
    <w:rsid w:val="00D430F6"/>
    <w:rsid w:val="00D527BA"/>
    <w:rsid w:val="00D530DD"/>
    <w:rsid w:val="00D57595"/>
    <w:rsid w:val="00D82F44"/>
    <w:rsid w:val="00D85711"/>
    <w:rsid w:val="00D900D9"/>
    <w:rsid w:val="00D97A0E"/>
    <w:rsid w:val="00DB2F4A"/>
    <w:rsid w:val="00DB5250"/>
    <w:rsid w:val="00DB5BE3"/>
    <w:rsid w:val="00DD5DC3"/>
    <w:rsid w:val="00DF64BB"/>
    <w:rsid w:val="00E02E15"/>
    <w:rsid w:val="00E04ACF"/>
    <w:rsid w:val="00E15BDD"/>
    <w:rsid w:val="00E22329"/>
    <w:rsid w:val="00E70361"/>
    <w:rsid w:val="00E731E1"/>
    <w:rsid w:val="00E83BC1"/>
    <w:rsid w:val="00EA01C9"/>
    <w:rsid w:val="00EC2759"/>
    <w:rsid w:val="00ED407E"/>
    <w:rsid w:val="00EE25F3"/>
    <w:rsid w:val="00EE3183"/>
    <w:rsid w:val="00EF3158"/>
    <w:rsid w:val="00EF48B6"/>
    <w:rsid w:val="00F00045"/>
    <w:rsid w:val="00F003D1"/>
    <w:rsid w:val="00F03032"/>
    <w:rsid w:val="00F0539E"/>
    <w:rsid w:val="00F1086A"/>
    <w:rsid w:val="00F13B71"/>
    <w:rsid w:val="00F151D4"/>
    <w:rsid w:val="00F26FFE"/>
    <w:rsid w:val="00F51294"/>
    <w:rsid w:val="00F55CE8"/>
    <w:rsid w:val="00F57757"/>
    <w:rsid w:val="00F64523"/>
    <w:rsid w:val="00F86360"/>
    <w:rsid w:val="00FB6792"/>
    <w:rsid w:val="00FB6D60"/>
    <w:rsid w:val="00FD78F8"/>
    <w:rsid w:val="00FE2252"/>
    <w:rsid w:val="00FF14D2"/>
    <w:rsid w:val="1B573403"/>
    <w:rsid w:val="1D21252E"/>
    <w:rsid w:val="23532710"/>
    <w:rsid w:val="312813C5"/>
    <w:rsid w:val="3293272B"/>
    <w:rsid w:val="39DA50E0"/>
    <w:rsid w:val="4474739F"/>
    <w:rsid w:val="45271DA5"/>
    <w:rsid w:val="6B6367F1"/>
    <w:rsid w:val="6DB604F9"/>
    <w:rsid w:val="7AE11F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7">
    <w:name w:val="Strong"/>
    <w:qFormat/>
    <w:uiPriority w:val="0"/>
    <w:rPr>
      <w:b/>
      <w:bCs/>
    </w:rPr>
  </w:style>
  <w:style w:type="character" w:styleId="8">
    <w:name w:val="HTML Typewriter"/>
    <w:uiPriority w:val="0"/>
    <w:rPr>
      <w:rFonts w:ascii="Courier New" w:hAnsi="Courier New" w:cs="Courier New"/>
      <w:sz w:val="20"/>
      <w:szCs w:val="20"/>
    </w:rPr>
  </w:style>
  <w:style w:type="character" w:customStyle="1" w:styleId="9">
    <w:name w:val="ca-21"/>
    <w:qFormat/>
    <w:uiPriority w:val="0"/>
    <w:rPr>
      <w:rFonts w:hint="eastAsia" w:ascii="宋体" w:hAnsi="宋体" w:eastAsia="宋体"/>
      <w:sz w:val="28"/>
      <w:szCs w:val="28"/>
    </w:rPr>
  </w:style>
  <w:style w:type="paragraph" w:customStyle="1" w:styleId="10">
    <w:name w:val="pa-3"/>
    <w:basedOn w:val="1"/>
    <w:uiPriority w:val="0"/>
    <w:pPr>
      <w:widowControl/>
      <w:spacing w:line="320" w:lineRule="atLeast"/>
      <w:ind w:firstLine="560"/>
    </w:pPr>
    <w:rPr>
      <w:rFonts w:ascii="宋体" w:hAnsi="宋体" w:cs="宋体"/>
      <w:kern w:val="0"/>
      <w:sz w:val="24"/>
    </w:rPr>
  </w:style>
  <w:style w:type="paragraph" w:customStyle="1" w:styleId="11">
    <w:name w:val="Char"/>
    <w:basedOn w:val="1"/>
    <w:uiPriority w:val="0"/>
  </w:style>
  <w:style w:type="paragraph" w:customStyle="1" w:styleId="12">
    <w:name w:val="Char Char Char Char Char Char Char Char Char Char Char"/>
    <w:basedOn w:val="1"/>
    <w:qFormat/>
    <w:uiPriority w:val="0"/>
    <w:pPr>
      <w:widowControl/>
      <w:adjustRightInd w:val="0"/>
      <w:spacing w:after="160" w:line="240" w:lineRule="exact"/>
      <w:jc w:val="left"/>
    </w:p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1096</Words>
  <Characters>1145</Characters>
  <Lines>8</Lines>
  <Paragraphs>2</Paragraphs>
  <TotalTime>3</TotalTime>
  <ScaleCrop>false</ScaleCrop>
  <LinksUpToDate>false</LinksUpToDate>
  <CharactersWithSpaces>1150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2022-04-21T08:59:00Z</dcterms:created>
  <dc:creator>USER</dc:creator>
  <cp:lastModifiedBy>Administrator</cp:lastModifiedBy>
  <cp:lastPrinted>2021-06-17T08:50:00Z</cp:lastPrinted>
  <dcterms:modified xsi:type="dcterms:W3CDTF">2022-06-30T06:51:14Z</dcterms:modified>
  <dc:title>一年来，我县政府采购及控购工作，在县委、县政府及县财政局党组的正确领导下，在上级业务主管部门的具体指导下，按照省市财政工作会议对政府采购及控购工作提出的各项要求，积极主动开展政府采购工作，为节减财政支出，财务支出，缓解财政收支矛盾，促进廉政建设反腐工作的深入开展，规范政府采购行为和政府采购工作纪律发挥了积极作用。初步使政府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2D5B3E28C54C4971B1EB23019223FEAF</vt:lpwstr>
  </property>
</Properties>
</file>