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leftChars="0" w:right="0" w:firstLine="0" w:firstLineChars="0"/>
        <w:jc w:val="center"/>
        <w:rPr>
          <w:rFonts w:hint="eastAsia" w:ascii="方正小标宋_GBK" w:hAnsi="Times New Roman" w:eastAsia="方正小标宋_GBK" w:cs="Times New Roman"/>
          <w:bCs/>
          <w:kern w:val="2"/>
          <w:sz w:val="44"/>
          <w:szCs w:val="44"/>
          <w:lang w:val="en-US" w:eastAsia="zh-CN" w:bidi="ar-SA"/>
        </w:rPr>
      </w:pPr>
      <w:r>
        <w:rPr>
          <w:rFonts w:hint="eastAsia" w:ascii="方正小标宋_GBK" w:hAnsi="Times New Roman" w:eastAsia="方正小标宋_GBK" w:cs="Times New Roman"/>
          <w:bCs/>
          <w:kern w:val="2"/>
          <w:sz w:val="44"/>
          <w:szCs w:val="44"/>
          <w:lang w:val="en-US" w:eastAsia="zh-CN" w:bidi="ar-SA"/>
        </w:rPr>
        <w:t>梅县区交通运输局2021年政府信息公开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leftChars="0" w:right="0" w:firstLine="0" w:firstLineChars="0"/>
        <w:jc w:val="center"/>
        <w:rPr>
          <w:rFonts w:hint="eastAsia" w:ascii="宋体" w:hAnsi="宋体" w:eastAsia="宋体" w:cs="宋体"/>
          <w:b/>
          <w:i w:val="0"/>
          <w:caps w:val="0"/>
          <w:color w:val="333333"/>
          <w:spacing w:val="0"/>
          <w:sz w:val="36"/>
          <w:szCs w:val="36"/>
          <w:shd w:val="clear" w:fill="FFFFFF"/>
        </w:rPr>
      </w:pPr>
      <w:r>
        <w:rPr>
          <w:rFonts w:hint="eastAsia" w:ascii="方正小标宋_GBK" w:hAnsi="Times New Roman" w:eastAsia="方正小标宋_GBK" w:cs="Times New Roman"/>
          <w:bCs/>
          <w:kern w:val="2"/>
          <w:sz w:val="44"/>
          <w:szCs w:val="44"/>
          <w:lang w:val="en-US" w:eastAsia="zh-CN" w:bidi="ar-SA"/>
        </w:rPr>
        <w:t>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80"/>
        <w:jc w:val="both"/>
        <w:rPr>
          <w:rFonts w:hint="eastAsia" w:ascii="宋体" w:hAnsi="宋体" w:eastAsia="宋体" w:cs="宋体"/>
          <w:b/>
          <w:i w:val="0"/>
          <w:caps w:val="0"/>
          <w:color w:val="333333"/>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2"/>
        <w:jc w:val="both"/>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根据省政府办公厅转发《国务院办公厅政府信息与政务公开办公室关于政府信息公开工作年度报吿有关事项的通知》的要求，按照国办公开办部署，抓紧部署落实，确保修</w:t>
      </w:r>
      <w:bookmarkStart w:id="0" w:name="_GoBack"/>
      <w:bookmarkEnd w:id="0"/>
      <w:r>
        <w:rPr>
          <w:rFonts w:hint="eastAsia" w:ascii="仿宋_GB2312" w:hAnsi="仿宋_GB2312" w:eastAsia="仿宋_GB2312" w:cs="仿宋_GB2312"/>
          <w:b/>
          <w:kern w:val="2"/>
          <w:sz w:val="32"/>
          <w:szCs w:val="32"/>
          <w:lang w:val="en-US" w:eastAsia="zh-CN" w:bidi="ar-SA"/>
        </w:rPr>
        <w:t>订后的《中华人民共和国政府信息公开条例》关于政府信息公开工作年度报告的规定落到</w:t>
      </w:r>
      <w:r>
        <w:rPr>
          <w:rFonts w:hint="eastAsia" w:ascii="仿宋_GB2312" w:hAnsi="仿宋_GB2312" w:eastAsia="仿宋_GB2312" w:cs="仿宋_GB2312"/>
          <w:b/>
          <w:kern w:val="2"/>
          <w:sz w:val="32"/>
          <w:szCs w:val="32"/>
          <w:lang w:val="zh-CN" w:eastAsia="zh-CN" w:bidi="ar-SA"/>
        </w:rPr>
        <w:t>实处，并</w:t>
      </w:r>
      <w:r>
        <w:rPr>
          <w:rFonts w:hint="eastAsia" w:ascii="仿宋_GB2312" w:hAnsi="仿宋_GB2312" w:eastAsia="仿宋_GB2312" w:cs="仿宋_GB2312"/>
          <w:b/>
          <w:kern w:val="2"/>
          <w:sz w:val="32"/>
          <w:szCs w:val="32"/>
          <w:lang w:val="en-US" w:eastAsia="zh-CN" w:bidi="ar-SA"/>
        </w:rPr>
        <w:t>根据《中华人民共和国政府信息公开条例》的要求编制。统计数据期限为2021年1月1日至2021年12月31日。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一、 总体情况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both"/>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一）主动公开方面。对照梅县区人民政府完善责任分工要求，依法对市网站及县政府信息网中政务公开、政府部门、部门动态公开、部门工作报告相关栏目进行更新，在政府信息平台公向社会主动开信息共90条。其中，工作动态类信息46条，部门文件5条，办事指南类信息1条，部门预决算和三公经费预决算5条，政府信息公开工作年度报告1条，其他文件1条，公告31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both"/>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（二）依申请公开情况。2021年我局未收到政府信息公开方面的复议、诉讼和举报投诉，做到依法依规运行。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both"/>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三）政府信息管理情况。我局政府信息公开目录编为组织机构（领导分工、机构职能）、部门文件、办事指南、工作动态、部门预决算和三公经费、其他等6个类别，围绕群众关心的热点和难点问题，依法、主动、及时、准确公开政务信息，开展政策文件解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both"/>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（三）平台保障情况。充分发挥区政府门户网站第一平台作用，保障平台网络安全畅通、政府信息公开栏目更新。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both"/>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（四）监督保障情况。我局制定了信息公开实施方案和相关工作制度，对上传信息进行检查审核，严格做到保密和合规，并指定一名工作人员负责本单位信息的上传、整理、归档工作。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lang w:eastAsia="zh-CN"/>
        </w:rPr>
      </w:pPr>
      <w:r>
        <w:rPr>
          <w:rFonts w:hint="eastAsia" w:ascii="黑体" w:hAnsi="Times New Roman" w:eastAsia="黑体" w:cs="Times New Roman"/>
          <w:sz w:val="32"/>
          <w:szCs w:val="32"/>
          <w:lang w:eastAsia="zh-CN"/>
        </w:rPr>
        <w:t>三、主动公开政府信息情况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20"/>
        <w:gridCol w:w="2320"/>
        <w:gridCol w:w="2307"/>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4"/>
            <w:shd w:val="clear" w:color="auto" w:fill="C6D9F1"/>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253"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信息内容</w:t>
            </w:r>
          </w:p>
        </w:tc>
        <w:tc>
          <w:tcPr>
            <w:tcW w:w="1253"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本年制发件数</w:t>
            </w:r>
          </w:p>
        </w:tc>
        <w:tc>
          <w:tcPr>
            <w:tcW w:w="1246"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本年废止件数</w:t>
            </w:r>
          </w:p>
        </w:tc>
        <w:tc>
          <w:tcPr>
            <w:tcW w:w="1247"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253"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规章</w:t>
            </w:r>
          </w:p>
        </w:tc>
        <w:tc>
          <w:tcPr>
            <w:tcW w:w="1253"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rPr>
              <w:t>0</w:t>
            </w:r>
          </w:p>
        </w:tc>
        <w:tc>
          <w:tcPr>
            <w:tcW w:w="1246"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rPr>
              <w:t>0</w:t>
            </w:r>
          </w:p>
        </w:tc>
        <w:tc>
          <w:tcPr>
            <w:tcW w:w="1247"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253"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行政规范性文件</w:t>
            </w:r>
          </w:p>
        </w:tc>
        <w:tc>
          <w:tcPr>
            <w:tcW w:w="1253"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rPr>
              <w:t>0</w:t>
            </w:r>
          </w:p>
        </w:tc>
        <w:tc>
          <w:tcPr>
            <w:tcW w:w="1246"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c>
          <w:tcPr>
            <w:tcW w:w="1247"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4"/>
            <w:shd w:val="clear" w:color="auto" w:fill="C6D9F1"/>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253"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信息内容</w:t>
            </w:r>
          </w:p>
        </w:tc>
        <w:tc>
          <w:tcPr>
            <w:tcW w:w="3746" w:type="pct"/>
            <w:gridSpan w:val="3"/>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3"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行政许可</w:t>
            </w:r>
          </w:p>
        </w:tc>
        <w:tc>
          <w:tcPr>
            <w:tcW w:w="3746" w:type="pct"/>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4"/>
            <w:shd w:val="clear" w:color="auto" w:fill="C6D9F1"/>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3"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信息内容</w:t>
            </w:r>
          </w:p>
        </w:tc>
        <w:tc>
          <w:tcPr>
            <w:tcW w:w="3746" w:type="pct"/>
            <w:gridSpan w:val="3"/>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3"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行政处罚</w:t>
            </w:r>
          </w:p>
        </w:tc>
        <w:tc>
          <w:tcPr>
            <w:tcW w:w="3746" w:type="pct"/>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3"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行政强制</w:t>
            </w:r>
          </w:p>
        </w:tc>
        <w:tc>
          <w:tcPr>
            <w:tcW w:w="3746" w:type="pct"/>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4"/>
            <w:shd w:val="clear" w:color="auto" w:fill="C6D9F1"/>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3"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信息内容</w:t>
            </w:r>
          </w:p>
        </w:tc>
        <w:tc>
          <w:tcPr>
            <w:tcW w:w="3746" w:type="pct"/>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3"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行政事业性收费</w:t>
            </w:r>
          </w:p>
        </w:tc>
        <w:tc>
          <w:tcPr>
            <w:tcW w:w="3746" w:type="pct"/>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lang w:eastAsia="zh-CN"/>
        </w:rPr>
      </w:pPr>
      <w:r>
        <w:rPr>
          <w:rFonts w:hint="eastAsia" w:ascii="黑体" w:hAnsi="Times New Roman" w:eastAsia="黑体" w:cs="Times New Roman"/>
          <w:sz w:val="32"/>
          <w:szCs w:val="32"/>
          <w:lang w:eastAsia="zh-CN"/>
        </w:rPr>
        <w:t>四、收到和处理政府信息公开申请情况</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lang w:eastAsia="zh-CN"/>
        </w:rPr>
      </w:pPr>
    </w:p>
    <w:tbl>
      <w:tblPr>
        <w:tblStyle w:val="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6"/>
        <w:gridCol w:w="1030"/>
        <w:gridCol w:w="1027"/>
        <w:gridCol w:w="1023"/>
        <w:gridCol w:w="383"/>
        <w:gridCol w:w="389"/>
        <w:gridCol w:w="380"/>
        <w:gridCol w:w="389"/>
        <w:gridCol w:w="380"/>
        <w:gridCol w:w="241"/>
        <w:gridCol w:w="685"/>
        <w:gridCol w:w="632"/>
        <w:gridCol w:w="551"/>
        <w:gridCol w:w="168"/>
        <w:gridCol w:w="392"/>
        <w:gridCol w:w="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17" w:type="pct"/>
            <w:gridSpan w:val="4"/>
            <w:vMerge w:val="restart"/>
            <w:tcBorders>
              <w:top w:val="single" w:color="000000" w:sz="8"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（本列数据的勾稽关系为：第一项加第二项之和，等于第三项加第四项之和）</w:t>
            </w:r>
          </w:p>
        </w:tc>
        <w:tc>
          <w:tcPr>
            <w:tcW w:w="2782" w:type="pct"/>
            <w:gridSpan w:val="12"/>
            <w:tcBorders>
              <w:top w:val="single" w:color="000000" w:sz="8"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17" w:type="pct"/>
            <w:gridSpan w:val="4"/>
            <w:vMerge w:val="continue"/>
            <w:tcBorders>
              <w:top w:val="single" w:color="000000" w:sz="8"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tc>
        <w:tc>
          <w:tcPr>
            <w:tcW w:w="416" w:type="pct"/>
            <w:gridSpan w:val="2"/>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自然人</w:t>
            </w:r>
          </w:p>
        </w:tc>
        <w:tc>
          <w:tcPr>
            <w:tcW w:w="2063" w:type="pct"/>
            <w:gridSpan w:val="9"/>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法人或其他组织</w:t>
            </w:r>
          </w:p>
        </w:tc>
        <w:tc>
          <w:tcPr>
            <w:tcW w:w="301" w:type="pct"/>
            <w:vMerge w:val="restart"/>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17" w:type="pct"/>
            <w:gridSpan w:val="4"/>
            <w:vMerge w:val="continue"/>
            <w:tcBorders>
              <w:top w:val="single" w:color="000000" w:sz="8"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tc>
        <w:tc>
          <w:tcPr>
            <w:tcW w:w="416" w:type="pct"/>
            <w:gridSpan w:val="2"/>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商业企业</w:t>
            </w:r>
          </w:p>
        </w:tc>
        <w:tc>
          <w:tcPr>
            <w:tcW w:w="336"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科研</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机构</w:t>
            </w:r>
          </w:p>
        </w:tc>
        <w:tc>
          <w:tcPr>
            <w:tcW w:w="37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社会公益组织</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法律服务机构</w:t>
            </w:r>
          </w:p>
        </w:tc>
        <w:tc>
          <w:tcPr>
            <w:tcW w:w="388"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其他</w:t>
            </w:r>
          </w:p>
        </w:tc>
        <w:tc>
          <w:tcPr>
            <w:tcW w:w="211" w:type="pct"/>
            <w:shd w:val="clear" w:color="auto" w:fill="auto"/>
            <w:tcMar>
              <w:top w:w="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tc>
        <w:tc>
          <w:tcPr>
            <w:tcW w:w="301" w:type="pct"/>
            <w:vMerge w:val="continue"/>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17" w:type="pct"/>
            <w:gridSpan w:val="4"/>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一、本年新收政府信息公开申请数量</w:t>
            </w:r>
          </w:p>
        </w:tc>
        <w:tc>
          <w:tcPr>
            <w:tcW w:w="416"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36"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7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88"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13" w:type="pct"/>
            <w:gridSpan w:val="2"/>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jc w:val="center"/>
        </w:trPr>
        <w:tc>
          <w:tcPr>
            <w:tcW w:w="2217" w:type="pct"/>
            <w:gridSpan w:val="4"/>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二、上年结转政府信息公开申请数量</w:t>
            </w:r>
          </w:p>
        </w:tc>
        <w:tc>
          <w:tcPr>
            <w:tcW w:w="416"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36"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7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88"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13" w:type="pct"/>
            <w:gridSpan w:val="2"/>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restart"/>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三、本年度办理结果</w:t>
            </w:r>
          </w:p>
        </w:tc>
        <w:tc>
          <w:tcPr>
            <w:tcW w:w="1663" w:type="pct"/>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6"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36"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7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88"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13" w:type="pct"/>
            <w:gridSpan w:val="2"/>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tc>
        <w:tc>
          <w:tcPr>
            <w:tcW w:w="1663" w:type="pct"/>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6"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36"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7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88"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13" w:type="pct"/>
            <w:gridSpan w:val="2"/>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tc>
        <w:tc>
          <w:tcPr>
            <w:tcW w:w="556"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eastAsia="zh-CN"/>
              </w:rPr>
              <w:t>其他法律行政法规禁止公开</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eastAsia="zh-CN"/>
              </w:rPr>
              <w:t>危及“三安全一稳定”</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lang w:eastAsia="zh-CN"/>
              </w:rPr>
              <w:t>保护第三方合法权益</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w:t>
            </w:r>
            <w:r>
              <w:rPr>
                <w:rFonts w:hint="eastAsia" w:ascii="方正仿宋_GB2312" w:hAnsi="方正仿宋_GB2312" w:eastAsia="方正仿宋_GB2312" w:cs="方正仿宋_GB2312"/>
                <w:lang w:eastAsia="zh-CN"/>
              </w:rPr>
              <w:t>属于三类内部事务信息</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w:t>
            </w:r>
            <w:r>
              <w:rPr>
                <w:rFonts w:hint="eastAsia" w:ascii="方正仿宋_GB2312" w:hAnsi="方正仿宋_GB2312" w:eastAsia="方正仿宋_GB2312" w:cs="方正仿宋_GB2312"/>
                <w:lang w:eastAsia="zh-CN"/>
              </w:rPr>
              <w:t>属于四类过程性信息</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w:t>
            </w:r>
            <w:r>
              <w:rPr>
                <w:rFonts w:hint="eastAsia" w:ascii="方正仿宋_GB2312" w:hAnsi="方正仿宋_GB2312" w:eastAsia="方正仿宋_GB2312" w:cs="方正仿宋_GB2312"/>
                <w:lang w:eastAsia="zh-CN"/>
              </w:rPr>
              <w:t>属于行政执法案卷</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w:t>
            </w:r>
            <w:r>
              <w:rPr>
                <w:rFonts w:hint="eastAsia" w:ascii="方正仿宋_GB2312" w:hAnsi="方正仿宋_GB2312" w:eastAsia="方正仿宋_GB2312" w:cs="方正仿宋_GB2312"/>
                <w:lang w:eastAsia="zh-CN"/>
              </w:rPr>
              <w:t>属于行政查询事项</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（四）无法提供</w:t>
            </w: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eastAsia="zh-CN"/>
              </w:rPr>
              <w:t>本机关不掌握相关政府信息</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eastAsia="zh-CN"/>
              </w:rPr>
              <w:t>没有现成信息需要另行制作</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eastAsia="zh-CN"/>
              </w:rPr>
              <w:t>补正后申请内容仍不明确</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（五）不予处理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eastAsia="zh-CN"/>
              </w:rPr>
              <w:t>信访举报投诉类申请</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eastAsia="zh-CN"/>
              </w:rPr>
              <w:t>重复申请</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eastAsia="zh-CN"/>
              </w:rPr>
              <w:t>要求提供公开出版物</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lang w:eastAsia="zh-CN"/>
              </w:rPr>
              <w:t>无正当理由大量反复申请</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w:t>
            </w:r>
            <w:r>
              <w:rPr>
                <w:rFonts w:hint="eastAsia" w:ascii="方正仿宋_GB2312" w:hAnsi="方正仿宋_GB2312" w:eastAsia="方正仿宋_GB2312" w:cs="方正仿宋_GB2312"/>
                <w:lang w:eastAsia="zh-CN"/>
              </w:rPr>
              <w:t>要求行政机关确认或重新出具已获取信息</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（六）其他处理</w:t>
            </w: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eastAsia="zh-CN"/>
              </w:rPr>
              <w:t>申请人无正当理由逾期不补正、行政机关不再处理其政府信息公开申请</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eastAsia="zh-CN"/>
              </w:rPr>
              <w:t>申请人逾期未按通知要求缴纳费用、行政机关不再处理其政府信息公开申请</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p>
        </w:tc>
        <w:tc>
          <w:tcPr>
            <w:tcW w:w="55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3.</w:t>
            </w:r>
            <w:r>
              <w:rPr>
                <w:rFonts w:hint="eastAsia" w:ascii="方正仿宋_GB2312" w:hAnsi="方正仿宋_GB2312" w:eastAsia="方正仿宋_GB2312" w:cs="方正仿宋_GB2312"/>
                <w:lang w:eastAsia="zh-CN"/>
              </w:rPr>
              <w:t>其他</w:t>
            </w:r>
          </w:p>
        </w:tc>
        <w:tc>
          <w:tcPr>
            <w:tcW w:w="759"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0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29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603" w:type="pct"/>
            <w:gridSpan w:val="3"/>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3" w:type="pct"/>
            <w:vMerge w:val="continue"/>
            <w:tcBorders>
              <w:top w:val="single" w:color="000000" w:sz="6" w:space="0"/>
              <w:left w:val="single" w:color="000000" w:sz="8"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p>
        </w:tc>
        <w:tc>
          <w:tcPr>
            <w:tcW w:w="1663" w:type="pct"/>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（七）总计</w:t>
            </w:r>
          </w:p>
        </w:tc>
        <w:tc>
          <w:tcPr>
            <w:tcW w:w="416"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36"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7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88"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13" w:type="pct"/>
            <w:gridSpan w:val="2"/>
            <w:tcBorders>
              <w:top w:val="single" w:color="000000" w:sz="6" w:space="0"/>
              <w:left w:val="single" w:color="000000" w:sz="6" w:space="0"/>
              <w:bottom w:val="single" w:color="000000" w:sz="6"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17" w:type="pct"/>
            <w:gridSpan w:val="4"/>
            <w:tcBorders>
              <w:top w:val="single" w:color="000000" w:sz="6" w:space="0"/>
              <w:left w:val="single" w:color="000000" w:sz="8" w:space="0"/>
              <w:bottom w:val="single" w:color="000000" w:sz="8"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四、结转下年度继续办理</w:t>
            </w:r>
          </w:p>
        </w:tc>
        <w:tc>
          <w:tcPr>
            <w:tcW w:w="416" w:type="pct"/>
            <w:gridSpan w:val="2"/>
            <w:tcBorders>
              <w:top w:val="single" w:color="000000" w:sz="6" w:space="0"/>
              <w:left w:val="single" w:color="000000" w:sz="6" w:space="0"/>
              <w:bottom w:val="single" w:color="000000" w:sz="8"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415" w:type="pct"/>
            <w:gridSpan w:val="2"/>
            <w:tcBorders>
              <w:top w:val="single" w:color="000000" w:sz="6" w:space="0"/>
              <w:left w:val="single" w:color="000000" w:sz="6" w:space="0"/>
              <w:bottom w:val="single" w:color="000000" w:sz="8"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36" w:type="pct"/>
            <w:gridSpan w:val="2"/>
            <w:tcBorders>
              <w:top w:val="single" w:color="000000" w:sz="6" w:space="0"/>
              <w:left w:val="single" w:color="000000" w:sz="6" w:space="0"/>
              <w:bottom w:val="single" w:color="000000" w:sz="8"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70" w:type="pct"/>
            <w:tcBorders>
              <w:top w:val="single" w:color="000000" w:sz="6" w:space="0"/>
              <w:left w:val="single" w:color="000000" w:sz="6" w:space="0"/>
              <w:bottom w:val="single" w:color="000000" w:sz="8"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41" w:type="pct"/>
            <w:tcBorders>
              <w:top w:val="single" w:color="000000" w:sz="6" w:space="0"/>
              <w:left w:val="single" w:color="000000" w:sz="6" w:space="0"/>
              <w:bottom w:val="single" w:color="000000" w:sz="8"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388" w:type="pct"/>
            <w:gridSpan w:val="2"/>
            <w:tcBorders>
              <w:top w:val="single" w:color="000000" w:sz="6" w:space="0"/>
              <w:left w:val="single" w:color="000000" w:sz="6" w:space="0"/>
              <w:bottom w:val="single" w:color="000000" w:sz="8"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c>
          <w:tcPr>
            <w:tcW w:w="513" w:type="pct"/>
            <w:gridSpan w:val="2"/>
            <w:tcBorders>
              <w:top w:val="single" w:color="000000" w:sz="6" w:space="0"/>
              <w:left w:val="single" w:color="000000" w:sz="6"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t>0</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Times New Roman" w:eastAsia="黑体" w:cs="Times New Roman"/>
          <w:sz w:val="18"/>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五、政府信息公开行政复议、行政诉讼情况</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lang w:eastAsia="zh-CN"/>
        </w:rPr>
      </w:pPr>
    </w:p>
    <w:tbl>
      <w:tblPr>
        <w:tblStyle w:val="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7"/>
        <w:gridCol w:w="527"/>
        <w:gridCol w:w="527"/>
        <w:gridCol w:w="528"/>
        <w:gridCol w:w="528"/>
        <w:gridCol w:w="524"/>
        <w:gridCol w:w="546"/>
        <w:gridCol w:w="552"/>
        <w:gridCol w:w="552"/>
        <w:gridCol w:w="552"/>
        <w:gridCol w:w="552"/>
        <w:gridCol w:w="563"/>
        <w:gridCol w:w="544"/>
        <w:gridCol w:w="552"/>
        <w:gridCol w:w="552"/>
        <w:gridCol w:w="552"/>
        <w:gridCol w:w="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708" w:type="pct"/>
            <w:gridSpan w:val="6"/>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行政复议</w:t>
            </w:r>
          </w:p>
        </w:tc>
        <w:tc>
          <w:tcPr>
            <w:tcW w:w="3291" w:type="pct"/>
            <w:gridSpan w:val="11"/>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5" w:type="pct"/>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结果维持</w:t>
            </w:r>
          </w:p>
        </w:tc>
        <w:tc>
          <w:tcPr>
            <w:tcW w:w="285" w:type="pct"/>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结果纠正</w:t>
            </w:r>
          </w:p>
        </w:tc>
        <w:tc>
          <w:tcPr>
            <w:tcW w:w="285" w:type="pct"/>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其他结果</w:t>
            </w:r>
          </w:p>
        </w:tc>
        <w:tc>
          <w:tcPr>
            <w:tcW w:w="285" w:type="pct"/>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尚未审结</w:t>
            </w:r>
          </w:p>
        </w:tc>
        <w:tc>
          <w:tcPr>
            <w:tcW w:w="285" w:type="pct"/>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总计</w:t>
            </w:r>
          </w:p>
        </w:tc>
        <w:tc>
          <w:tcPr>
            <w:tcW w:w="2074" w:type="pct"/>
            <w:gridSpan w:val="7"/>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未经复议直接起诉</w:t>
            </w:r>
          </w:p>
        </w:tc>
        <w:tc>
          <w:tcPr>
            <w:tcW w:w="1497" w:type="pct"/>
            <w:gridSpan w:val="5"/>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5" w:type="pct"/>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p>
        </w:tc>
        <w:tc>
          <w:tcPr>
            <w:tcW w:w="285" w:type="pct"/>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p>
        </w:tc>
        <w:tc>
          <w:tcPr>
            <w:tcW w:w="285" w:type="pct"/>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p>
        </w:tc>
        <w:tc>
          <w:tcPr>
            <w:tcW w:w="285" w:type="pct"/>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p>
        </w:tc>
        <w:tc>
          <w:tcPr>
            <w:tcW w:w="285" w:type="pct"/>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p>
        </w:tc>
        <w:tc>
          <w:tcPr>
            <w:tcW w:w="578" w:type="pct"/>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结果维持</w:t>
            </w:r>
          </w:p>
        </w:tc>
        <w:tc>
          <w:tcPr>
            <w:tcW w:w="298"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结果纠正</w:t>
            </w:r>
          </w:p>
        </w:tc>
        <w:tc>
          <w:tcPr>
            <w:tcW w:w="298"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其他结果</w:t>
            </w:r>
          </w:p>
        </w:tc>
        <w:tc>
          <w:tcPr>
            <w:tcW w:w="298"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尚未审结</w:t>
            </w:r>
          </w:p>
        </w:tc>
        <w:tc>
          <w:tcPr>
            <w:tcW w:w="298"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总计</w:t>
            </w:r>
          </w:p>
        </w:tc>
        <w:tc>
          <w:tcPr>
            <w:tcW w:w="598" w:type="pct"/>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结果维持</w:t>
            </w:r>
          </w:p>
        </w:tc>
        <w:tc>
          <w:tcPr>
            <w:tcW w:w="298"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结果纠正</w:t>
            </w:r>
          </w:p>
        </w:tc>
        <w:tc>
          <w:tcPr>
            <w:tcW w:w="298"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其他结果</w:t>
            </w:r>
          </w:p>
        </w:tc>
        <w:tc>
          <w:tcPr>
            <w:tcW w:w="298"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尚未审结</w:t>
            </w:r>
          </w:p>
        </w:tc>
        <w:tc>
          <w:tcPr>
            <w:tcW w:w="304"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5"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c>
          <w:tcPr>
            <w:tcW w:w="285"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c>
          <w:tcPr>
            <w:tcW w:w="285"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c>
          <w:tcPr>
            <w:tcW w:w="285"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c>
          <w:tcPr>
            <w:tcW w:w="285"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c>
          <w:tcPr>
            <w:tcW w:w="578" w:type="pct"/>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c>
          <w:tcPr>
            <w:tcW w:w="298"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c>
          <w:tcPr>
            <w:tcW w:w="298"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c>
          <w:tcPr>
            <w:tcW w:w="298"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c>
          <w:tcPr>
            <w:tcW w:w="298"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c>
          <w:tcPr>
            <w:tcW w:w="598" w:type="pct"/>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c>
          <w:tcPr>
            <w:tcW w:w="298"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c>
          <w:tcPr>
            <w:tcW w:w="298"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c>
          <w:tcPr>
            <w:tcW w:w="298"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c>
          <w:tcPr>
            <w:tcW w:w="30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rPr>
              <w:t>0</w:t>
            </w:r>
          </w:p>
        </w:tc>
      </w:tr>
    </w:tbl>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lang w:eastAsia="zh-CN"/>
        </w:rPr>
      </w:pPr>
      <w:r>
        <w:rPr>
          <w:rFonts w:hint="eastAsia" w:ascii="黑体" w:hAnsi="Times New Roman" w:eastAsia="黑体" w:cs="Times New Roman"/>
          <w:sz w:val="32"/>
          <w:szCs w:val="32"/>
          <w:lang w:eastAsia="zh-CN"/>
        </w:rPr>
        <w:t>六、存在的主要问题及改进情况</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2021年，我局政府信息公开在上级部门的监督指导下，尽管取得了一定的成绩，但仍存在一些不足。主要表现在：发布不够丰富，内容相对单一，公开内容还不够全面等问题。</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今后我局将进一步规范政府信息公开的程序，充实信息公开的内容，提高信息公开的及时性，发布公民焦点问题，不断拓展政府信息公开的宽度和广度。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720" w:leftChars="0" w:firstLine="0" w:firstLineChars="0"/>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leftChars="0"/>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Theme="minorEastAsia" w:hAnsiTheme="minorEastAsia" w:cstheme="min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25" w:firstLineChars="2000"/>
        <w:textAlignment w:val="auto"/>
        <w:rPr>
          <w:rFonts w:hint="eastAsia" w:asciiTheme="minorEastAsia" w:hAnsiTheme="minorEastAsia" w:eastAsiaTheme="minorEastAsia" w:cstheme="minorEastAsia"/>
          <w:b/>
          <w:bCs/>
          <w:sz w:val="24"/>
          <w:szCs w:val="24"/>
        </w:rPr>
      </w:pPr>
      <w:r>
        <w:rPr>
          <w:rFonts w:hint="eastAsia" w:ascii="仿宋_GB2312" w:hAnsi="仿宋_GB2312" w:eastAsia="仿宋_GB2312" w:cs="仿宋_GB2312"/>
          <w:b/>
          <w:sz w:val="32"/>
          <w:szCs w:val="32"/>
          <w:lang w:val="en-US" w:eastAsia="zh-CN"/>
        </w:rPr>
        <w:t>2022年1月17日</w:t>
      </w:r>
    </w:p>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1440" w:right="1474" w:bottom="1440"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0627C1-BF12-406E-B31A-6464F5C6BC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1491992-324E-469B-85F1-15624C0C20EA}"/>
  </w:font>
  <w:font w:name="方正小标宋_GBK">
    <w:panose1 w:val="02000000000000000000"/>
    <w:charset w:val="86"/>
    <w:family w:val="script"/>
    <w:pitch w:val="default"/>
    <w:sig w:usb0="A00002BF" w:usb1="38CF7CFA" w:usb2="00082016" w:usb3="00000000" w:csb0="00040001" w:csb1="00000000"/>
    <w:embedRegular r:id="rId3" w:fontKey="{24C2129B-3E7C-4FB5-A41E-86DF160F2CB5}"/>
  </w:font>
  <w:font w:name="方正仿宋_GB2312">
    <w:panose1 w:val="02000000000000000000"/>
    <w:charset w:val="86"/>
    <w:family w:val="auto"/>
    <w:pitch w:val="default"/>
    <w:sig w:usb0="A00002BF" w:usb1="184F6CFA" w:usb2="00000012" w:usb3="00000000" w:csb0="00040001" w:csb1="00000000"/>
    <w:embedRegular r:id="rId4" w:fontKey="{BAFEA68D-DFF7-422E-A6BC-8C3F2C369E06}"/>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3AFA0C"/>
    <w:multiLevelType w:val="singleLevel"/>
    <w:tmpl w:val="303AFA0C"/>
    <w:lvl w:ilvl="0" w:tentative="0">
      <w:start w:val="6"/>
      <w:numFmt w:val="chineseCounting"/>
      <w:suff w:val="nothing"/>
      <w:lvlText w:val="%1、"/>
      <w:lvlJc w:val="left"/>
      <w:pPr>
        <w:ind w:left="7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34FED"/>
    <w:rsid w:val="00C2724A"/>
    <w:rsid w:val="03240FED"/>
    <w:rsid w:val="059262A8"/>
    <w:rsid w:val="05A82518"/>
    <w:rsid w:val="06E8731C"/>
    <w:rsid w:val="08592438"/>
    <w:rsid w:val="09672FCC"/>
    <w:rsid w:val="09815AA0"/>
    <w:rsid w:val="09E47B84"/>
    <w:rsid w:val="0B17271A"/>
    <w:rsid w:val="0B3F2F3F"/>
    <w:rsid w:val="0DFE11D3"/>
    <w:rsid w:val="10F63E69"/>
    <w:rsid w:val="11BE740B"/>
    <w:rsid w:val="12BE5E0E"/>
    <w:rsid w:val="14E51E6C"/>
    <w:rsid w:val="15021947"/>
    <w:rsid w:val="153F4C5A"/>
    <w:rsid w:val="160550C9"/>
    <w:rsid w:val="163A5E3E"/>
    <w:rsid w:val="175A565B"/>
    <w:rsid w:val="19525EC9"/>
    <w:rsid w:val="1BFD6F6E"/>
    <w:rsid w:val="1FD5703C"/>
    <w:rsid w:val="1FF87CBC"/>
    <w:rsid w:val="204C234D"/>
    <w:rsid w:val="21B15062"/>
    <w:rsid w:val="21FE759C"/>
    <w:rsid w:val="24E2467D"/>
    <w:rsid w:val="266D6A9E"/>
    <w:rsid w:val="26A745FD"/>
    <w:rsid w:val="28154A9C"/>
    <w:rsid w:val="281B1775"/>
    <w:rsid w:val="28C16023"/>
    <w:rsid w:val="29096C93"/>
    <w:rsid w:val="2D676051"/>
    <w:rsid w:val="30804D69"/>
    <w:rsid w:val="32116382"/>
    <w:rsid w:val="373A3C2E"/>
    <w:rsid w:val="37503C7C"/>
    <w:rsid w:val="3AE52F39"/>
    <w:rsid w:val="3D344B4C"/>
    <w:rsid w:val="3DA27397"/>
    <w:rsid w:val="40A351EE"/>
    <w:rsid w:val="449744EA"/>
    <w:rsid w:val="44AD0CBC"/>
    <w:rsid w:val="454553DF"/>
    <w:rsid w:val="481334F1"/>
    <w:rsid w:val="4D0E72DC"/>
    <w:rsid w:val="4D356B71"/>
    <w:rsid w:val="4D990E39"/>
    <w:rsid w:val="4DA14E74"/>
    <w:rsid w:val="4E255238"/>
    <w:rsid w:val="4E380649"/>
    <w:rsid w:val="4E772300"/>
    <w:rsid w:val="4F4028E5"/>
    <w:rsid w:val="51D527DB"/>
    <w:rsid w:val="530524D1"/>
    <w:rsid w:val="53B133D8"/>
    <w:rsid w:val="55985F62"/>
    <w:rsid w:val="559B0682"/>
    <w:rsid w:val="595C637A"/>
    <w:rsid w:val="5A134FED"/>
    <w:rsid w:val="5A7D0D57"/>
    <w:rsid w:val="5C887FAF"/>
    <w:rsid w:val="5E710626"/>
    <w:rsid w:val="5FBD5BA5"/>
    <w:rsid w:val="603E07AE"/>
    <w:rsid w:val="63787AC0"/>
    <w:rsid w:val="647548B5"/>
    <w:rsid w:val="66CB4B3F"/>
    <w:rsid w:val="69622442"/>
    <w:rsid w:val="6AF6662F"/>
    <w:rsid w:val="6C774F51"/>
    <w:rsid w:val="6E574CDE"/>
    <w:rsid w:val="6E74729F"/>
    <w:rsid w:val="71AF287E"/>
    <w:rsid w:val="71E33C34"/>
    <w:rsid w:val="72C40DC1"/>
    <w:rsid w:val="740B2A1F"/>
    <w:rsid w:val="743540AC"/>
    <w:rsid w:val="762741D2"/>
    <w:rsid w:val="772938E8"/>
    <w:rsid w:val="79614598"/>
    <w:rsid w:val="79DC6999"/>
    <w:rsid w:val="7AC96BBD"/>
    <w:rsid w:val="7D437112"/>
    <w:rsid w:val="7E254744"/>
    <w:rsid w:val="7EA662BC"/>
    <w:rsid w:val="7EB76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1152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2020-01-15T01:25:00Z</dcterms:created>
  <dc:creator>李伟雄</dc:creator>
  <cp:lastModifiedBy>赖炳权</cp:lastModifiedBy>
  <cp:lastPrinted>2022-01-14T02:17:00Z</cp:lastPrinted>
  <dcterms:modified xsi:type="dcterms:W3CDTF">2022-03-03T02:41:20Z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25E96DF366564DBD913CEE9D56976EBF</vt:lpwstr>
  </property>
</Properties>
</file>