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700" w:lineRule="exact"/>
        <w:jc w:val="center"/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shd w:val="clear" w:color="auto" w:fill="FFFFFF"/>
        </w:rPr>
        <w:t>梅县区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shd w:val="clear" w:color="auto" w:fill="FFFFFF"/>
          <w:lang w:val="en-US" w:eastAsia="zh-CN"/>
        </w:rPr>
        <w:t>退役军人事务局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shd w:val="clear" w:color="auto" w:fill="FFFFFF"/>
        </w:rPr>
        <w:t>20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cs="宋体"/>
          <w:b/>
          <w:bCs w:val="0"/>
          <w:color w:val="000000"/>
          <w:sz w:val="44"/>
          <w:szCs w:val="4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shd w:val="clear" w:color="auto" w:fill="FFFFFF"/>
        </w:rPr>
        <w:t>年政府信息</w:t>
      </w:r>
    </w:p>
    <w:p>
      <w:pPr>
        <w:pStyle w:val="2"/>
        <w:widowControl/>
        <w:spacing w:before="0" w:beforeAutospacing="0" w:after="0" w:afterAutospacing="0" w:line="700" w:lineRule="exact"/>
        <w:jc w:val="center"/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shd w:val="clear" w:color="auto" w:fill="FFFFFF"/>
        </w:rPr>
        <w:t>公开工作年度报告</w:t>
      </w:r>
    </w:p>
    <w:p>
      <w:pPr>
        <w:rPr>
          <w:b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b/>
          <w:sz w:val="32"/>
          <w:szCs w:val="32"/>
        </w:rPr>
        <w:t>　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一、总体情况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  <w:szCs w:val="32"/>
        </w:rPr>
        <w:t>　</w:t>
      </w:r>
      <w:r>
        <w:rPr>
          <w:rFonts w:hint="eastAsia" w:ascii="仿宋" w:hAnsi="仿宋" w:eastAsia="仿宋" w:cs="仿宋"/>
          <w:sz w:val="32"/>
          <w:szCs w:val="32"/>
        </w:rPr>
        <w:t>　梅县区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退役军人事务局</w:t>
      </w:r>
      <w:r>
        <w:rPr>
          <w:rFonts w:hint="eastAsia" w:ascii="仿宋" w:hAnsi="仿宋" w:eastAsia="仿宋" w:cs="仿宋"/>
          <w:sz w:val="32"/>
          <w:szCs w:val="32"/>
        </w:rPr>
        <w:t>局信息公开方式是通过梅县区人民政府门户网站、梅县区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退役军人事务</w:t>
      </w:r>
      <w:r>
        <w:rPr>
          <w:rFonts w:hint="eastAsia" w:ascii="仿宋" w:hAnsi="仿宋" w:eastAsia="仿宋" w:cs="仿宋"/>
          <w:sz w:val="32"/>
          <w:szCs w:val="32"/>
        </w:rPr>
        <w:t>局政务公开信息目录向全社会公开。政务公开的时间与公开的内容相适应，采取长期、定期公开、随时公开相结合的方式进行，做到政策性内容长期公开，经常性工作定期公开，阶段性工作逐段公开，临时性工作随时公开。通过梅县区政府网站主动公开信息，包括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组织机构（领导分工、机构职能、内设机构）；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 xml:space="preserve">部门文件；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办事指南；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工作动态；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部门预决算和三公经费预决算；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政府信息公开指南；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法定主动公开内容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政府信息公开工作年度报告；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联系方式。截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目前，我局按照规定的主动公开信息范围，按要求发布或更新信息，未出现影响或者可能影响社会稳定、扰乱社会管理秩序的虚假或者不完整的信息。</w:t>
      </w:r>
    </w:p>
    <w:p>
      <w:pPr>
        <w:rPr>
          <w:kern w:val="0"/>
          <w:sz w:val="32"/>
          <w:szCs w:val="32"/>
        </w:rPr>
      </w:pPr>
      <w:r>
        <w:rPr>
          <w:sz w:val="32"/>
          <w:szCs w:val="32"/>
        </w:rPr>
        <w:t>　　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二、主动公开政府信息情况</w:t>
      </w:r>
    </w:p>
    <w:tbl>
      <w:tblPr>
        <w:tblStyle w:val="3"/>
        <w:tblW w:w="906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83"/>
        <w:gridCol w:w="1721"/>
        <w:gridCol w:w="1618"/>
        <w:gridCol w:w="2442"/>
      </w:tblGrid>
      <w:tr>
        <w:trPr>
          <w:trHeight w:val="495" w:hRule="atLeast"/>
          <w:jc w:val="center"/>
        </w:trPr>
        <w:tc>
          <w:tcPr>
            <w:tcW w:w="90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</w:t>
            </w:r>
            <w:r>
              <w:rPr>
                <w:rFonts w:ascii="宋体" w:hAnsi="宋体" w:eastAsia="宋体" w:cs="宋体"/>
                <w:kern w:val="0"/>
                <w:szCs w:val="21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发件数</w:t>
            </w: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　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　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7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57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7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57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57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3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78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578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0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</w:tbl>
    <w:p>
      <w:pPr>
        <w:widowControl/>
        <w:spacing w:after="240" w:line="432" w:lineRule="atLeast"/>
        <w:rPr>
          <w:rFonts w:ascii="宋体" w:hAnsi="宋体" w:eastAsia="宋体" w:cs="宋体"/>
          <w:b/>
          <w:bCs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169"/>
        <w:gridCol w:w="2483"/>
        <w:gridCol w:w="600"/>
        <w:gridCol w:w="796"/>
        <w:gridCol w:w="724"/>
        <w:gridCol w:w="694"/>
        <w:gridCol w:w="762"/>
        <w:gridCol w:w="670"/>
        <w:gridCol w:w="6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0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64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416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</w:t>
            </w:r>
            <w:r>
              <w:rPr>
                <w:rFonts w:hint="eastAsia" w:ascii="楷体" w:hAnsi="楷体" w:eastAsia="楷体" w:cs="宋体"/>
                <w:spacing w:val="-20"/>
                <w:kern w:val="0"/>
                <w:sz w:val="20"/>
                <w:szCs w:val="20"/>
              </w:rPr>
              <w:t>事务信息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2.申请人逾期未按通知要求缴纳费用、行政机关不再处理其政府</w:t>
            </w:r>
            <w:r>
              <w:rPr>
                <w:rFonts w:hint="eastAsia" w:ascii="楷体" w:hAnsi="楷体" w:eastAsia="楷体" w:cs="宋体"/>
                <w:spacing w:val="-20"/>
                <w:kern w:val="0"/>
                <w:sz w:val="20"/>
                <w:szCs w:val="20"/>
              </w:rPr>
              <w:t>信息公开申请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四、政府信息公开行政复议、行政诉讼情况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rPr>
          <w:rFonts w:hint="eastAsia"/>
          <w:sz w:val="32"/>
          <w:szCs w:val="32"/>
        </w:rPr>
      </w:pPr>
      <w:r>
        <w:rPr>
          <w:kern w:val="0"/>
        </w:rPr>
        <w:t>　</w:t>
      </w:r>
      <w:r>
        <w:rPr>
          <w:kern w:val="0"/>
          <w:sz w:val="32"/>
          <w:szCs w:val="32"/>
        </w:rPr>
        <w:t> 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五、存在的主要问题及改进情况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（一）存在的主要问题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2021年，梅县区退役军人事务局扎实推进政府信息公开各项工作，取得一定工作成效，但仍存在政府信息公开目录有待优化、公开内容相对浅显、分析解读类信息少、与受众互动不足等问题。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numPr>
          <w:ilvl w:val="0"/>
          <w:numId w:val="1"/>
        </w:num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改进情况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一步，我局将着力从以下方面发力，努力推动政务信息公开工作取得更好成效。一是进一步优化政府信息公开目录，在集约、简便的前提下，丰富政府信息公开目录分类主题设置；二是坚持“以公开为常态，不公开为例外”，进一步推进退役军人相关政策、制度等内容的公开、宣传和解读。三是加强政府信息公开制度建设，进一步明确政府信息公开工作职责，完善信息发布审核监管机制。四是多管齐下，进一步加强移动新媒体的建设和管理，吸引更多退役军人关注，加强有效互动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六、其他需要报告的事项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</w:t>
      </w:r>
    </w:p>
    <w:p>
      <w:pPr>
        <w:rPr>
          <w:rFonts w:ascii="宋体" w:hAnsi="宋体" w:eastAsia="宋体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7AE3D6"/>
    <w:multiLevelType w:val="singleLevel"/>
    <w:tmpl w:val="CB7AE3D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B1C50"/>
    <w:rsid w:val="321B1C50"/>
    <w:rsid w:val="34206C69"/>
    <w:rsid w:val="4E61341A"/>
    <w:rsid w:val="7A69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2022-01-12T08:41:00Z</dcterms:created>
  <dc:creator>敏@悟</dc:creator>
  <cp:lastModifiedBy>敏@悟</cp:lastModifiedBy>
  <dcterms:modified xsi:type="dcterms:W3CDTF">2022-01-12T09:09:56Z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E9B186CDCB394AE3815667791D3D6978</vt:lpwstr>
  </property>
</Properties>
</file>