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00"/>
        <w:jc w:val="center"/>
        <w:rPr>
          <w:rFonts w:ascii="仿宋_GB2312" w:eastAsia="仿宋_GB2312"/>
          <w:color w:val="000000"/>
          <w:sz w:val="15"/>
        </w:rPr>
      </w:pPr>
    </w:p>
    <w:p>
      <w:pPr>
        <w:ind w:firstLine="300"/>
        <w:jc w:val="center"/>
        <w:rPr>
          <w:rFonts w:ascii="仿宋_GB2312" w:eastAsia="仿宋_GB2312"/>
          <w:color w:val="000000"/>
          <w:sz w:val="15"/>
        </w:rPr>
      </w:pPr>
    </w:p>
    <w:p>
      <w:pPr>
        <w:ind w:firstLine="300"/>
        <w:jc w:val="center"/>
        <w:rPr>
          <w:rFonts w:ascii="仿宋_GB2312" w:eastAsia="仿宋_GB2312"/>
          <w:color w:val="000000"/>
          <w:sz w:val="15"/>
        </w:rPr>
      </w:pPr>
    </w:p>
    <w:p>
      <w:pPr>
        <w:ind w:firstLine="0" w:firstLineChars="0"/>
        <w:jc w:val="center"/>
        <w:rPr>
          <w:rFonts w:ascii="宋体" w:hAnsi="宋体" w:eastAsia="宋体"/>
          <w:b/>
          <w:color w:val="000000"/>
          <w:sz w:val="44"/>
          <w:szCs w:val="44"/>
        </w:rPr>
      </w:pPr>
      <w:r>
        <w:rPr>
          <w:rFonts w:hint="eastAsia" w:ascii="宋体" w:hAnsi="宋体" w:eastAsia="宋体"/>
          <w:b/>
          <w:color w:val="000000"/>
          <w:sz w:val="44"/>
          <w:szCs w:val="44"/>
        </w:rPr>
        <w:t>广东玉塑管道有限公司年产5000吨PVC</w:t>
      </w:r>
    </w:p>
    <w:p>
      <w:pPr>
        <w:ind w:firstLine="0" w:firstLineChars="0"/>
        <w:jc w:val="center"/>
        <w:rPr>
          <w:rFonts w:ascii="宋体" w:hAnsi="宋体" w:eastAsia="宋体"/>
          <w:b/>
          <w:color w:val="000000"/>
          <w:sz w:val="44"/>
          <w:szCs w:val="44"/>
        </w:rPr>
      </w:pPr>
      <w:r>
        <w:rPr>
          <w:rFonts w:hint="eastAsia" w:ascii="宋体" w:hAnsi="宋体" w:eastAsia="宋体"/>
          <w:b/>
          <w:color w:val="000000"/>
          <w:sz w:val="44"/>
          <w:szCs w:val="44"/>
        </w:rPr>
        <w:t>管材建设项目竣工环境保护验收监测报告</w:t>
      </w:r>
    </w:p>
    <w:p>
      <w:pPr>
        <w:ind w:firstLine="560"/>
        <w:jc w:val="center"/>
        <w:rPr>
          <w:rFonts w:ascii="仿宋_GB2312" w:eastAsia="仿宋_GB2312"/>
          <w:color w:val="000000"/>
          <w:sz w:val="28"/>
        </w:rPr>
      </w:pPr>
    </w:p>
    <w:p>
      <w:pPr>
        <w:ind w:firstLine="560"/>
        <w:rPr>
          <w:rFonts w:ascii="仿宋_GB2312" w:eastAsia="仿宋_GB2312"/>
          <w:color w:val="000000"/>
          <w:sz w:val="28"/>
        </w:rPr>
      </w:pPr>
    </w:p>
    <w:p>
      <w:pPr>
        <w:ind w:firstLine="560"/>
        <w:rPr>
          <w:rFonts w:ascii="仿宋_GB2312" w:eastAsia="仿宋_GB2312"/>
          <w:color w:val="000000"/>
          <w:sz w:val="13"/>
        </w:rPr>
      </w:pPr>
      <w:r>
        <w:rPr>
          <w:rFonts w:ascii="仿宋_GB2312" w:eastAsia="仿宋_GB2312"/>
          <w:color w:val="000000"/>
          <w:sz w:val="28"/>
        </w:rPr>
        <w:tab/>
      </w:r>
      <w:r>
        <w:rPr>
          <w:rFonts w:ascii="仿宋_GB2312" w:eastAsia="仿宋_GB2312"/>
          <w:color w:val="000000"/>
          <w:sz w:val="13"/>
        </w:rPr>
        <w:tab/>
      </w:r>
    </w:p>
    <w:p>
      <w:pPr>
        <w:ind w:firstLine="0" w:firstLineChars="0"/>
        <w:rPr>
          <w:rFonts w:ascii="仿宋_GB2312" w:eastAsia="仿宋_GB2312"/>
          <w:color w:val="000000"/>
          <w:sz w:val="13"/>
        </w:rPr>
      </w:pPr>
    </w:p>
    <w:p>
      <w:pPr>
        <w:ind w:firstLine="260"/>
        <w:rPr>
          <w:rFonts w:ascii="仿宋_GB2312" w:eastAsia="仿宋_GB2312"/>
          <w:color w:val="000000"/>
          <w:sz w:val="13"/>
        </w:rPr>
      </w:pPr>
    </w:p>
    <w:p>
      <w:pPr>
        <w:ind w:firstLine="260"/>
        <w:rPr>
          <w:rFonts w:ascii="仿宋_GB2312" w:eastAsia="仿宋_GB2312"/>
          <w:color w:val="000000"/>
          <w:sz w:val="13"/>
        </w:rPr>
      </w:pPr>
    </w:p>
    <w:p>
      <w:pPr>
        <w:ind w:firstLine="260"/>
        <w:rPr>
          <w:rFonts w:ascii="仿宋_GB2312" w:eastAsia="仿宋_GB2312"/>
          <w:color w:val="000000"/>
          <w:sz w:val="13"/>
        </w:rPr>
      </w:pPr>
    </w:p>
    <w:p>
      <w:pPr>
        <w:ind w:firstLine="0" w:firstLineChars="0"/>
        <w:jc w:val="center"/>
        <w:rPr>
          <w:rFonts w:ascii="宋体" w:hAnsi="宋体" w:eastAsia="宋体"/>
          <w:b/>
          <w:color w:val="000000"/>
          <w:sz w:val="30"/>
          <w:szCs w:val="30"/>
        </w:rPr>
      </w:pPr>
    </w:p>
    <w:p>
      <w:pPr>
        <w:ind w:firstLine="0" w:firstLineChars="0"/>
        <w:jc w:val="center"/>
        <w:rPr>
          <w:rFonts w:ascii="宋体" w:hAnsi="宋体" w:eastAsia="宋体"/>
          <w:b/>
          <w:color w:val="000000"/>
          <w:sz w:val="30"/>
          <w:szCs w:val="30"/>
        </w:rPr>
      </w:pPr>
      <w:r>
        <w:rPr>
          <w:rFonts w:hint="eastAsia" w:ascii="宋体" w:hAnsi="宋体" w:eastAsia="宋体"/>
          <w:b/>
          <w:color w:val="000000"/>
          <w:sz w:val="30"/>
          <w:szCs w:val="30"/>
        </w:rPr>
        <w:t>建设单位：广东玉塑管道有限公司</w:t>
      </w:r>
    </w:p>
    <w:p>
      <w:pPr>
        <w:ind w:firstLine="0" w:firstLineChars="0"/>
        <w:jc w:val="center"/>
        <w:rPr>
          <w:rFonts w:ascii="宋体" w:hAnsi="宋体" w:eastAsia="宋体"/>
          <w:b/>
          <w:color w:val="000000"/>
          <w:sz w:val="30"/>
          <w:szCs w:val="30"/>
        </w:rPr>
      </w:pPr>
      <w:r>
        <w:rPr>
          <w:rFonts w:hint="eastAsia" w:ascii="宋体" w:hAnsi="宋体" w:eastAsia="宋体"/>
          <w:b/>
          <w:color w:val="000000"/>
          <w:sz w:val="30"/>
          <w:szCs w:val="30"/>
        </w:rPr>
        <w:t>编制单位：广东新金穗环保有限公司</w:t>
      </w:r>
    </w:p>
    <w:p>
      <w:pPr>
        <w:ind w:firstLine="0" w:firstLineChars="0"/>
        <w:jc w:val="center"/>
        <w:rPr>
          <w:rFonts w:ascii="宋体" w:hAnsi="宋体" w:eastAsia="宋体"/>
          <w:b/>
          <w:color w:val="000000"/>
          <w:sz w:val="30"/>
          <w:szCs w:val="30"/>
        </w:rPr>
      </w:pPr>
      <w:r>
        <w:rPr>
          <w:rFonts w:hint="eastAsia" w:eastAsia="宋体" w:cs="Times New Roman"/>
          <w:b/>
          <w:color w:val="000000"/>
          <w:sz w:val="30"/>
          <w:szCs w:val="30"/>
        </w:rPr>
        <w:t>编制日期：</w:t>
      </w:r>
      <w:r>
        <w:rPr>
          <w:rFonts w:eastAsia="宋体" w:cs="Times New Roman"/>
          <w:b/>
          <w:color w:val="000000"/>
          <w:sz w:val="30"/>
          <w:szCs w:val="30"/>
        </w:rPr>
        <w:t>20</w:t>
      </w:r>
      <w:r>
        <w:rPr>
          <w:rFonts w:hint="eastAsia" w:eastAsia="宋体" w:cs="Times New Roman"/>
          <w:b/>
          <w:color w:val="000000"/>
          <w:sz w:val="30"/>
          <w:szCs w:val="30"/>
        </w:rPr>
        <w:t>21</w:t>
      </w:r>
      <w:r>
        <w:rPr>
          <w:rFonts w:hint="eastAsia" w:ascii="宋体" w:hAnsi="宋体" w:eastAsia="宋体"/>
          <w:b/>
          <w:color w:val="000000"/>
          <w:sz w:val="30"/>
          <w:szCs w:val="30"/>
        </w:rPr>
        <w:t>年</w:t>
      </w:r>
      <w:r>
        <w:rPr>
          <w:rFonts w:hint="eastAsia" w:eastAsia="宋体" w:cs="Times New Roman"/>
          <w:b/>
          <w:color w:val="000000"/>
          <w:sz w:val="30"/>
          <w:szCs w:val="30"/>
        </w:rPr>
        <w:t>4</w:t>
      </w:r>
      <w:r>
        <w:rPr>
          <w:rFonts w:hint="eastAsia" w:ascii="宋体" w:hAnsi="宋体" w:eastAsia="宋体"/>
          <w:b/>
          <w:color w:val="000000"/>
          <w:sz w:val="30"/>
          <w:szCs w:val="30"/>
        </w:rPr>
        <w:t>月</w:t>
      </w:r>
    </w:p>
    <w:p>
      <w:pPr>
        <w:ind w:firstLine="562"/>
      </w:pPr>
      <w:r>
        <w:rPr>
          <w:rFonts w:ascii="宋体" w:hAnsi="宋体" w:eastAsia="宋体"/>
          <w:b/>
          <w:color w:val="000000"/>
          <w:sz w:val="28"/>
        </w:rPr>
        <w:br w:type="page"/>
      </w:r>
    </w:p>
    <w:p>
      <w:pPr>
        <w:ind w:firstLine="480"/>
      </w:pPr>
    </w:p>
    <w:p>
      <w:pPr>
        <w:ind w:firstLine="0" w:firstLineChars="0"/>
        <w:rPr>
          <w:b/>
          <w:sz w:val="28"/>
        </w:rPr>
      </w:pPr>
      <w:r>
        <w:rPr>
          <w:rFonts w:hint="eastAsia"/>
          <w:b/>
          <w:sz w:val="28"/>
        </w:rPr>
        <w:t>建设单位法人代表</w:t>
      </w:r>
      <w:r>
        <w:rPr>
          <w:b/>
          <w:sz w:val="28"/>
        </w:rPr>
        <w:t>:</w:t>
      </w:r>
      <w:r>
        <w:rPr>
          <w:rFonts w:hint="eastAsia"/>
          <w:b/>
          <w:sz w:val="28"/>
        </w:rPr>
        <w:t xml:space="preserve"> 徐瑞刚</w:t>
      </w:r>
    </w:p>
    <w:p>
      <w:pPr>
        <w:ind w:firstLine="0" w:firstLineChars="0"/>
        <w:rPr>
          <w:b/>
          <w:sz w:val="36"/>
        </w:rPr>
      </w:pPr>
    </w:p>
    <w:p>
      <w:pPr>
        <w:ind w:firstLine="0" w:firstLineChars="0"/>
        <w:rPr>
          <w:b/>
          <w:sz w:val="28"/>
        </w:rPr>
      </w:pPr>
      <w:r>
        <w:rPr>
          <w:rFonts w:hint="eastAsia"/>
          <w:b/>
          <w:sz w:val="28"/>
        </w:rPr>
        <w:t>编制单位法人代表</w:t>
      </w:r>
      <w:r>
        <w:rPr>
          <w:b/>
          <w:sz w:val="28"/>
        </w:rPr>
        <w:t>:</w:t>
      </w:r>
      <w:r>
        <w:rPr>
          <w:rFonts w:hint="eastAsia"/>
          <w:b/>
          <w:sz w:val="28"/>
        </w:rPr>
        <w:t xml:space="preserve"> 刘艳芳</w:t>
      </w:r>
    </w:p>
    <w:p>
      <w:pPr>
        <w:ind w:firstLine="0" w:firstLineChars="0"/>
        <w:rPr>
          <w:b/>
          <w:sz w:val="28"/>
        </w:rPr>
      </w:pPr>
    </w:p>
    <w:p>
      <w:pPr>
        <w:ind w:firstLine="0" w:firstLineChars="0"/>
        <w:rPr>
          <w:b/>
          <w:sz w:val="28"/>
        </w:rPr>
      </w:pPr>
      <w:r>
        <w:rPr>
          <w:rFonts w:hint="eastAsia"/>
          <w:b/>
          <w:sz w:val="28"/>
        </w:rPr>
        <w:t>项目负责人</w:t>
      </w:r>
      <w:r>
        <w:rPr>
          <w:b/>
          <w:sz w:val="28"/>
        </w:rPr>
        <w:t>:</w:t>
      </w:r>
      <w:r>
        <w:rPr>
          <w:rFonts w:hint="eastAsia"/>
          <w:b/>
          <w:sz w:val="28"/>
        </w:rPr>
        <w:t xml:space="preserve">  曾志玲</w:t>
      </w:r>
    </w:p>
    <w:p>
      <w:pPr>
        <w:ind w:firstLine="0" w:firstLineChars="0"/>
        <w:rPr>
          <w:b/>
          <w:sz w:val="28"/>
        </w:rPr>
      </w:pPr>
    </w:p>
    <w:p>
      <w:pPr>
        <w:ind w:firstLine="0" w:firstLineChars="0"/>
        <w:rPr>
          <w:b/>
          <w:sz w:val="28"/>
        </w:rPr>
      </w:pPr>
      <w:r>
        <w:rPr>
          <w:rFonts w:hint="eastAsia"/>
          <w:b/>
          <w:sz w:val="28"/>
        </w:rPr>
        <w:t>报告编写人</w:t>
      </w:r>
      <w:r>
        <w:rPr>
          <w:b/>
          <w:sz w:val="28"/>
        </w:rPr>
        <w:t>:</w:t>
      </w:r>
      <w:r>
        <w:rPr>
          <w:rFonts w:hint="eastAsia"/>
          <w:b/>
          <w:sz w:val="28"/>
        </w:rPr>
        <w:t xml:space="preserve">  曾志玲</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bl>
      <w:tblPr>
        <w:tblStyle w:val="26"/>
        <w:tblW w:w="90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1" w:type="dxa"/>
          </w:tcPr>
          <w:p>
            <w:pPr>
              <w:ind w:firstLine="0" w:firstLineChars="0"/>
              <w:rPr>
                <w:b/>
              </w:rPr>
            </w:pPr>
            <w:r>
              <w:rPr>
                <w:b/>
              </w:rPr>
              <w:t>建设单位：</w:t>
            </w:r>
            <w:r>
              <w:rPr>
                <w:rFonts w:hint="eastAsia"/>
                <w:b/>
              </w:rPr>
              <w:t>广东玉塑管道有限公司</w:t>
            </w:r>
          </w:p>
        </w:tc>
        <w:tc>
          <w:tcPr>
            <w:tcW w:w="4531" w:type="dxa"/>
          </w:tcPr>
          <w:p>
            <w:pPr>
              <w:ind w:firstLine="482"/>
              <w:rPr>
                <w:b/>
              </w:rPr>
            </w:pPr>
            <w:r>
              <w:rPr>
                <w:b/>
              </w:rPr>
              <w:t>编制单位：广东新金穗环保有限公司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1" w:type="dxa"/>
          </w:tcPr>
          <w:p>
            <w:pPr>
              <w:ind w:firstLine="0" w:firstLineChars="0"/>
              <w:rPr>
                <w:b/>
              </w:rPr>
            </w:pPr>
            <w:r>
              <w:rPr>
                <w:b/>
              </w:rPr>
              <w:t>电话：</w:t>
            </w:r>
            <w:r>
              <w:rPr>
                <w:rFonts w:hint="eastAsia"/>
                <w:b/>
              </w:rPr>
              <w:t>18170562178</w:t>
            </w:r>
          </w:p>
        </w:tc>
        <w:tc>
          <w:tcPr>
            <w:tcW w:w="4531" w:type="dxa"/>
          </w:tcPr>
          <w:p>
            <w:pPr>
              <w:ind w:firstLine="482"/>
              <w:rPr>
                <w:b/>
              </w:rPr>
            </w:pPr>
            <w:r>
              <w:rPr>
                <w:b/>
              </w:rPr>
              <w:t>电话：13690864045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1" w:type="dxa"/>
          </w:tcPr>
          <w:p>
            <w:pPr>
              <w:ind w:firstLine="0" w:firstLineChars="0"/>
              <w:rPr>
                <w:b/>
              </w:rPr>
            </w:pPr>
            <w:r>
              <w:rPr>
                <w:b/>
              </w:rPr>
              <w:t>传真：</w:t>
            </w:r>
            <w:r>
              <w:rPr>
                <w:rFonts w:hint="eastAsia"/>
                <w:b/>
              </w:rPr>
              <w:t>——</w:t>
            </w:r>
          </w:p>
        </w:tc>
        <w:tc>
          <w:tcPr>
            <w:tcW w:w="4531" w:type="dxa"/>
          </w:tcPr>
          <w:p>
            <w:pPr>
              <w:ind w:firstLine="482"/>
              <w:rPr>
                <w:b/>
              </w:rPr>
            </w:pPr>
            <w:r>
              <w:rPr>
                <w:b/>
              </w:rPr>
              <w:t>传真：</w:t>
            </w:r>
            <w:r>
              <w:rPr>
                <w:rFonts w:hint="eastAsia"/>
                <w:b/>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1" w:type="dxa"/>
          </w:tcPr>
          <w:p>
            <w:pPr>
              <w:ind w:firstLine="0" w:firstLineChars="0"/>
              <w:rPr>
                <w:b/>
              </w:rPr>
            </w:pPr>
            <w:r>
              <w:rPr>
                <w:b/>
              </w:rPr>
              <w:t>邮编：514</w:t>
            </w:r>
            <w:r>
              <w:rPr>
                <w:rFonts w:hint="eastAsia"/>
                <w:b/>
              </w:rPr>
              <w:t>0</w:t>
            </w:r>
            <w:r>
              <w:rPr>
                <w:b/>
              </w:rPr>
              <w:t>0</w:t>
            </w:r>
            <w:r>
              <w:rPr>
                <w:rFonts w:hint="eastAsia"/>
                <w:b/>
              </w:rPr>
              <w:t>0</w:t>
            </w:r>
          </w:p>
        </w:tc>
        <w:tc>
          <w:tcPr>
            <w:tcW w:w="4531" w:type="dxa"/>
          </w:tcPr>
          <w:p>
            <w:pPr>
              <w:ind w:firstLine="482"/>
              <w:rPr>
                <w:b/>
              </w:rPr>
            </w:pPr>
            <w:r>
              <w:rPr>
                <w:b/>
              </w:rPr>
              <w:t>邮编：51400</w:t>
            </w:r>
            <w:r>
              <w:rPr>
                <w:rFonts w:hint="eastAsia"/>
                <w:b/>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1" w:type="dxa"/>
          </w:tcPr>
          <w:p>
            <w:pPr>
              <w:ind w:firstLine="0" w:firstLineChars="0"/>
              <w:rPr>
                <w:b/>
              </w:rPr>
            </w:pPr>
            <w:r>
              <w:rPr>
                <w:b/>
              </w:rPr>
              <w:t>地址：</w:t>
            </w:r>
            <w:r>
              <w:rPr>
                <w:rFonts w:hint="eastAsia"/>
                <w:b/>
              </w:rPr>
              <w:t>梅州市梅县区白渡镇沙坪村三丫塘A栋1号</w:t>
            </w:r>
          </w:p>
        </w:tc>
        <w:tc>
          <w:tcPr>
            <w:tcW w:w="4531" w:type="dxa"/>
          </w:tcPr>
          <w:p>
            <w:pPr>
              <w:ind w:firstLine="482"/>
              <w:rPr>
                <w:rFonts w:eastAsia="宋体" w:cs="Times New Roman"/>
                <w:b/>
                <w:color w:val="000000"/>
                <w:szCs w:val="24"/>
              </w:rPr>
            </w:pPr>
            <w:r>
              <w:rPr>
                <w:rFonts w:eastAsia="宋体" w:cs="Times New Roman"/>
                <w:b/>
                <w:color w:val="000000"/>
                <w:szCs w:val="24"/>
              </w:rPr>
              <w:t>地址：</w:t>
            </w:r>
            <w:r>
              <w:rPr>
                <w:rFonts w:hint="eastAsia" w:eastAsia="宋体" w:cs="Times New Roman"/>
                <w:b/>
                <w:color w:val="000000"/>
                <w:szCs w:val="24"/>
              </w:rPr>
              <w:t>梅州市梅县区大新城第一期一</w:t>
            </w:r>
          </w:p>
          <w:p>
            <w:pPr>
              <w:ind w:firstLine="482"/>
              <w:rPr>
                <w:rFonts w:ascii="宋体" w:hAnsi="宋体" w:eastAsia="宋体"/>
                <w:b/>
                <w:color w:val="000000"/>
                <w:sz w:val="28"/>
              </w:rPr>
            </w:pPr>
            <w:r>
              <w:rPr>
                <w:rFonts w:hint="eastAsia" w:eastAsia="宋体"/>
                <w:b/>
                <w:color w:val="000000"/>
                <w:szCs w:val="24"/>
              </w:rPr>
              <w:t>区盘古花园1座A8栋30号复式店</w:t>
            </w:r>
          </w:p>
        </w:tc>
      </w:tr>
    </w:tbl>
    <w:p>
      <w:pPr>
        <w:widowControl/>
        <w:spacing w:line="240" w:lineRule="auto"/>
        <w:ind w:firstLine="0" w:firstLineChars="0"/>
        <w:jc w:val="left"/>
        <w:rPr>
          <w:rFonts w:ascii="宋体" w:hAnsi="宋体" w:eastAsia="宋体"/>
          <w:b/>
          <w:color w:val="000000"/>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92" w:footer="758" w:gutter="0"/>
          <w:pgNumType w:fmt="upperRoman" w:start="1"/>
          <w:cols w:space="425" w:num="1"/>
          <w:docGrid w:type="lines" w:linePitch="326" w:charSpace="0"/>
        </w:sectPr>
      </w:pPr>
    </w:p>
    <w:sdt>
      <w:sdtPr>
        <w:rPr>
          <w:szCs w:val="24"/>
          <w:lang w:val="zh-CN"/>
        </w:rPr>
        <w:id w:val="10663423"/>
        <w:docPartObj>
          <w:docPartGallery w:val="Table of Contents"/>
          <w:docPartUnique/>
        </w:docPartObj>
      </w:sdtPr>
      <w:sdtEndPr>
        <w:rPr>
          <w:szCs w:val="22"/>
          <w:lang w:val="en-US"/>
        </w:rPr>
      </w:sdtEndPr>
      <w:sdtContent>
        <w:p>
          <w:pPr>
            <w:spacing w:line="240" w:lineRule="auto"/>
            <w:ind w:firstLine="0" w:firstLineChars="0"/>
            <w:jc w:val="center"/>
            <w:rPr>
              <w:rFonts w:ascii="宋体" w:hAnsi="宋体" w:eastAsia="宋体"/>
              <w:b/>
              <w:bCs/>
              <w:szCs w:val="24"/>
            </w:rPr>
          </w:pPr>
          <w:r>
            <w:rPr>
              <w:rFonts w:ascii="宋体" w:hAnsi="宋体" w:eastAsia="宋体"/>
              <w:b/>
              <w:bCs/>
              <w:szCs w:val="24"/>
            </w:rPr>
            <w:t>目录</w:t>
          </w:r>
        </w:p>
        <w:p>
          <w:pPr>
            <w:pStyle w:val="17"/>
            <w:tabs>
              <w:tab w:val="right" w:leader="dot" w:pos="8296"/>
            </w:tabs>
            <w:ind w:firstLine="480"/>
            <w:rPr>
              <w:rFonts w:asciiTheme="minorHAnsi" w:hAnsiTheme="minorHAnsi"/>
              <w:sz w:val="21"/>
            </w:rPr>
          </w:pPr>
          <w:r>
            <w:fldChar w:fldCharType="begin"/>
          </w:r>
          <w:r>
            <w:instrText xml:space="preserve"> TOC \o "1-3" \h \z \u </w:instrText>
          </w:r>
          <w:r>
            <w:fldChar w:fldCharType="separate"/>
          </w:r>
          <w:r>
            <w:fldChar w:fldCharType="begin"/>
          </w:r>
          <w:r>
            <w:instrText xml:space="preserve"> HYPERLINK \l "_Toc72396059" </w:instrText>
          </w:r>
          <w:r>
            <w:fldChar w:fldCharType="separate"/>
          </w:r>
          <w:r>
            <w:rPr>
              <w:rStyle w:val="23"/>
            </w:rPr>
            <w:t xml:space="preserve">1 </w:t>
          </w:r>
          <w:r>
            <w:rPr>
              <w:rStyle w:val="23"/>
              <w:rFonts w:hint="eastAsia"/>
            </w:rPr>
            <w:t>项目概况</w:t>
          </w:r>
          <w:r>
            <w:tab/>
          </w:r>
          <w:r>
            <w:fldChar w:fldCharType="begin"/>
          </w:r>
          <w:r>
            <w:instrText xml:space="preserve"> PAGEREF _Toc72396059 \h </w:instrText>
          </w:r>
          <w:r>
            <w:fldChar w:fldCharType="separate"/>
          </w:r>
          <w:r>
            <w:t>1</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"_Toc72396060" </w:instrText>
          </w:r>
          <w:r>
            <w:fldChar w:fldCharType="separate"/>
          </w:r>
          <w:r>
            <w:rPr>
              <w:rStyle w:val="23"/>
            </w:rPr>
            <w:t>2</w:t>
          </w:r>
          <w:r>
            <w:rPr>
              <w:rStyle w:val="23"/>
              <w:rFonts w:hint="eastAsia"/>
            </w:rPr>
            <w:t>验收依据</w:t>
          </w:r>
          <w:r>
            <w:tab/>
          </w:r>
          <w:r>
            <w:fldChar w:fldCharType="begin"/>
          </w:r>
          <w:r>
            <w:instrText xml:space="preserve"> PAGEREF _Toc72396060 \h </w:instrText>
          </w:r>
          <w:r>
            <w:fldChar w:fldCharType="separate"/>
          </w:r>
          <w:r>
            <w:t>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"_Toc72396061" </w:instrText>
          </w:r>
          <w:r>
            <w:fldChar w:fldCharType="separate"/>
          </w:r>
          <w:r>
            <w:rPr>
              <w:rStyle w:val="23"/>
            </w:rPr>
            <w:t>2.1</w:t>
          </w:r>
          <w:r>
            <w:rPr>
              <w:rStyle w:val="23"/>
              <w:rFonts w:hint="eastAsia"/>
            </w:rPr>
            <w:t>建设项目环境保护相关法律、法规和规章制度；</w:t>
          </w:r>
          <w:r>
            <w:tab/>
          </w:r>
          <w:r>
            <w:fldChar w:fldCharType="begin"/>
          </w:r>
          <w:r>
            <w:instrText xml:space="preserve"> PAGEREF _Toc72396061 \h </w:instrText>
          </w:r>
          <w:r>
            <w:fldChar w:fldCharType="separate"/>
          </w:r>
          <w:r>
            <w:t>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"_Toc72396062" </w:instrText>
          </w:r>
          <w:r>
            <w:fldChar w:fldCharType="separate"/>
          </w:r>
          <w:r>
            <w:rPr>
              <w:rStyle w:val="23"/>
            </w:rPr>
            <w:t>2.2</w:t>
          </w:r>
          <w:r>
            <w:rPr>
              <w:rStyle w:val="23"/>
              <w:rFonts w:hint="eastAsia"/>
            </w:rPr>
            <w:t>建设项目竣工环境保护验收技术规范；</w:t>
          </w:r>
          <w:r>
            <w:tab/>
          </w:r>
          <w:r>
            <w:fldChar w:fldCharType="begin"/>
          </w:r>
          <w:r>
            <w:instrText xml:space="preserve"> PAGEREF _Toc72396062 \h </w:instrText>
          </w:r>
          <w:r>
            <w:fldChar w:fldCharType="separate"/>
          </w:r>
          <w:r>
            <w:t>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"_Toc72396063" </w:instrText>
          </w:r>
          <w:r>
            <w:fldChar w:fldCharType="separate"/>
          </w:r>
          <w:r>
            <w:rPr>
              <w:rStyle w:val="23"/>
            </w:rPr>
            <w:t>2.3</w:t>
          </w:r>
          <w:r>
            <w:rPr>
              <w:rStyle w:val="23"/>
              <w:rFonts w:hint="eastAsia"/>
            </w:rPr>
            <w:t>建设项目环境影响报告表及其审批部门审批决定</w:t>
          </w:r>
          <w:r>
            <w:tab/>
          </w:r>
          <w:r>
            <w:fldChar w:fldCharType="begin"/>
          </w:r>
          <w:r>
            <w:instrText xml:space="preserve"> PAGEREF _Toc72396063 \h </w:instrText>
          </w:r>
          <w:r>
            <w:fldChar w:fldCharType="separate"/>
          </w:r>
          <w:r>
            <w:t>3</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"_Toc72396064" </w:instrText>
          </w:r>
          <w:r>
            <w:fldChar w:fldCharType="separate"/>
          </w:r>
          <w:r>
            <w:rPr>
              <w:rStyle w:val="23"/>
            </w:rPr>
            <w:t>3</w:t>
          </w:r>
          <w:r>
            <w:rPr>
              <w:rStyle w:val="23"/>
              <w:rFonts w:hint="eastAsia"/>
            </w:rPr>
            <w:t>项目建设情况</w:t>
          </w:r>
          <w:r>
            <w:tab/>
          </w:r>
          <w:r>
            <w:fldChar w:fldCharType="begin"/>
          </w:r>
          <w:r>
            <w:instrText xml:space="preserve"> PAGEREF _Toc72396064 \h </w:instrText>
          </w:r>
          <w:r>
            <w:fldChar w:fldCharType="separate"/>
          </w:r>
          <w:r>
            <w:t>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"_Toc72396065" </w:instrText>
          </w:r>
          <w:r>
            <w:fldChar w:fldCharType="separate"/>
          </w:r>
          <w:r>
            <w:rPr>
              <w:rStyle w:val="23"/>
            </w:rPr>
            <w:t>3.1</w:t>
          </w:r>
          <w:r>
            <w:rPr>
              <w:rStyle w:val="23"/>
              <w:rFonts w:hint="eastAsia"/>
            </w:rPr>
            <w:t>项目基本情况</w:t>
          </w:r>
          <w:r>
            <w:tab/>
          </w:r>
          <w:r>
            <w:fldChar w:fldCharType="begin"/>
          </w:r>
          <w:r>
            <w:instrText xml:space="preserve"> PAGEREF _Toc72396065 \h </w:instrText>
          </w:r>
          <w:r>
            <w:fldChar w:fldCharType="separate"/>
          </w:r>
          <w:r>
            <w:t>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"_Toc72396066" </w:instrText>
          </w:r>
          <w:r>
            <w:fldChar w:fldCharType="separate"/>
          </w:r>
          <w:r>
            <w:rPr>
              <w:rStyle w:val="23"/>
            </w:rPr>
            <w:t>3.2</w:t>
          </w:r>
          <w:r>
            <w:rPr>
              <w:rStyle w:val="23"/>
              <w:rFonts w:hint="eastAsia"/>
            </w:rPr>
            <w:t>地理位置及平面布置</w:t>
          </w:r>
          <w:r>
            <w:tab/>
          </w:r>
          <w:r>
            <w:fldChar w:fldCharType="begin"/>
          </w:r>
          <w:r>
            <w:instrText xml:space="preserve"> PAGEREF _Toc72396066 \h </w:instrText>
          </w:r>
          <w:r>
            <w:fldChar w:fldCharType="separate"/>
          </w:r>
          <w:r>
            <w:t>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"_Toc72396067" </w:instrText>
          </w:r>
          <w:r>
            <w:fldChar w:fldCharType="separate"/>
          </w:r>
          <w:r>
            <w:rPr>
              <w:rStyle w:val="23"/>
            </w:rPr>
            <w:t>3.3</w:t>
          </w:r>
          <w:r>
            <w:rPr>
              <w:rStyle w:val="23"/>
              <w:rFonts w:hint="eastAsia" w:hAnsiTheme="minorEastAsia"/>
            </w:rPr>
            <w:t>建设内容</w:t>
          </w:r>
          <w:r>
            <w:tab/>
          </w:r>
          <w:r>
            <w:fldChar w:fldCharType="begin"/>
          </w:r>
          <w:r>
            <w:instrText xml:space="preserve"> PAGEREF _Toc72396067 \h </w:instrText>
          </w:r>
          <w:r>
            <w:fldChar w:fldCharType="separate"/>
          </w:r>
          <w:r>
            <w:t>6</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"_Toc72396068" </w:instrText>
          </w:r>
          <w:r>
            <w:fldChar w:fldCharType="separate"/>
          </w:r>
          <w:r>
            <w:rPr>
              <w:rStyle w:val="23"/>
            </w:rPr>
            <w:t>3.4</w:t>
          </w:r>
          <w:r>
            <w:rPr>
              <w:rStyle w:val="23"/>
              <w:rFonts w:hint="eastAsia"/>
            </w:rPr>
            <w:t>主要原辅材料及能耗</w:t>
          </w:r>
          <w:r>
            <w:tab/>
          </w:r>
          <w:r>
            <w:fldChar w:fldCharType="begin"/>
          </w:r>
          <w:r>
            <w:instrText xml:space="preserve"> PAGEREF _Toc72396068 \h </w:instrText>
          </w:r>
          <w:r>
            <w:fldChar w:fldCharType="separate"/>
          </w:r>
          <w:r>
            <w:t>6</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"_Toc72396069" </w:instrText>
          </w:r>
          <w:r>
            <w:fldChar w:fldCharType="separate"/>
          </w:r>
          <w:r>
            <w:rPr>
              <w:rStyle w:val="23"/>
            </w:rPr>
            <w:t>3.5</w:t>
          </w:r>
          <w:r>
            <w:rPr>
              <w:rStyle w:val="23"/>
              <w:rFonts w:hint="eastAsia" w:hAnsiTheme="minorEastAsia"/>
            </w:rPr>
            <w:t>生产工艺</w:t>
          </w:r>
          <w:r>
            <w:tab/>
          </w:r>
          <w:r>
            <w:fldChar w:fldCharType="begin"/>
          </w:r>
          <w:r>
            <w:instrText xml:space="preserve"> PAGEREF _Toc72396069 \h </w:instrText>
          </w:r>
          <w:r>
            <w:fldChar w:fldCharType="separate"/>
          </w:r>
          <w:r>
            <w:t>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"_Toc72396070" </w:instrText>
          </w:r>
          <w:r>
            <w:fldChar w:fldCharType="separate"/>
          </w:r>
          <w:r>
            <w:rPr>
              <w:rStyle w:val="23"/>
            </w:rPr>
            <w:t>3.6</w:t>
          </w:r>
          <w:r>
            <w:rPr>
              <w:rStyle w:val="23"/>
              <w:rFonts w:hint="eastAsia" w:hAnsiTheme="minorEastAsia"/>
            </w:rPr>
            <w:t>项目变动情况</w:t>
          </w:r>
          <w:r>
            <w:tab/>
          </w:r>
          <w:r>
            <w:fldChar w:fldCharType="begin"/>
          </w:r>
          <w:r>
            <w:instrText xml:space="preserve"> PAGEREF _Toc72396070 \h </w:instrText>
          </w:r>
          <w:r>
            <w:fldChar w:fldCharType="separate"/>
          </w:r>
          <w:r>
            <w:t>8</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"_Toc72396071" </w:instrText>
          </w:r>
          <w:r>
            <w:fldChar w:fldCharType="separate"/>
          </w:r>
          <w:r>
            <w:rPr>
              <w:rStyle w:val="23"/>
            </w:rPr>
            <w:t>4</w:t>
          </w:r>
          <w:r>
            <w:rPr>
              <w:rStyle w:val="23"/>
              <w:rFonts w:hint="eastAsia"/>
            </w:rPr>
            <w:t>环境保护设施</w:t>
          </w:r>
          <w:r>
            <w:tab/>
          </w:r>
          <w:r>
            <w:fldChar w:fldCharType="begin"/>
          </w:r>
          <w:r>
            <w:instrText xml:space="preserve"> PAGEREF _Toc72396071 \h </w:instrText>
          </w:r>
          <w:r>
            <w:fldChar w:fldCharType="separate"/>
          </w:r>
          <w:r>
            <w:t>9</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"_Toc72396072" </w:instrText>
          </w:r>
          <w:r>
            <w:fldChar w:fldCharType="separate"/>
          </w:r>
          <w:r>
            <w:rPr>
              <w:rStyle w:val="23"/>
            </w:rPr>
            <w:t>4.1</w:t>
          </w:r>
          <w:r>
            <w:rPr>
              <w:rStyle w:val="23"/>
              <w:rFonts w:hint="eastAsia"/>
            </w:rPr>
            <w:t>污染物治理设施</w:t>
          </w:r>
          <w:r>
            <w:tab/>
          </w:r>
          <w:r>
            <w:fldChar w:fldCharType="begin"/>
          </w:r>
          <w:r>
            <w:instrText xml:space="preserve"> PAGEREF _Toc72396072 \h </w:instrText>
          </w:r>
          <w:r>
            <w:fldChar w:fldCharType="separate"/>
          </w:r>
          <w:r>
            <w:t>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"_Toc72396073" </w:instrText>
          </w:r>
          <w:r>
            <w:fldChar w:fldCharType="separate"/>
          </w:r>
          <w:r>
            <w:rPr>
              <w:rStyle w:val="23"/>
            </w:rPr>
            <w:t>4.1.1</w:t>
          </w:r>
          <w:r>
            <w:rPr>
              <w:rStyle w:val="23"/>
              <w:rFonts w:hint="eastAsia" w:hAnsiTheme="minorEastAsia"/>
            </w:rPr>
            <w:t>废水</w:t>
          </w:r>
          <w:r>
            <w:tab/>
          </w:r>
          <w:r>
            <w:fldChar w:fldCharType="begin"/>
          </w:r>
          <w:r>
            <w:instrText xml:space="preserve"> PAGEREF _Toc72396073 \h </w:instrText>
          </w:r>
          <w:r>
            <w:fldChar w:fldCharType="separate"/>
          </w:r>
          <w:r>
            <w:t>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"_Toc72396074" </w:instrText>
          </w:r>
          <w:r>
            <w:fldChar w:fldCharType="separate"/>
          </w:r>
          <w:r>
            <w:rPr>
              <w:rStyle w:val="23"/>
            </w:rPr>
            <w:t>4.1.2</w:t>
          </w:r>
          <w:r>
            <w:rPr>
              <w:rStyle w:val="23"/>
              <w:rFonts w:hint="eastAsia" w:hAnsiTheme="minorEastAsia"/>
            </w:rPr>
            <w:t>废气</w:t>
          </w:r>
          <w:r>
            <w:tab/>
          </w:r>
          <w:r>
            <w:fldChar w:fldCharType="begin"/>
          </w:r>
          <w:r>
            <w:instrText xml:space="preserve"> PAGEREF _Toc72396074 \h </w:instrText>
          </w:r>
          <w:r>
            <w:fldChar w:fldCharType="separate"/>
          </w:r>
          <w:r>
            <w:t>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"_Toc72396075" </w:instrText>
          </w:r>
          <w:r>
            <w:fldChar w:fldCharType="separate"/>
          </w:r>
          <w:r>
            <w:rPr>
              <w:rStyle w:val="23"/>
            </w:rPr>
            <w:t>4.1.3</w:t>
          </w:r>
          <w:r>
            <w:rPr>
              <w:rStyle w:val="23"/>
              <w:rFonts w:hint="eastAsia"/>
            </w:rPr>
            <w:t>噪声</w:t>
          </w:r>
          <w:r>
            <w:tab/>
          </w:r>
          <w:r>
            <w:fldChar w:fldCharType="begin"/>
          </w:r>
          <w:r>
            <w:instrText xml:space="preserve"> PAGEREF _Toc72396075 \h </w:instrText>
          </w:r>
          <w:r>
            <w:fldChar w:fldCharType="separate"/>
          </w:r>
          <w:r>
            <w:t>10</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"_Toc72396076" </w:instrText>
          </w:r>
          <w:r>
            <w:fldChar w:fldCharType="separate"/>
          </w:r>
          <w:r>
            <w:rPr>
              <w:rStyle w:val="23"/>
            </w:rPr>
            <w:t>4.1.4</w:t>
          </w:r>
          <w:r>
            <w:rPr>
              <w:rStyle w:val="23"/>
              <w:rFonts w:hint="eastAsia"/>
            </w:rPr>
            <w:t>固体废物</w:t>
          </w:r>
          <w:r>
            <w:tab/>
          </w:r>
          <w:r>
            <w:fldChar w:fldCharType="begin"/>
          </w:r>
          <w:r>
            <w:instrText xml:space="preserve"> PAGEREF _Toc72396076 \h </w:instrText>
          </w:r>
          <w:r>
            <w:fldChar w:fldCharType="separate"/>
          </w:r>
          <w:r>
            <w:t>11</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"_Toc72396077" </w:instrText>
          </w:r>
          <w:r>
            <w:fldChar w:fldCharType="separate"/>
          </w:r>
          <w:r>
            <w:rPr>
              <w:rStyle w:val="23"/>
            </w:rPr>
            <w:t>4.1.5</w:t>
          </w:r>
          <w:r>
            <w:rPr>
              <w:rStyle w:val="23"/>
              <w:rFonts w:hint="eastAsia"/>
            </w:rPr>
            <w:t>环保投资</w:t>
          </w:r>
          <w:r>
            <w:tab/>
          </w:r>
          <w:r>
            <w:fldChar w:fldCharType="begin"/>
          </w:r>
          <w:r>
            <w:instrText xml:space="preserve"> PAGEREF _Toc72396077 \h </w:instrText>
          </w:r>
          <w:r>
            <w:fldChar w:fldCharType="separate"/>
          </w:r>
          <w:r>
            <w:t>11</w:t>
          </w:r>
          <w:r>
            <w:fldChar w:fldCharType="end"/>
          </w:r>
          <w:r>
            <w:fldChar w:fldCharType="end"/>
          </w:r>
        </w:p>
        <w:p>
          <w:pPr>
            <w:pStyle w:val="19"/>
            <w:tabs>
              <w:tab w:val="right" w:leader="dot" w:pos="8296"/>
            </w:tabs>
            <w:ind w:left="480" w:firstLine="960" w:firstLineChars="400"/>
            <w:rPr>
              <w:rFonts w:asciiTheme="minorHAnsi" w:hAnsiTheme="minorHAnsi"/>
              <w:sz w:val="21"/>
            </w:rPr>
          </w:pPr>
          <w:r>
            <w:fldChar w:fldCharType="begin"/>
          </w:r>
          <w:r>
            <w:instrText xml:space="preserve"> HYPERLINK \l "_Toc72396078" </w:instrText>
          </w:r>
          <w:r>
            <w:fldChar w:fldCharType="separate"/>
          </w:r>
          <w:r>
            <w:rPr>
              <w:rStyle w:val="23"/>
            </w:rPr>
            <w:t>4.1.6</w:t>
          </w:r>
          <w:r>
            <w:rPr>
              <w:rStyle w:val="23"/>
              <w:rFonts w:hint="eastAsia"/>
            </w:rPr>
            <w:t>环保设施执行情况</w:t>
          </w:r>
          <w:r>
            <w:tab/>
          </w:r>
          <w:r>
            <w:fldChar w:fldCharType="begin"/>
          </w:r>
          <w:r>
            <w:instrText xml:space="preserve"> PAGEREF _Toc72396078 \h </w:instrText>
          </w:r>
          <w:r>
            <w:fldChar w:fldCharType="separate"/>
          </w:r>
          <w:r>
            <w:t>11</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"_Toc72396079" </w:instrText>
          </w:r>
          <w:r>
            <w:fldChar w:fldCharType="separate"/>
          </w:r>
          <w:r>
            <w:rPr>
              <w:rStyle w:val="23"/>
            </w:rPr>
            <w:t>4.2</w:t>
          </w:r>
          <w:r>
            <w:rPr>
              <w:rStyle w:val="23"/>
              <w:rFonts w:hint="eastAsia"/>
            </w:rPr>
            <w:t>环保</w:t>
          </w:r>
          <w:r>
            <w:rPr>
              <w:rStyle w:val="23"/>
              <w:rFonts w:asciiTheme="minorEastAsia" w:hAnsiTheme="minorEastAsia"/>
            </w:rPr>
            <w:t>“</w:t>
          </w:r>
          <w:r>
            <w:rPr>
              <w:rStyle w:val="23"/>
              <w:rFonts w:hint="eastAsia" w:asciiTheme="minorEastAsia" w:hAnsiTheme="minorEastAsia"/>
            </w:rPr>
            <w:t>三同时</w:t>
          </w:r>
          <w:r>
            <w:rPr>
              <w:rStyle w:val="23"/>
              <w:rFonts w:asciiTheme="minorEastAsia" w:hAnsiTheme="minorEastAsia"/>
            </w:rPr>
            <w:t>”</w:t>
          </w:r>
          <w:r>
            <w:rPr>
              <w:rStyle w:val="23"/>
              <w:rFonts w:hint="eastAsia"/>
            </w:rPr>
            <w:t>落实情况</w:t>
          </w:r>
          <w:r>
            <w:tab/>
          </w:r>
          <w:r>
            <w:fldChar w:fldCharType="begin"/>
          </w:r>
          <w:r>
            <w:instrText xml:space="preserve"> PAGEREF _Toc72396079 \h </w:instrText>
          </w:r>
          <w:r>
            <w:fldChar w:fldCharType="separate"/>
          </w:r>
          <w:r>
            <w:t>13</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"_Toc72396080" </w:instrText>
          </w:r>
          <w:r>
            <w:fldChar w:fldCharType="separate"/>
          </w:r>
          <w:r>
            <w:rPr>
              <w:rStyle w:val="23"/>
            </w:rPr>
            <w:t>5</w:t>
          </w:r>
          <w:r>
            <w:rPr>
              <w:rStyle w:val="23"/>
              <w:rFonts w:hint="eastAsia"/>
            </w:rPr>
            <w:t>环境影响报告表主要结论与建议及其审批部门审批决定</w:t>
          </w:r>
          <w:r>
            <w:tab/>
          </w:r>
          <w:r>
            <w:fldChar w:fldCharType="begin"/>
          </w:r>
          <w:r>
            <w:instrText xml:space="preserve"> PAGEREF _Toc72396080 \h </w:instrText>
          </w:r>
          <w:r>
            <w:fldChar w:fldCharType="separate"/>
          </w:r>
          <w:r>
            <w:t>14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"_Toc72396081" </w:instrText>
          </w:r>
          <w:r>
            <w:fldChar w:fldCharType="separate"/>
          </w:r>
          <w:r>
            <w:rPr>
              <w:rStyle w:val="23"/>
            </w:rPr>
            <w:t>5.1</w:t>
          </w:r>
          <w:r>
            <w:rPr>
              <w:rStyle w:val="23"/>
              <w:rFonts w:hint="eastAsia"/>
            </w:rPr>
            <w:t>环境影响报告表主要结论与建议</w:t>
          </w:r>
          <w:r>
            <w:tab/>
          </w:r>
          <w:r>
            <w:fldChar w:fldCharType="begin"/>
          </w:r>
          <w:r>
            <w:instrText xml:space="preserve"> PAGEREF _Toc72396081 \h </w:instrText>
          </w:r>
          <w:r>
            <w:fldChar w:fldCharType="separate"/>
          </w:r>
          <w:r>
            <w:t>14</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"_Toc72396082" </w:instrText>
          </w:r>
          <w:r>
            <w:fldChar w:fldCharType="separate"/>
          </w:r>
          <w:r>
            <w:rPr>
              <w:rStyle w:val="23"/>
            </w:rPr>
            <w:t>5.1.1</w:t>
          </w:r>
          <w:r>
            <w:rPr>
              <w:rStyle w:val="23"/>
              <w:rFonts w:hint="eastAsia"/>
            </w:rPr>
            <w:t>环境质量现状结论</w:t>
          </w:r>
          <w:r>
            <w:tab/>
          </w:r>
          <w:r>
            <w:fldChar w:fldCharType="begin"/>
          </w:r>
          <w:r>
            <w:instrText xml:space="preserve"> PAGEREF _Toc72396082 \h </w:instrText>
          </w:r>
          <w:r>
            <w:fldChar w:fldCharType="separate"/>
          </w:r>
          <w:r>
            <w:t>14</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"_Toc72396083" </w:instrText>
          </w:r>
          <w:r>
            <w:fldChar w:fldCharType="separate"/>
          </w:r>
          <w:r>
            <w:rPr>
              <w:rStyle w:val="23"/>
            </w:rPr>
            <w:t>5.1.2</w:t>
          </w:r>
          <w:r>
            <w:rPr>
              <w:rStyle w:val="23"/>
              <w:rFonts w:hint="eastAsia"/>
            </w:rPr>
            <w:t>环境影响评价结论</w:t>
          </w:r>
          <w:r>
            <w:tab/>
          </w:r>
          <w:r>
            <w:fldChar w:fldCharType="begin"/>
          </w:r>
          <w:r>
            <w:instrText xml:space="preserve"> PAGEREF _Toc72396083 \h </w:instrText>
          </w:r>
          <w:r>
            <w:fldChar w:fldCharType="separate"/>
          </w:r>
          <w:r>
            <w:t>14</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"_Toc72396084" </w:instrText>
          </w:r>
          <w:r>
            <w:fldChar w:fldCharType="separate"/>
          </w:r>
          <w:r>
            <w:rPr>
              <w:rStyle w:val="23"/>
            </w:rPr>
            <w:t>5.1.3</w:t>
          </w:r>
          <w:r>
            <w:rPr>
              <w:rStyle w:val="23"/>
              <w:rFonts w:hint="eastAsia"/>
            </w:rPr>
            <w:t>环评综合结论</w:t>
          </w:r>
          <w:r>
            <w:tab/>
          </w:r>
          <w:r>
            <w:fldChar w:fldCharType="begin"/>
          </w:r>
          <w:r>
            <w:instrText xml:space="preserve"> PAGEREF _Toc72396084 \h </w:instrText>
          </w:r>
          <w:r>
            <w:fldChar w:fldCharType="separate"/>
          </w:r>
          <w:r>
            <w:t>15</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"_Toc72396085" </w:instrText>
          </w:r>
          <w:r>
            <w:fldChar w:fldCharType="separate"/>
          </w:r>
          <w:r>
            <w:rPr>
              <w:rStyle w:val="23"/>
            </w:rPr>
            <w:t>5.2</w:t>
          </w:r>
          <w:r>
            <w:rPr>
              <w:rStyle w:val="23"/>
              <w:rFonts w:hint="eastAsia"/>
            </w:rPr>
            <w:t>审批部门审批决定</w:t>
          </w:r>
          <w:r>
            <w:tab/>
          </w:r>
          <w:r>
            <w:fldChar w:fldCharType="begin"/>
          </w:r>
          <w:r>
            <w:instrText xml:space="preserve"> PAGEREF _Toc72396085 \h </w:instrText>
          </w:r>
          <w:r>
            <w:fldChar w:fldCharType="separate"/>
          </w:r>
          <w:r>
            <w:t>15</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"_Toc72396086" </w:instrText>
          </w:r>
          <w:r>
            <w:fldChar w:fldCharType="separate"/>
          </w:r>
          <w:r>
            <w:rPr>
              <w:rStyle w:val="23"/>
            </w:rPr>
            <w:t>6</w:t>
          </w:r>
          <w:r>
            <w:rPr>
              <w:rStyle w:val="23"/>
              <w:rFonts w:hint="eastAsia"/>
            </w:rPr>
            <w:t>验收执行标准</w:t>
          </w:r>
          <w:r>
            <w:tab/>
          </w:r>
          <w:r>
            <w:fldChar w:fldCharType="begin"/>
          </w:r>
          <w:r>
            <w:instrText xml:space="preserve"> PAGEREF _Toc72396086 \h </w:instrText>
          </w:r>
          <w:r>
            <w:fldChar w:fldCharType="separate"/>
          </w:r>
          <w:r>
            <w:t>17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"_Toc72396087" </w:instrText>
          </w:r>
          <w:r>
            <w:fldChar w:fldCharType="separate"/>
          </w:r>
          <w:r>
            <w:rPr>
              <w:rStyle w:val="23"/>
            </w:rPr>
            <w:t>6.1</w:t>
          </w:r>
          <w:r>
            <w:rPr>
              <w:rStyle w:val="23"/>
              <w:rFonts w:hint="eastAsia"/>
            </w:rPr>
            <w:t>废气</w:t>
          </w:r>
          <w:r>
            <w:tab/>
          </w:r>
          <w:r>
            <w:fldChar w:fldCharType="begin"/>
          </w:r>
          <w:r>
            <w:instrText xml:space="preserve"> PAGEREF _Toc72396087 \h </w:instrText>
          </w:r>
          <w:r>
            <w:fldChar w:fldCharType="separate"/>
          </w:r>
          <w:r>
            <w:t>17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"_Toc72396088" </w:instrText>
          </w:r>
          <w:r>
            <w:fldChar w:fldCharType="separate"/>
          </w:r>
          <w:r>
            <w:rPr>
              <w:rStyle w:val="23"/>
            </w:rPr>
            <w:t>6.2</w:t>
          </w:r>
          <w:r>
            <w:rPr>
              <w:rStyle w:val="23"/>
              <w:rFonts w:hint="eastAsia"/>
            </w:rPr>
            <w:t>废水</w:t>
          </w:r>
          <w:r>
            <w:tab/>
          </w:r>
          <w:r>
            <w:fldChar w:fldCharType="begin"/>
          </w:r>
          <w:r>
            <w:instrText xml:space="preserve"> PAGEREF _Toc72396088 \h </w:instrText>
          </w:r>
          <w:r>
            <w:fldChar w:fldCharType="separate"/>
          </w:r>
          <w:r>
            <w:t>17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"_Toc72396089" </w:instrText>
          </w:r>
          <w:r>
            <w:fldChar w:fldCharType="separate"/>
          </w:r>
          <w:r>
            <w:rPr>
              <w:rStyle w:val="23"/>
            </w:rPr>
            <w:t>6.3</w:t>
          </w:r>
          <w:r>
            <w:rPr>
              <w:rStyle w:val="23"/>
              <w:rFonts w:hint="eastAsia"/>
            </w:rPr>
            <w:t>噪声</w:t>
          </w:r>
          <w:r>
            <w:tab/>
          </w:r>
          <w:r>
            <w:fldChar w:fldCharType="begin"/>
          </w:r>
          <w:r>
            <w:instrText xml:space="preserve"> PAGEREF _Toc72396089 \h </w:instrText>
          </w:r>
          <w:r>
            <w:fldChar w:fldCharType="separate"/>
          </w:r>
          <w:r>
            <w:t>18</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"_Toc72396090" </w:instrText>
          </w:r>
          <w:r>
            <w:fldChar w:fldCharType="separate"/>
          </w:r>
          <w:r>
            <w:rPr>
              <w:rStyle w:val="23"/>
            </w:rPr>
            <w:t>6.4</w:t>
          </w:r>
          <w:r>
            <w:rPr>
              <w:rStyle w:val="23"/>
              <w:rFonts w:hint="eastAsia"/>
            </w:rPr>
            <w:t>固体废物</w:t>
          </w:r>
          <w:r>
            <w:tab/>
          </w:r>
          <w:r>
            <w:fldChar w:fldCharType="begin"/>
          </w:r>
          <w:r>
            <w:instrText xml:space="preserve"> PAGEREF _Toc72396090 \h </w:instrText>
          </w:r>
          <w:r>
            <w:fldChar w:fldCharType="separate"/>
          </w:r>
          <w:r>
            <w:t>18</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"_Toc72396091" </w:instrText>
          </w:r>
          <w:r>
            <w:fldChar w:fldCharType="separate"/>
          </w:r>
          <w:r>
            <w:rPr>
              <w:rStyle w:val="23"/>
            </w:rPr>
            <w:t xml:space="preserve">7 </w:t>
          </w:r>
          <w:r>
            <w:rPr>
              <w:rStyle w:val="23"/>
              <w:rFonts w:hint="eastAsia"/>
            </w:rPr>
            <w:t>验收监测内容</w:t>
          </w:r>
          <w:r>
            <w:tab/>
          </w:r>
          <w:r>
            <w:fldChar w:fldCharType="begin"/>
          </w:r>
          <w:r>
            <w:instrText xml:space="preserve"> PAGEREF _Toc72396091 \h </w:instrText>
          </w:r>
          <w:r>
            <w:fldChar w:fldCharType="separate"/>
          </w:r>
          <w:r>
            <w:t>19</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"_Toc72396092" </w:instrText>
          </w:r>
          <w:r>
            <w:fldChar w:fldCharType="separate"/>
          </w:r>
          <w:r>
            <w:rPr>
              <w:rStyle w:val="23"/>
            </w:rPr>
            <w:t>7.1</w:t>
          </w:r>
          <w:r>
            <w:rPr>
              <w:rStyle w:val="23"/>
              <w:rFonts w:hint="eastAsia"/>
            </w:rPr>
            <w:t>环境保护设施调试运行效果</w:t>
          </w:r>
          <w:r>
            <w:tab/>
          </w:r>
          <w:r>
            <w:fldChar w:fldCharType="begin"/>
          </w:r>
          <w:r>
            <w:instrText xml:space="preserve"> PAGEREF _Toc72396092 \h </w:instrText>
          </w:r>
          <w:r>
            <w:fldChar w:fldCharType="separate"/>
          </w:r>
          <w:r>
            <w:t>19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"_Toc72396093" </w:instrText>
          </w:r>
          <w:r>
            <w:fldChar w:fldCharType="separate"/>
          </w:r>
          <w:r>
            <w:rPr>
              <w:rStyle w:val="23"/>
            </w:rPr>
            <w:t>7.1.1</w:t>
          </w:r>
          <w:r>
            <w:rPr>
              <w:rStyle w:val="23"/>
              <w:rFonts w:hint="eastAsia" w:hAnsiTheme="minorEastAsia"/>
            </w:rPr>
            <w:t>废水监测</w:t>
          </w:r>
          <w:r>
            <w:tab/>
          </w:r>
          <w:r>
            <w:fldChar w:fldCharType="begin"/>
          </w:r>
          <w:r>
            <w:instrText xml:space="preserve"> PAGEREF _Toc72396093 \h </w:instrText>
          </w:r>
          <w:r>
            <w:fldChar w:fldCharType="separate"/>
          </w:r>
          <w:r>
            <w:t>19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"_Toc72396094" </w:instrText>
          </w:r>
          <w:r>
            <w:fldChar w:fldCharType="separate"/>
          </w:r>
          <w:r>
            <w:rPr>
              <w:rStyle w:val="23"/>
            </w:rPr>
            <w:t>7.1.2</w:t>
          </w:r>
          <w:r>
            <w:rPr>
              <w:rStyle w:val="23"/>
              <w:rFonts w:hint="eastAsia" w:hAnsiTheme="minorEastAsia"/>
            </w:rPr>
            <w:t>废气监测</w:t>
          </w:r>
          <w:r>
            <w:tab/>
          </w:r>
          <w:r>
            <w:fldChar w:fldCharType="begin"/>
          </w:r>
          <w:r>
            <w:instrText xml:space="preserve"> PAGEREF _Toc72396094 \h </w:instrText>
          </w:r>
          <w:r>
            <w:fldChar w:fldCharType="separate"/>
          </w:r>
          <w:r>
            <w:t>19</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"_Toc72396095" </w:instrText>
          </w:r>
          <w:r>
            <w:fldChar w:fldCharType="separate"/>
          </w:r>
          <w:r>
            <w:rPr>
              <w:rStyle w:val="23"/>
            </w:rPr>
            <w:t>7.1.3</w:t>
          </w:r>
          <w:r>
            <w:rPr>
              <w:rStyle w:val="23"/>
              <w:rFonts w:hint="eastAsia" w:hAnsiTheme="minorEastAsia"/>
            </w:rPr>
            <w:t>厂界噪声监测</w:t>
          </w:r>
          <w:r>
            <w:tab/>
          </w:r>
          <w:r>
            <w:fldChar w:fldCharType="begin"/>
          </w:r>
          <w:r>
            <w:instrText xml:space="preserve"> PAGEREF _Toc72396095 \h </w:instrText>
          </w:r>
          <w:r>
            <w:fldChar w:fldCharType="separate"/>
          </w:r>
          <w:r>
            <w:t>20</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"_Toc72396096" </w:instrText>
          </w:r>
          <w:r>
            <w:fldChar w:fldCharType="separate"/>
          </w:r>
          <w:r>
            <w:rPr>
              <w:rStyle w:val="23"/>
            </w:rPr>
            <w:t>7.2</w:t>
          </w:r>
          <w:r>
            <w:rPr>
              <w:rStyle w:val="23"/>
              <w:rFonts w:hint="eastAsia"/>
            </w:rPr>
            <w:t>质量保障体系</w:t>
          </w:r>
          <w:r>
            <w:tab/>
          </w:r>
          <w:r>
            <w:fldChar w:fldCharType="begin"/>
          </w:r>
          <w:r>
            <w:instrText xml:space="preserve"> PAGEREF _Toc72396096 \h </w:instrText>
          </w:r>
          <w:r>
            <w:fldChar w:fldCharType="separate"/>
          </w:r>
          <w:r>
            <w:t>20</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"_Toc72396097" </w:instrText>
          </w:r>
          <w:r>
            <w:fldChar w:fldCharType="separate"/>
          </w:r>
          <w:r>
            <w:rPr>
              <w:rStyle w:val="23"/>
            </w:rPr>
            <w:t>8</w:t>
          </w:r>
          <w:r>
            <w:rPr>
              <w:rStyle w:val="23"/>
              <w:rFonts w:hint="eastAsia"/>
            </w:rPr>
            <w:t>验收监测结果</w:t>
          </w:r>
          <w:r>
            <w:tab/>
          </w:r>
          <w:r>
            <w:fldChar w:fldCharType="begin"/>
          </w:r>
          <w:r>
            <w:instrText xml:space="preserve"> PAGEREF _Toc72396097 \h </w:instrText>
          </w:r>
          <w:r>
            <w:fldChar w:fldCharType="separate"/>
          </w:r>
          <w:r>
            <w:t>22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"_Toc72396098" </w:instrText>
          </w:r>
          <w:r>
            <w:fldChar w:fldCharType="separate"/>
          </w:r>
          <w:r>
            <w:rPr>
              <w:rStyle w:val="23"/>
            </w:rPr>
            <w:t>8.1</w:t>
          </w:r>
          <w:r>
            <w:rPr>
              <w:rStyle w:val="23"/>
              <w:rFonts w:hint="eastAsia" w:hAnsiTheme="minorEastAsia"/>
            </w:rPr>
            <w:t>废气检测</w:t>
          </w:r>
          <w:r>
            <w:tab/>
          </w:r>
          <w:r>
            <w:fldChar w:fldCharType="begin"/>
          </w:r>
          <w:r>
            <w:instrText xml:space="preserve"> PAGEREF _Toc72396098 \h </w:instrText>
          </w:r>
          <w:r>
            <w:fldChar w:fldCharType="separate"/>
          </w:r>
          <w:r>
            <w:t>22</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"_Toc72396099" </w:instrText>
          </w:r>
          <w:r>
            <w:fldChar w:fldCharType="separate"/>
          </w:r>
          <w:r>
            <w:rPr>
              <w:rStyle w:val="23"/>
            </w:rPr>
            <w:t>8.1.1</w:t>
          </w:r>
          <w:r>
            <w:rPr>
              <w:rStyle w:val="23"/>
              <w:rFonts w:hint="eastAsia"/>
            </w:rPr>
            <w:t>无组织废气检测结果</w:t>
          </w:r>
          <w:r>
            <w:tab/>
          </w:r>
          <w:r>
            <w:fldChar w:fldCharType="begin"/>
          </w:r>
          <w:r>
            <w:instrText xml:space="preserve"> PAGEREF _Toc72396099 \h </w:instrText>
          </w:r>
          <w:r>
            <w:fldChar w:fldCharType="separate"/>
          </w:r>
          <w:r>
            <w:t>22</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"_Toc72396100" </w:instrText>
          </w:r>
          <w:r>
            <w:fldChar w:fldCharType="separate"/>
          </w:r>
          <w:r>
            <w:rPr>
              <w:rStyle w:val="23"/>
            </w:rPr>
            <w:t>8.1.2</w:t>
          </w:r>
          <w:r>
            <w:rPr>
              <w:rStyle w:val="23"/>
              <w:rFonts w:hint="eastAsia"/>
            </w:rPr>
            <w:t>有组织废气检测结果</w:t>
          </w:r>
          <w:r>
            <w:tab/>
          </w:r>
          <w:r>
            <w:fldChar w:fldCharType="begin"/>
          </w:r>
          <w:r>
            <w:instrText xml:space="preserve"> PAGEREF _Toc72396100 \h </w:instrText>
          </w:r>
          <w:r>
            <w:fldChar w:fldCharType="separate"/>
          </w:r>
          <w:r>
            <w:t>23</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"_Toc72396101" </w:instrText>
          </w:r>
          <w:r>
            <w:fldChar w:fldCharType="separate"/>
          </w:r>
          <w:r>
            <w:rPr>
              <w:rStyle w:val="23"/>
            </w:rPr>
            <w:t>8.1.3</w:t>
          </w:r>
          <w:r>
            <w:rPr>
              <w:rStyle w:val="23"/>
              <w:rFonts w:hint="eastAsia"/>
            </w:rPr>
            <w:t>废气检测结果分析</w:t>
          </w:r>
          <w:r>
            <w:tab/>
          </w:r>
          <w:r>
            <w:fldChar w:fldCharType="begin"/>
          </w:r>
          <w:r>
            <w:instrText xml:space="preserve"> PAGEREF _Toc72396101 \h </w:instrText>
          </w:r>
          <w:r>
            <w:fldChar w:fldCharType="separate"/>
          </w:r>
          <w:r>
            <w:t>24</w:t>
          </w:r>
          <w:r>
            <w:fldChar w:fldCharType="end"/>
          </w:r>
          <w:r>
            <w:fldChar w:fldCharType="end"/>
          </w:r>
        </w:p>
        <w:p>
          <w:pPr>
            <w:pStyle w:val="12"/>
            <w:tabs>
              <w:tab w:val="right" w:leader="dot" w:pos="8296"/>
            </w:tabs>
            <w:ind w:left="0" w:leftChars="0" w:firstLine="960" w:firstLineChars="400"/>
            <w:rPr>
              <w:rFonts w:asciiTheme="minorHAnsi" w:hAnsiTheme="minorHAnsi"/>
              <w:sz w:val="21"/>
            </w:rPr>
          </w:pPr>
          <w:r>
            <w:fldChar w:fldCharType="begin"/>
          </w:r>
          <w:r>
            <w:instrText xml:space="preserve"> HYPERLINK \l "_Toc72396102" </w:instrText>
          </w:r>
          <w:r>
            <w:fldChar w:fldCharType="separate"/>
          </w:r>
          <w:r>
            <w:rPr>
              <w:rStyle w:val="23"/>
            </w:rPr>
            <w:t>8.2</w:t>
          </w:r>
          <w:r>
            <w:rPr>
              <w:rStyle w:val="23"/>
              <w:rFonts w:hint="eastAsia"/>
            </w:rPr>
            <w:t>废水检测</w:t>
          </w:r>
          <w:r>
            <w:tab/>
          </w:r>
          <w:r>
            <w:fldChar w:fldCharType="begin"/>
          </w:r>
          <w:r>
            <w:instrText xml:space="preserve"> PAGEREF _Toc72396102 \h </w:instrText>
          </w:r>
          <w:r>
            <w:fldChar w:fldCharType="separate"/>
          </w:r>
          <w:r>
            <w:t>24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"_Toc72396103" </w:instrText>
          </w:r>
          <w:r>
            <w:fldChar w:fldCharType="separate"/>
          </w:r>
          <w:r>
            <w:rPr>
              <w:rStyle w:val="23"/>
            </w:rPr>
            <w:t>8.3</w:t>
          </w:r>
          <w:r>
            <w:rPr>
              <w:rStyle w:val="23"/>
              <w:rFonts w:hint="eastAsia"/>
            </w:rPr>
            <w:t>噪声检测</w:t>
          </w:r>
          <w:r>
            <w:tab/>
          </w:r>
          <w:r>
            <w:fldChar w:fldCharType="begin"/>
          </w:r>
          <w:r>
            <w:instrText xml:space="preserve"> PAGEREF _Toc72396103 \h </w:instrText>
          </w:r>
          <w:r>
            <w:fldChar w:fldCharType="separate"/>
          </w:r>
          <w:r>
            <w:t>24</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"_Toc72396104" </w:instrText>
          </w:r>
          <w:r>
            <w:fldChar w:fldCharType="separate"/>
          </w:r>
          <w:r>
            <w:rPr>
              <w:rStyle w:val="23"/>
            </w:rPr>
            <w:t>8.3.1</w:t>
          </w:r>
          <w:r>
            <w:rPr>
              <w:rStyle w:val="23"/>
              <w:rFonts w:hint="eastAsia"/>
            </w:rPr>
            <w:t>噪声检测结果</w:t>
          </w:r>
          <w:r>
            <w:tab/>
          </w:r>
          <w:r>
            <w:fldChar w:fldCharType="begin"/>
          </w:r>
          <w:r>
            <w:instrText xml:space="preserve"> PAGEREF _Toc72396104 \h </w:instrText>
          </w:r>
          <w:r>
            <w:fldChar w:fldCharType="separate"/>
          </w:r>
          <w:r>
            <w:t>24</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"_Toc72396105" </w:instrText>
          </w:r>
          <w:r>
            <w:fldChar w:fldCharType="separate"/>
          </w:r>
          <w:r>
            <w:rPr>
              <w:rStyle w:val="23"/>
            </w:rPr>
            <w:t>8.3.2</w:t>
          </w:r>
          <w:r>
            <w:rPr>
              <w:rStyle w:val="23"/>
              <w:rFonts w:hint="eastAsia"/>
            </w:rPr>
            <w:t>噪声检测结果分析</w:t>
          </w:r>
          <w:r>
            <w:tab/>
          </w:r>
          <w:r>
            <w:fldChar w:fldCharType="begin"/>
          </w:r>
          <w:r>
            <w:instrText xml:space="preserve"> PAGEREF _Toc72396105 \h </w:instrText>
          </w:r>
          <w:r>
            <w:fldChar w:fldCharType="separate"/>
          </w:r>
          <w:r>
            <w:t>25</w:t>
          </w:r>
          <w:r>
            <w:fldChar w:fldCharType="end"/>
          </w:r>
          <w:r>
            <w:fldChar w:fldCharType="end"/>
          </w:r>
        </w:p>
        <w:p>
          <w:pPr>
            <w:pStyle w:val="17"/>
            <w:tabs>
              <w:tab w:val="right" w:leader="dot" w:pos="8296"/>
            </w:tabs>
            <w:ind w:firstLine="480"/>
            <w:rPr>
              <w:rFonts w:asciiTheme="minorHAnsi" w:hAnsiTheme="minorHAnsi"/>
              <w:sz w:val="21"/>
            </w:rPr>
          </w:pPr>
          <w:r>
            <w:fldChar w:fldCharType="begin"/>
          </w:r>
          <w:r>
            <w:instrText xml:space="preserve"> HYPERLINK \l "_Toc72396106" </w:instrText>
          </w:r>
          <w:r>
            <w:fldChar w:fldCharType="separate"/>
          </w:r>
          <w:r>
            <w:rPr>
              <w:rStyle w:val="23"/>
            </w:rPr>
            <w:t>9</w:t>
          </w:r>
          <w:r>
            <w:rPr>
              <w:rStyle w:val="23"/>
              <w:rFonts w:hint="eastAsia"/>
            </w:rPr>
            <w:t>验收结论</w:t>
          </w:r>
          <w:r>
            <w:tab/>
          </w:r>
          <w:r>
            <w:fldChar w:fldCharType="begin"/>
          </w:r>
          <w:r>
            <w:instrText xml:space="preserve"> PAGEREF _Toc72396106 \h </w:instrText>
          </w:r>
          <w:r>
            <w:fldChar w:fldCharType="separate"/>
          </w:r>
          <w:r>
            <w:t>26</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"_Toc72396107" </w:instrText>
          </w:r>
          <w:r>
            <w:fldChar w:fldCharType="separate"/>
          </w:r>
          <w:r>
            <w:rPr>
              <w:rStyle w:val="23"/>
            </w:rPr>
            <w:t>9.1</w:t>
          </w:r>
          <w:r>
            <w:rPr>
              <w:rStyle w:val="23"/>
              <w:rFonts w:hint="eastAsia"/>
            </w:rPr>
            <w:t>项目基本情况</w:t>
          </w:r>
          <w:r>
            <w:tab/>
          </w:r>
          <w:r>
            <w:fldChar w:fldCharType="begin"/>
          </w:r>
          <w:r>
            <w:instrText xml:space="preserve"> PAGEREF _Toc72396107 \h </w:instrText>
          </w:r>
          <w:r>
            <w:fldChar w:fldCharType="separate"/>
          </w:r>
          <w:r>
            <w:t>26</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"_Toc72396108" </w:instrText>
          </w:r>
          <w:r>
            <w:fldChar w:fldCharType="separate"/>
          </w:r>
          <w:r>
            <w:rPr>
              <w:rStyle w:val="23"/>
            </w:rPr>
            <w:t>9.1.1</w:t>
          </w:r>
          <w:r>
            <w:rPr>
              <w:rStyle w:val="23"/>
              <w:rFonts w:hint="eastAsia"/>
            </w:rPr>
            <w:t>废气验收结论</w:t>
          </w:r>
          <w:r>
            <w:tab/>
          </w:r>
          <w:r>
            <w:fldChar w:fldCharType="begin"/>
          </w:r>
          <w:r>
            <w:instrText xml:space="preserve"> PAGEREF _Toc72396108 \h </w:instrText>
          </w:r>
          <w:r>
            <w:fldChar w:fldCharType="separate"/>
          </w:r>
          <w:r>
            <w:t>26</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"_Toc72396109" </w:instrText>
          </w:r>
          <w:r>
            <w:fldChar w:fldCharType="separate"/>
          </w:r>
          <w:r>
            <w:rPr>
              <w:rStyle w:val="23"/>
            </w:rPr>
            <w:t>9.1.2</w:t>
          </w:r>
          <w:r>
            <w:rPr>
              <w:rStyle w:val="23"/>
              <w:rFonts w:hint="eastAsia"/>
            </w:rPr>
            <w:t>废水验收结论</w:t>
          </w:r>
          <w:r>
            <w:tab/>
          </w:r>
          <w:r>
            <w:fldChar w:fldCharType="begin"/>
          </w:r>
          <w:r>
            <w:instrText xml:space="preserve"> PAGEREF _Toc72396109 \h </w:instrText>
          </w:r>
          <w:r>
            <w:fldChar w:fldCharType="separate"/>
          </w:r>
          <w:r>
            <w:t>26</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"_Toc72396110" </w:instrText>
          </w:r>
          <w:r>
            <w:fldChar w:fldCharType="separate"/>
          </w:r>
          <w:r>
            <w:rPr>
              <w:rStyle w:val="23"/>
            </w:rPr>
            <w:t>9.1.3</w:t>
          </w:r>
          <w:r>
            <w:rPr>
              <w:rStyle w:val="23"/>
              <w:rFonts w:hint="eastAsia"/>
            </w:rPr>
            <w:t>噪声验收结论</w:t>
          </w:r>
          <w:r>
            <w:tab/>
          </w:r>
          <w:r>
            <w:fldChar w:fldCharType="begin"/>
          </w:r>
          <w:r>
            <w:instrText xml:space="preserve"> PAGEREF _Toc72396110 \h </w:instrText>
          </w:r>
          <w:r>
            <w:fldChar w:fldCharType="separate"/>
          </w:r>
          <w:r>
            <w:t>26</w:t>
          </w:r>
          <w:r>
            <w:fldChar w:fldCharType="end"/>
          </w:r>
          <w:r>
            <w:fldChar w:fldCharType="end"/>
          </w:r>
        </w:p>
        <w:p>
          <w:pPr>
            <w:pStyle w:val="12"/>
            <w:tabs>
              <w:tab w:val="right" w:leader="dot" w:pos="8296"/>
            </w:tabs>
            <w:ind w:left="960" w:firstLine="480"/>
            <w:rPr>
              <w:rFonts w:asciiTheme="minorHAnsi" w:hAnsiTheme="minorHAnsi"/>
              <w:sz w:val="21"/>
            </w:rPr>
          </w:pPr>
          <w:r>
            <w:fldChar w:fldCharType="begin"/>
          </w:r>
          <w:r>
            <w:instrText xml:space="preserve"> HYPERLINK \l "_Toc72396111" </w:instrText>
          </w:r>
          <w:r>
            <w:fldChar w:fldCharType="separate"/>
          </w:r>
          <w:r>
            <w:rPr>
              <w:rStyle w:val="23"/>
            </w:rPr>
            <w:t>9.1.4</w:t>
          </w:r>
          <w:r>
            <w:rPr>
              <w:rStyle w:val="23"/>
              <w:rFonts w:hint="eastAsia"/>
            </w:rPr>
            <w:t>固废验收结论</w:t>
          </w:r>
          <w:r>
            <w:tab/>
          </w:r>
          <w:r>
            <w:fldChar w:fldCharType="begin"/>
          </w:r>
          <w:r>
            <w:instrText xml:space="preserve"> PAGEREF _Toc72396111 \h </w:instrText>
          </w:r>
          <w:r>
            <w:fldChar w:fldCharType="separate"/>
          </w:r>
          <w:r>
            <w:t>27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"_Toc72396112" </w:instrText>
          </w:r>
          <w:r>
            <w:fldChar w:fldCharType="separate"/>
          </w:r>
          <w:r>
            <w:rPr>
              <w:rStyle w:val="23"/>
            </w:rPr>
            <w:t xml:space="preserve">9.2 </w:t>
          </w:r>
          <w:r>
            <w:rPr>
              <w:rStyle w:val="23"/>
              <w:rFonts w:hint="eastAsia"/>
            </w:rPr>
            <w:t>综合结论</w:t>
          </w:r>
          <w:r>
            <w:tab/>
          </w:r>
          <w:r>
            <w:fldChar w:fldCharType="begin"/>
          </w:r>
          <w:r>
            <w:instrText xml:space="preserve"> PAGEREF _Toc72396112 \h </w:instrText>
          </w:r>
          <w:r>
            <w:fldChar w:fldCharType="separate"/>
          </w:r>
          <w:r>
            <w:t>27</w:t>
          </w:r>
          <w:r>
            <w:fldChar w:fldCharType="end"/>
          </w:r>
          <w:r>
            <w:fldChar w:fldCharType="end"/>
          </w:r>
        </w:p>
        <w:p>
          <w:pPr>
            <w:widowControl/>
            <w:spacing w:line="240" w:lineRule="auto"/>
            <w:ind w:firstLine="0" w:firstLineChars="0"/>
            <w:jc w:val="left"/>
            <w:sectPr>
              <w:pgSz w:w="11906" w:h="16838"/>
              <w:pgMar w:top="1440" w:right="1800" w:bottom="1440" w:left="1800" w:header="992" w:footer="758" w:gutter="0"/>
              <w:pgNumType w:fmt="upperRoman" w:start="1"/>
              <w:cols w:space="425" w:num="1"/>
              <w:docGrid w:type="lines" w:linePitch="326" w:charSpace="0"/>
            </w:sectPr>
          </w:pPr>
          <w:r>
            <w:fldChar w:fldCharType="end"/>
          </w:r>
        </w:p>
      </w:sdtContent>
    </w:sdt>
    <w:p>
      <w:pPr>
        <w:pStyle w:val="2"/>
      </w:pPr>
      <w:bookmarkStart w:id="0" w:name="_Toc72396059"/>
      <w:r>
        <w:rPr>
          <w:rFonts w:hint="eastAsia"/>
        </w:rPr>
        <w:t>1 项目概况</w:t>
      </w:r>
      <w:bookmarkEnd w:id="0"/>
    </w:p>
    <w:p>
      <w:pPr>
        <w:ind w:firstLine="480"/>
        <w:rPr>
          <w:rFonts w:cs="Times New Roman"/>
          <w:szCs w:val="24"/>
        </w:rPr>
      </w:pPr>
      <w:r>
        <w:rPr>
          <w:rFonts w:hint="eastAsia" w:cs="Times New Roman"/>
          <w:szCs w:val="24"/>
        </w:rPr>
        <w:t>广东玉塑管道有限公司</w:t>
      </w:r>
      <w:r>
        <w:rPr>
          <w:rFonts w:hint="eastAsia" w:cs="Times New Roman" w:hAnsiTheme="minorEastAsia"/>
          <w:szCs w:val="24"/>
        </w:rPr>
        <w:t>投资300万元建设“</w:t>
      </w:r>
      <w:r>
        <w:rPr>
          <w:rFonts w:hint="eastAsia" w:cs="Times New Roman"/>
          <w:szCs w:val="24"/>
        </w:rPr>
        <w:t>广东玉塑管道有限公司年产5000吨PVC管材建设项目</w:t>
      </w:r>
      <w:r>
        <w:rPr>
          <w:rFonts w:hint="eastAsia" w:cs="Times New Roman" w:hAnsiTheme="minorEastAsia"/>
          <w:szCs w:val="24"/>
        </w:rPr>
        <w:t>”</w:t>
      </w:r>
      <w:r>
        <w:rPr>
          <w:rFonts w:cs="Times New Roman" w:hAnsiTheme="minorEastAsia"/>
          <w:szCs w:val="24"/>
        </w:rPr>
        <w:t>（下称本项目）</w:t>
      </w:r>
      <w:r>
        <w:rPr>
          <w:rFonts w:hint="eastAsia" w:cs="Times New Roman"/>
          <w:szCs w:val="24"/>
        </w:rPr>
        <w:t>，</w:t>
      </w:r>
      <w:r>
        <w:rPr>
          <w:rFonts w:cs="Times New Roman" w:hAnsiTheme="minorEastAsia"/>
          <w:szCs w:val="24"/>
        </w:rPr>
        <w:t>本项目位于</w:t>
      </w:r>
      <w:r>
        <w:rPr>
          <w:rFonts w:hint="eastAsia" w:cs="Times New Roman"/>
          <w:szCs w:val="24"/>
        </w:rPr>
        <w:t>梅州市梅县区白渡镇沙坪村三丫塘A栋1号</w:t>
      </w:r>
      <w:r>
        <w:rPr>
          <w:rFonts w:cs="Times New Roman" w:hAnsiTheme="minorEastAsia"/>
          <w:szCs w:val="24"/>
        </w:rPr>
        <w:t>（坐标：</w:t>
      </w:r>
      <w:r>
        <w:rPr>
          <w:rFonts w:hint="eastAsia" w:cs="Times New Roman"/>
          <w:szCs w:val="24"/>
        </w:rPr>
        <w:t>北纬N 24°29'26.26"东经E116°11'17.72"</w:t>
      </w:r>
      <w:r>
        <w:rPr>
          <w:rFonts w:cs="Times New Roman" w:hAnsiTheme="minorEastAsia"/>
          <w:szCs w:val="24"/>
        </w:rPr>
        <w:t>），</w:t>
      </w:r>
      <w:r>
        <w:rPr>
          <w:rFonts w:hint="eastAsia" w:cs="Times New Roman" w:hAnsiTheme="minorEastAsia"/>
          <w:szCs w:val="24"/>
        </w:rPr>
        <w:t>占地面积3000</w:t>
      </w:r>
      <w:r>
        <w:rPr>
          <w:rFonts w:hint="eastAsia" w:cs="Times New Roman"/>
          <w:szCs w:val="24"/>
        </w:rPr>
        <w:t>m</w:t>
      </w:r>
      <w:r>
        <w:rPr>
          <w:rFonts w:hint="eastAsia" w:cs="Times New Roman"/>
          <w:szCs w:val="24"/>
          <w:vertAlign w:val="superscript"/>
        </w:rPr>
        <w:t>2</w:t>
      </w:r>
      <w:r>
        <w:rPr>
          <w:rFonts w:cs="Times New Roman" w:hAnsiTheme="minorEastAsia"/>
          <w:szCs w:val="24"/>
        </w:rPr>
        <w:t>，</w:t>
      </w:r>
      <w:r>
        <w:rPr>
          <w:rFonts w:hint="eastAsia" w:cs="Times New Roman" w:hAnsiTheme="minorEastAsia"/>
          <w:szCs w:val="24"/>
        </w:rPr>
        <w:t>建筑面积3000</w:t>
      </w:r>
      <w:r>
        <w:rPr>
          <w:rFonts w:hint="eastAsia" w:cs="Times New Roman"/>
          <w:szCs w:val="24"/>
        </w:rPr>
        <w:t>m</w:t>
      </w:r>
      <w:r>
        <w:rPr>
          <w:rFonts w:cs="Times New Roman"/>
          <w:szCs w:val="24"/>
          <w:vertAlign w:val="superscript"/>
        </w:rPr>
        <w:t>2</w:t>
      </w:r>
      <w:r>
        <w:rPr>
          <w:rFonts w:cs="Times New Roman" w:hAnsiTheme="minorEastAsia"/>
          <w:szCs w:val="24"/>
        </w:rPr>
        <w:t>，</w:t>
      </w:r>
      <w:r>
        <w:rPr>
          <w:rFonts w:hint="eastAsia" w:cs="Times New Roman" w:hAnsiTheme="minorEastAsia"/>
          <w:szCs w:val="24"/>
        </w:rPr>
        <w:t>建筑</w:t>
      </w:r>
      <w:r>
        <w:rPr>
          <w:rFonts w:cs="Times New Roman" w:hAnsiTheme="minorEastAsia"/>
          <w:szCs w:val="24"/>
        </w:rPr>
        <w:t>主要</w:t>
      </w:r>
      <w:r>
        <w:rPr>
          <w:rFonts w:hint="eastAsia" w:cs="Times New Roman" w:hAnsiTheme="minorEastAsia"/>
          <w:szCs w:val="24"/>
        </w:rPr>
        <w:t>分为四个区域，分别</w:t>
      </w:r>
      <w:r>
        <w:rPr>
          <w:rFonts w:cs="Times New Roman" w:hAnsiTheme="minorEastAsia"/>
          <w:szCs w:val="24"/>
        </w:rPr>
        <w:t>包括：</w:t>
      </w:r>
      <w:r>
        <w:rPr>
          <w:rFonts w:hint="eastAsia" w:cs="Times New Roman" w:hAnsiTheme="minorEastAsia"/>
          <w:szCs w:val="24"/>
        </w:rPr>
        <w:t>原料区、生产区、产品区、配件区以及办公区。</w:t>
      </w:r>
      <w:r>
        <w:rPr>
          <w:rFonts w:hint="eastAsia" w:cs="Times New Roman" w:hAnsiTheme="minorEastAsia"/>
          <w:bCs/>
          <w:szCs w:val="24"/>
        </w:rPr>
        <w:t>招员工20人</w:t>
      </w:r>
      <w:r>
        <w:rPr>
          <w:rFonts w:cs="Times New Roman" w:hAnsiTheme="minorEastAsia"/>
          <w:bCs/>
          <w:szCs w:val="24"/>
        </w:rPr>
        <w:t>，</w:t>
      </w:r>
      <w:r>
        <w:rPr>
          <w:rFonts w:hint="eastAsia" w:cs="Times New Roman" w:hAnsiTheme="minorEastAsia"/>
          <w:bCs/>
          <w:szCs w:val="24"/>
        </w:rPr>
        <w:t>项目建成后</w:t>
      </w:r>
      <w:r>
        <w:rPr>
          <w:rFonts w:hint="eastAsia" w:cs="Times New Roman"/>
          <w:szCs w:val="24"/>
        </w:rPr>
        <w:t>年产5000吨PVC管材</w:t>
      </w:r>
      <w:r>
        <w:rPr>
          <w:rFonts w:cs="Times New Roman" w:hAnsiTheme="minorEastAsia"/>
          <w:bCs/>
          <w:szCs w:val="24"/>
        </w:rPr>
        <w:t>。</w:t>
      </w:r>
    </w:p>
    <w:p>
      <w:pPr>
        <w:ind w:firstLine="480"/>
        <w:rPr>
          <w:rFonts w:ascii="宋体"/>
        </w:rPr>
      </w:pPr>
      <w:r>
        <w:rPr>
          <w:rFonts w:hint="eastAsia"/>
        </w:rPr>
        <w:t>2020</w:t>
      </w:r>
      <w:r>
        <w:t>年</w:t>
      </w:r>
      <w:r>
        <w:rPr>
          <w:rFonts w:hint="eastAsia"/>
        </w:rPr>
        <w:t>6</w:t>
      </w:r>
      <w:r>
        <w:t>月</w:t>
      </w:r>
      <w:r>
        <w:rPr>
          <w:rFonts w:hint="eastAsia" w:ascii="宋体"/>
        </w:rPr>
        <w:t>，</w:t>
      </w:r>
      <w:r>
        <w:rPr>
          <w:rFonts w:hint="eastAsia" w:cs="Times New Roman"/>
          <w:szCs w:val="24"/>
        </w:rPr>
        <w:t>广东玉塑管道有限公司</w:t>
      </w:r>
      <w:r>
        <w:rPr>
          <w:rFonts w:ascii="宋体"/>
        </w:rPr>
        <w:t>委托</w:t>
      </w:r>
      <w:r>
        <w:rPr>
          <w:rFonts w:hint="eastAsia" w:cs="Times New Roman" w:hAnsiTheme="minorEastAsia"/>
          <w:bCs/>
          <w:szCs w:val="24"/>
        </w:rPr>
        <w:t>佛山市思环环保科技有限公司</w:t>
      </w:r>
      <w:r>
        <w:t>编</w:t>
      </w:r>
      <w:r>
        <w:rPr>
          <w:rFonts w:hint="eastAsia" w:ascii="宋体"/>
        </w:rPr>
        <w:t>制了</w:t>
      </w:r>
      <w:r>
        <w:rPr>
          <w:rFonts w:ascii="宋体"/>
        </w:rPr>
        <w:t>《</w:t>
      </w:r>
      <w:r>
        <w:rPr>
          <w:rFonts w:hint="eastAsia" w:cs="Times New Roman"/>
          <w:szCs w:val="24"/>
        </w:rPr>
        <w:t>广东玉塑管道有限公司年产5000吨PVC管材建设项目</w:t>
      </w:r>
      <w:r>
        <w:rPr>
          <w:rFonts w:hint="eastAsia" w:ascii="宋体"/>
        </w:rPr>
        <w:t>环境影响报告表》，并于</w:t>
      </w:r>
      <w:r>
        <w:rPr>
          <w:rFonts w:cs="Times New Roman"/>
        </w:rPr>
        <w:t>20</w:t>
      </w:r>
      <w:r>
        <w:rPr>
          <w:rFonts w:hint="eastAsia" w:cs="Times New Roman"/>
        </w:rPr>
        <w:t>20</w:t>
      </w:r>
      <w:r>
        <w:rPr>
          <w:rFonts w:cs="Times New Roman"/>
        </w:rPr>
        <w:t>年</w:t>
      </w:r>
      <w:r>
        <w:rPr>
          <w:rFonts w:hint="eastAsia" w:cs="Times New Roman"/>
        </w:rPr>
        <w:t>9</w:t>
      </w:r>
      <w:r>
        <w:rPr>
          <w:rFonts w:cs="Times New Roman"/>
        </w:rPr>
        <w:t>月</w:t>
      </w:r>
      <w:r>
        <w:rPr>
          <w:rFonts w:hint="eastAsia" w:cs="Times New Roman"/>
        </w:rPr>
        <w:t>10</w:t>
      </w:r>
      <w:r>
        <w:rPr>
          <w:rFonts w:cs="Times New Roman"/>
        </w:rPr>
        <w:t>日取</w:t>
      </w:r>
      <w:r>
        <w:rPr>
          <w:rFonts w:hint="eastAsia" w:ascii="宋体"/>
        </w:rPr>
        <w:t>得了梅州市生态环境局梅县分局审批批复：《关于</w:t>
      </w:r>
      <w:r>
        <w:rPr>
          <w:rFonts w:hint="eastAsia" w:cs="Times New Roman"/>
          <w:szCs w:val="24"/>
        </w:rPr>
        <w:t>广东玉塑管道有限公司年产5000吨PVC管材建设项目</w:t>
      </w:r>
      <w:r>
        <w:rPr>
          <w:rFonts w:hint="eastAsia" w:ascii="宋体"/>
        </w:rPr>
        <w:t>环境影响报告表的批复》（</w:t>
      </w:r>
      <w:r>
        <w:rPr>
          <w:rFonts w:hint="eastAsia" w:cs="Times New Roman"/>
        </w:rPr>
        <w:t>梅县区环审</w:t>
      </w:r>
      <w:r>
        <w:rPr>
          <w:rFonts w:cs="Times New Roman"/>
        </w:rPr>
        <w:t>【20</w:t>
      </w:r>
      <w:r>
        <w:rPr>
          <w:rFonts w:hint="eastAsia" w:cs="Times New Roman"/>
        </w:rPr>
        <w:t>20</w:t>
      </w:r>
      <w:r>
        <w:rPr>
          <w:rFonts w:cs="Times New Roman"/>
        </w:rPr>
        <w:t>】</w:t>
      </w:r>
      <w:r>
        <w:rPr>
          <w:rFonts w:hint="eastAsia" w:cs="Times New Roman"/>
        </w:rPr>
        <w:t>47</w:t>
      </w:r>
      <w:r>
        <w:rPr>
          <w:rFonts w:cs="Times New Roman"/>
        </w:rPr>
        <w:t>号</w:t>
      </w:r>
      <w:r>
        <w:rPr>
          <w:rFonts w:hint="eastAsia" w:ascii="宋体"/>
        </w:rPr>
        <w:t>）。</w:t>
      </w:r>
    </w:p>
    <w:p>
      <w:pPr>
        <w:ind w:firstLine="480"/>
      </w:pPr>
      <w:r>
        <w:rPr>
          <w:rFonts w:hint="eastAsia" w:cs="Times New Roman"/>
        </w:rPr>
        <w:t>2021年3月</w:t>
      </w:r>
      <w:r>
        <w:rPr>
          <w:rFonts w:hint="eastAsia" w:hAnsi="宋体" w:cs="Times New Roman"/>
          <w:bCs/>
        </w:rPr>
        <w:t>，</w:t>
      </w:r>
      <w:r>
        <w:rPr>
          <w:rFonts w:hint="eastAsia"/>
        </w:rPr>
        <w:t>项目主体工程，配套环保工程建设完成且正常运行，根据《中华人民共和国环境保护法》和《建设项目环境保护管理条例》（国务院第682号令）等有关规定，按照环境保护设施与主体工程同时设计、同时施工、同时投入使用的“三同时”制度要求，建设单位需查清工程在施工过程中对环评文件和工程设计文件等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ind w:firstLine="480"/>
      </w:pPr>
      <w:r>
        <w:rPr>
          <w:rFonts w:hint="eastAsia"/>
        </w:rPr>
        <w:t>2021年4月，</w:t>
      </w:r>
      <w:r>
        <w:rPr>
          <w:rFonts w:hint="eastAsia" w:cs="Times New Roman"/>
          <w:szCs w:val="24"/>
        </w:rPr>
        <w:t>广东玉塑管道有限公司</w:t>
      </w:r>
      <w:r>
        <w:rPr>
          <w:rFonts w:hint="eastAsia"/>
        </w:rPr>
        <w:t>委托广东新金穗环保有限公司为本项目编制竣工环境保护验收监测报告。我公司接受委托后，参照</w:t>
      </w:r>
      <w:r>
        <w:rPr>
          <w:rFonts w:hint="eastAsia"/>
          <w:lang w:val="en-US" w:eastAsia="zh-CN"/>
        </w:rPr>
        <w:t>生态环境部</w:t>
      </w:r>
      <w:r>
        <w:rPr>
          <w:rFonts w:hint="eastAsia"/>
        </w:rPr>
        <w:t>《建设项目环境保护管理条例》（国务院令第682号）、《建设项目竣工环境保护验收暂行办法》（国环规环评[2017]4号）等文件要求，开展相关验收调查工作。</w:t>
      </w:r>
      <w:r>
        <w:rPr>
          <w:rFonts w:hint="eastAsia" w:cs="Times New Roman"/>
          <w:szCs w:val="24"/>
        </w:rPr>
        <w:t>广东玉塑管道有限公司</w:t>
      </w:r>
      <w:r>
        <w:rPr>
          <w:rFonts w:cs="Times New Roman"/>
        </w:rPr>
        <w:t>委托</w:t>
      </w:r>
      <w:r>
        <w:rPr>
          <w:rFonts w:hint="eastAsia"/>
        </w:rPr>
        <w:t>粤珠环保科技（广东）有限公司于2021年4月16日至17日</w:t>
      </w:r>
      <w:r>
        <w:rPr>
          <w:rFonts w:hint="eastAsia" w:cs="Times New Roman"/>
        </w:rPr>
        <w:t>对项目</w:t>
      </w:r>
      <w:r>
        <w:rPr>
          <w:rFonts w:cs="Times New Roman"/>
        </w:rPr>
        <w:t>竣工验收</w:t>
      </w:r>
      <w:r>
        <w:rPr>
          <w:rFonts w:hint="eastAsia" w:cs="Times New Roman"/>
        </w:rPr>
        <w:t>进行</w:t>
      </w:r>
      <w:r>
        <w:rPr>
          <w:rFonts w:cs="Times New Roman"/>
        </w:rPr>
        <w:t>检测并出具检测报告。</w:t>
      </w:r>
      <w:r>
        <w:rPr>
          <w:rFonts w:hint="eastAsia"/>
        </w:rPr>
        <w:t>我公司根据现场调查情况和检测报告按照《建设项目竣工环境保护验收技术指南污染影响类》编制完成竣工环境保护验收监测报告。</w:t>
      </w:r>
    </w:p>
    <w:p>
      <w:pPr>
        <w:ind w:firstLine="480"/>
        <w:rPr>
          <w:rFonts w:cs="Times New Roman"/>
        </w:rPr>
      </w:pPr>
    </w:p>
    <w:p>
      <w:pPr>
        <w:pStyle w:val="2"/>
        <w:rPr>
          <w:szCs w:val="21"/>
        </w:rPr>
      </w:pPr>
      <w:bookmarkStart w:id="1" w:name="_Toc531082141"/>
      <w:bookmarkStart w:id="2" w:name="_Toc72396060"/>
      <w:r>
        <w:rPr>
          <w:rFonts w:hint="eastAsia"/>
          <w:szCs w:val="21"/>
        </w:rPr>
        <w:t>2验收依据</w:t>
      </w:r>
      <w:bookmarkEnd w:id="1"/>
      <w:bookmarkEnd w:id="2"/>
    </w:p>
    <w:p>
      <w:pPr>
        <w:pStyle w:val="3"/>
      </w:pPr>
      <w:bookmarkStart w:id="3" w:name="_Toc72396061"/>
      <w:bookmarkStart w:id="4" w:name="_Toc531082142"/>
      <w:bookmarkStart w:id="5" w:name="_Toc874240"/>
      <w:bookmarkStart w:id="6" w:name="_Toc531082144"/>
      <w:r>
        <w:rPr>
          <w:rFonts w:hint="eastAsia"/>
        </w:rPr>
        <w:t>2.1建设项目环境保护相关法律、法规和规章制度；</w:t>
      </w:r>
      <w:bookmarkEnd w:id="3"/>
      <w:bookmarkEnd w:id="4"/>
      <w:bookmarkEnd w:id="5"/>
    </w:p>
    <w:p>
      <w:pPr>
        <w:pStyle w:val="43"/>
        <w:numPr>
          <w:ilvl w:val="0"/>
          <w:numId w:val="1"/>
        </w:numPr>
        <w:ind w:left="0" w:firstLine="480"/>
      </w:pPr>
      <w:bookmarkStart w:id="7" w:name="_Toc531082143"/>
      <w:bookmarkStart w:id="8" w:name="_Toc874241"/>
      <w:r>
        <w:rPr>
          <w:rFonts w:hint="eastAsia"/>
        </w:rPr>
        <w:t>《中华人民共和国环境保护法》主席令第九号，2015年1月1日；</w:t>
      </w:r>
    </w:p>
    <w:p>
      <w:pPr>
        <w:pStyle w:val="43"/>
        <w:numPr>
          <w:ilvl w:val="0"/>
          <w:numId w:val="1"/>
        </w:numPr>
        <w:ind w:left="0" w:firstLine="480"/>
      </w:pPr>
      <w:r>
        <w:rPr>
          <w:rFonts w:hint="eastAsia"/>
        </w:rPr>
        <w:t>《建设项目环境保护管理条例》，国务院令第682号，2017年10月1日实施；</w:t>
      </w:r>
    </w:p>
    <w:p>
      <w:pPr>
        <w:pStyle w:val="43"/>
        <w:numPr>
          <w:ilvl w:val="0"/>
          <w:numId w:val="1"/>
        </w:numPr>
        <w:ind w:firstLineChars="0"/>
      </w:pPr>
      <w:r>
        <w:t>《中华人民共和国环境影响评价法》，2018年12月29日施行</w:t>
      </w:r>
      <w:r>
        <w:rPr>
          <w:rFonts w:hint="eastAsia"/>
        </w:rPr>
        <w:t>；</w:t>
      </w:r>
    </w:p>
    <w:p>
      <w:pPr>
        <w:pStyle w:val="43"/>
        <w:numPr>
          <w:ilvl w:val="0"/>
          <w:numId w:val="1"/>
        </w:numPr>
        <w:ind w:left="0" w:firstLine="480"/>
      </w:pPr>
      <w:r>
        <w:t>《中华人民共和国水污染防治法》，2017年6月27日修订，2018年1月1日施行</w:t>
      </w:r>
      <w:r>
        <w:rPr>
          <w:rFonts w:hint="eastAsia"/>
        </w:rPr>
        <w:t>；</w:t>
      </w:r>
    </w:p>
    <w:p>
      <w:pPr>
        <w:pStyle w:val="43"/>
        <w:numPr>
          <w:ilvl w:val="0"/>
          <w:numId w:val="1"/>
        </w:numPr>
        <w:ind w:left="0" w:firstLine="480"/>
      </w:pPr>
      <w:r>
        <w:t>《中华人民共和国大气污染防治法》，2018年10月26日施行；</w:t>
      </w:r>
    </w:p>
    <w:p>
      <w:pPr>
        <w:pStyle w:val="43"/>
        <w:numPr>
          <w:ilvl w:val="0"/>
          <w:numId w:val="1"/>
        </w:numPr>
        <w:ind w:left="0" w:firstLine="480"/>
      </w:pPr>
      <w:r>
        <w:rPr>
          <w:rFonts w:hint="eastAsia"/>
        </w:rPr>
        <w:t>《中华人民共和国固体废物污染环境防治法》，2020年4月29日修订，2020年9月1日起施行；</w:t>
      </w:r>
    </w:p>
    <w:p>
      <w:pPr>
        <w:pStyle w:val="43"/>
        <w:numPr>
          <w:ilvl w:val="0"/>
          <w:numId w:val="1"/>
        </w:numPr>
        <w:ind w:left="0" w:firstLine="480"/>
      </w:pPr>
      <w:r>
        <w:t>《中华人民共和国环境噪声污染防治法》</w:t>
      </w:r>
      <w:r>
        <w:rPr>
          <w:rFonts w:hint="eastAsia"/>
        </w:rPr>
        <w:t>，2018</w:t>
      </w:r>
      <w:r>
        <w:t>年</w:t>
      </w:r>
      <w:r>
        <w:rPr>
          <w:rFonts w:hint="eastAsia"/>
        </w:rPr>
        <w:t>12</w:t>
      </w:r>
      <w:r>
        <w:t>月</w:t>
      </w:r>
      <w:r>
        <w:rPr>
          <w:rFonts w:hint="eastAsia"/>
        </w:rPr>
        <w:t>29</w:t>
      </w:r>
      <w:r>
        <w:t>日</w:t>
      </w:r>
      <w:r>
        <w:rPr>
          <w:rFonts w:hint="eastAsia"/>
        </w:rPr>
        <w:t>修订</w:t>
      </w:r>
      <w:r>
        <w:t>；</w:t>
      </w:r>
    </w:p>
    <w:p>
      <w:pPr>
        <w:pStyle w:val="43"/>
        <w:numPr>
          <w:ilvl w:val="0"/>
          <w:numId w:val="1"/>
        </w:numPr>
        <w:ind w:left="0" w:firstLine="480"/>
      </w:pPr>
      <w:r>
        <w:t>《中华人民共和国水土保持法》</w:t>
      </w:r>
      <w:r>
        <w:rPr>
          <w:rFonts w:hint="eastAsia"/>
        </w:rPr>
        <w:t>，</w:t>
      </w:r>
      <w:r>
        <w:t>2010年</w:t>
      </w:r>
      <w:r>
        <w:rPr>
          <w:rFonts w:hint="eastAsia"/>
        </w:rPr>
        <w:t>12月25日</w:t>
      </w:r>
      <w:r>
        <w:t>修订，2011年3月1日起施行；</w:t>
      </w:r>
    </w:p>
    <w:p>
      <w:pPr>
        <w:pStyle w:val="43"/>
        <w:numPr>
          <w:ilvl w:val="0"/>
          <w:numId w:val="1"/>
        </w:numPr>
        <w:ind w:firstLineChars="0"/>
      </w:pPr>
      <w:r>
        <w:t>《建设项目环境影响评价分类管理名录</w:t>
      </w:r>
      <w:r>
        <w:rPr>
          <w:rFonts w:hint="eastAsia"/>
        </w:rPr>
        <w:t>（2021版）</w:t>
      </w:r>
      <w:r>
        <w:t>》</w:t>
      </w:r>
      <w:r>
        <w:rPr>
          <w:rFonts w:hint="eastAsia"/>
        </w:rPr>
        <w:t>；</w:t>
      </w:r>
    </w:p>
    <w:p>
      <w:pPr>
        <w:pStyle w:val="43"/>
        <w:numPr>
          <w:ilvl w:val="0"/>
          <w:numId w:val="1"/>
        </w:numPr>
        <w:ind w:left="0" w:firstLine="480"/>
      </w:pPr>
      <w:r>
        <w:rPr>
          <w:rFonts w:hint="eastAsia"/>
        </w:rPr>
        <w:t>《建设项目竣工环境保护验收暂行办法》，国环规环评[2017]4号；</w:t>
      </w:r>
    </w:p>
    <w:p>
      <w:pPr>
        <w:pStyle w:val="43"/>
        <w:numPr>
          <w:ilvl w:val="0"/>
          <w:numId w:val="1"/>
        </w:numPr>
        <w:ind w:left="0" w:firstLine="480"/>
      </w:pPr>
      <w:r>
        <w:rPr>
          <w:rFonts w:hint="eastAsia"/>
        </w:rPr>
        <w:t>《广东省建设项目环境保护管理条例》，广东省人大第十一届常委会2012年7月26日修订；</w:t>
      </w:r>
    </w:p>
    <w:p>
      <w:pPr>
        <w:pStyle w:val="3"/>
      </w:pPr>
      <w:bookmarkStart w:id="9" w:name="_Toc72396062"/>
      <w:r>
        <w:rPr>
          <w:rFonts w:hint="eastAsia"/>
        </w:rPr>
        <w:t>2.2</w:t>
      </w:r>
      <w:r>
        <w:t>建设项目竣工环境保护验收技术规范</w:t>
      </w:r>
      <w:r>
        <w:rPr>
          <w:rFonts w:hint="eastAsia"/>
        </w:rPr>
        <w:t>；</w:t>
      </w:r>
      <w:bookmarkEnd w:id="7"/>
      <w:bookmarkEnd w:id="8"/>
      <w:bookmarkEnd w:id="9"/>
    </w:p>
    <w:p>
      <w:pPr>
        <w:pStyle w:val="43"/>
        <w:numPr>
          <w:ilvl w:val="0"/>
          <w:numId w:val="2"/>
        </w:numPr>
        <w:ind w:left="0" w:firstLine="480"/>
      </w:pPr>
      <w:r>
        <w:rPr>
          <w:rFonts w:hint="eastAsia"/>
        </w:rPr>
        <w:t>《建设项目环境影响评价技术导则总纲》（HJ 2.1-2016）；</w:t>
      </w:r>
    </w:p>
    <w:p>
      <w:pPr>
        <w:pStyle w:val="43"/>
        <w:numPr>
          <w:ilvl w:val="0"/>
          <w:numId w:val="2"/>
        </w:numPr>
        <w:ind w:left="0" w:firstLine="480"/>
      </w:pPr>
      <w:r>
        <w:rPr>
          <w:rFonts w:hint="eastAsia"/>
        </w:rPr>
        <w:t>《大气污染物综合排放标准》（GB16297-1996）；</w:t>
      </w:r>
    </w:p>
    <w:p>
      <w:pPr>
        <w:pStyle w:val="43"/>
        <w:numPr>
          <w:ilvl w:val="0"/>
          <w:numId w:val="2"/>
        </w:numPr>
        <w:ind w:left="0" w:firstLine="480"/>
      </w:pPr>
      <w:r>
        <w:rPr>
          <w:rFonts w:hint="eastAsia"/>
        </w:rPr>
        <w:t>《大气污染物排放限值》（DB44/27-2001）；</w:t>
      </w:r>
    </w:p>
    <w:p>
      <w:pPr>
        <w:pStyle w:val="43"/>
        <w:numPr>
          <w:ilvl w:val="0"/>
          <w:numId w:val="2"/>
        </w:numPr>
        <w:ind w:left="0" w:firstLine="480"/>
      </w:pPr>
      <w:r>
        <w:t>《家具制造行业挥发性有机化合物排放标准》（DB44/814-2010）</w:t>
      </w:r>
      <w:r>
        <w:rPr>
          <w:rFonts w:hint="eastAsia"/>
        </w:rPr>
        <w:t>；</w:t>
      </w:r>
    </w:p>
    <w:p>
      <w:pPr>
        <w:pStyle w:val="43"/>
        <w:numPr>
          <w:ilvl w:val="0"/>
          <w:numId w:val="2"/>
        </w:numPr>
        <w:ind w:left="0" w:firstLine="480"/>
      </w:pPr>
      <w:r>
        <w:rPr>
          <w:rFonts w:hint="eastAsia"/>
        </w:rPr>
        <w:t>《空气和废气监测分析方法》（第四版）；</w:t>
      </w:r>
    </w:p>
    <w:p>
      <w:pPr>
        <w:pStyle w:val="43"/>
        <w:numPr>
          <w:ilvl w:val="0"/>
          <w:numId w:val="2"/>
        </w:numPr>
        <w:ind w:left="0" w:firstLine="480"/>
      </w:pPr>
      <w:r>
        <w:rPr>
          <w:rFonts w:hint="eastAsia"/>
        </w:rPr>
        <w:t>《工业企业厂界环境噪声排放标准》（GB12348-2008）；</w:t>
      </w:r>
    </w:p>
    <w:p>
      <w:pPr>
        <w:pStyle w:val="43"/>
        <w:numPr>
          <w:ilvl w:val="0"/>
          <w:numId w:val="2"/>
        </w:numPr>
        <w:ind w:left="0" w:firstLine="480"/>
      </w:pPr>
      <w:r>
        <w:rPr>
          <w:rFonts w:hint="eastAsia"/>
        </w:rPr>
        <w:t>《农田灌溉水质标准》（GB5084-2005）；</w:t>
      </w:r>
    </w:p>
    <w:p>
      <w:pPr>
        <w:pStyle w:val="43"/>
        <w:numPr>
          <w:ilvl w:val="0"/>
          <w:numId w:val="2"/>
        </w:numPr>
        <w:ind w:left="0" w:firstLine="480"/>
      </w:pPr>
      <w:r>
        <w:rPr>
          <w:rFonts w:hint="eastAsia"/>
        </w:rPr>
        <w:t>《水污染物排放限值》（DB44/26-2001）；</w:t>
      </w:r>
    </w:p>
    <w:p>
      <w:pPr>
        <w:pStyle w:val="43"/>
        <w:numPr>
          <w:ilvl w:val="0"/>
          <w:numId w:val="2"/>
        </w:numPr>
        <w:ind w:left="0" w:firstLine="480"/>
      </w:pPr>
      <w:r>
        <w:rPr>
          <w:rFonts w:hint="eastAsia"/>
        </w:rPr>
        <w:t>《一般工业固体废物贮存、处置场污染控制标准》（GB18599-2001）</w:t>
      </w:r>
      <w:r>
        <w:t>及其2013年修改单相关要求</w:t>
      </w:r>
      <w:r>
        <w:rPr>
          <w:rFonts w:hint="eastAsia"/>
        </w:rPr>
        <w:t>；</w:t>
      </w:r>
    </w:p>
    <w:p>
      <w:pPr>
        <w:pStyle w:val="43"/>
        <w:numPr>
          <w:ilvl w:val="0"/>
          <w:numId w:val="2"/>
        </w:numPr>
        <w:ind w:left="0" w:firstLine="480"/>
      </w:pPr>
      <w:r>
        <w:rPr>
          <w:rFonts w:hint="eastAsia"/>
        </w:rPr>
        <w:t>《建设项目竣工环境保护验收技术指南污染影响类》（环境保护部）。</w:t>
      </w:r>
    </w:p>
    <w:p>
      <w:pPr>
        <w:pStyle w:val="3"/>
      </w:pPr>
      <w:bookmarkStart w:id="10" w:name="_Toc72396063"/>
      <w:r>
        <w:rPr>
          <w:rFonts w:hint="eastAsia"/>
        </w:rPr>
        <w:t>2.3</w:t>
      </w:r>
      <w:r>
        <w:t>建设项目</w:t>
      </w:r>
      <w:r>
        <w:rPr>
          <w:rFonts w:hint="eastAsia"/>
        </w:rPr>
        <w:t>环境影响报告表及其审批部门审批决定</w:t>
      </w:r>
      <w:bookmarkEnd w:id="6"/>
      <w:bookmarkEnd w:id="10"/>
    </w:p>
    <w:p>
      <w:pPr>
        <w:pStyle w:val="43"/>
        <w:numPr>
          <w:ilvl w:val="0"/>
          <w:numId w:val="3"/>
        </w:numPr>
        <w:ind w:left="0" w:firstLine="480"/>
      </w:pPr>
      <w:r>
        <w:rPr>
          <w:rFonts w:hint="eastAsia"/>
        </w:rPr>
        <w:t>《广东玉塑管道有限公司年产5000吨PVC管材建设项目</w:t>
      </w:r>
      <w:r>
        <w:rPr>
          <w:rFonts w:hint="eastAsia" w:ascii="宋体"/>
        </w:rPr>
        <w:t>环境影响报告表</w:t>
      </w:r>
      <w:r>
        <w:t>》（</w:t>
      </w:r>
      <w:r>
        <w:rPr>
          <w:rFonts w:hint="eastAsia" w:hAnsiTheme="minorEastAsia"/>
          <w:bCs/>
        </w:rPr>
        <w:t>佛山市思环环保科技有限公司</w:t>
      </w:r>
      <w:r>
        <w:t>）；</w:t>
      </w:r>
    </w:p>
    <w:p>
      <w:pPr>
        <w:pStyle w:val="43"/>
        <w:numPr>
          <w:ilvl w:val="0"/>
          <w:numId w:val="3"/>
        </w:numPr>
        <w:ind w:left="0" w:firstLine="480"/>
      </w:pPr>
      <w:r>
        <w:rPr>
          <w:rFonts w:hint="eastAsia" w:ascii="宋体"/>
        </w:rPr>
        <w:t>《关于</w:t>
      </w:r>
      <w:r>
        <w:rPr>
          <w:rFonts w:hint="eastAsia"/>
        </w:rPr>
        <w:t>广东玉塑管道有限公司年产5000吨PVC管材建设项目</w:t>
      </w:r>
      <w:r>
        <w:rPr>
          <w:rFonts w:hint="eastAsia" w:ascii="宋体"/>
        </w:rPr>
        <w:t>环境影响报告表的批复》（</w:t>
      </w:r>
      <w:r>
        <w:rPr>
          <w:rFonts w:hint="eastAsia"/>
        </w:rPr>
        <w:t>梅县区环审</w:t>
      </w:r>
      <w:r>
        <w:t>【20</w:t>
      </w:r>
      <w:r>
        <w:rPr>
          <w:rFonts w:hint="eastAsia"/>
        </w:rPr>
        <w:t>20</w:t>
      </w:r>
      <w:r>
        <w:t>】</w:t>
      </w:r>
      <w:r>
        <w:rPr>
          <w:rFonts w:hint="eastAsia"/>
        </w:rPr>
        <w:t>47</w:t>
      </w:r>
      <w:r>
        <w:t>号</w:t>
      </w:r>
      <w:r>
        <w:rPr>
          <w:rFonts w:hint="eastAsia" w:ascii="宋体"/>
        </w:rPr>
        <w:t>）</w:t>
      </w:r>
      <w:r>
        <w:rPr>
          <w:rFonts w:hint="eastAsia"/>
        </w:rPr>
        <w:t>；</w:t>
      </w:r>
    </w:p>
    <w:p>
      <w:pPr>
        <w:pStyle w:val="43"/>
        <w:numPr>
          <w:ilvl w:val="0"/>
          <w:numId w:val="3"/>
        </w:numPr>
        <w:ind w:left="0" w:firstLine="480"/>
      </w:pPr>
      <w:r>
        <w:rPr>
          <w:rFonts w:hint="eastAsia"/>
        </w:rPr>
        <w:t>建设单位提供的其他相关资料。</w:t>
      </w:r>
    </w:p>
    <w:p>
      <w:pPr>
        <w:widowControl/>
        <w:spacing w:line="240" w:lineRule="auto"/>
        <w:ind w:firstLine="0" w:firstLineChars="0"/>
        <w:jc w:val="left"/>
      </w:pPr>
      <w:r>
        <w:br w:type="page"/>
      </w:r>
    </w:p>
    <w:p>
      <w:pPr>
        <w:pStyle w:val="2"/>
        <w:rPr>
          <w:szCs w:val="21"/>
        </w:rPr>
      </w:pPr>
      <w:bookmarkStart w:id="11" w:name="_Toc531082145"/>
      <w:bookmarkStart w:id="12" w:name="_Toc72396064"/>
      <w:r>
        <w:rPr>
          <w:rFonts w:hint="eastAsia"/>
          <w:szCs w:val="21"/>
        </w:rPr>
        <w:t>3项目建设情况</w:t>
      </w:r>
      <w:bookmarkEnd w:id="11"/>
      <w:bookmarkEnd w:id="12"/>
    </w:p>
    <w:p>
      <w:pPr>
        <w:pStyle w:val="3"/>
      </w:pPr>
      <w:bookmarkStart w:id="13" w:name="_Toc72396065"/>
      <w:bookmarkStart w:id="14" w:name="_Toc531082146"/>
      <w:r>
        <w:t>3.1</w:t>
      </w:r>
      <w:r>
        <w:rPr>
          <w:rFonts w:hint="eastAsia"/>
        </w:rPr>
        <w:t>项目基本情况</w:t>
      </w:r>
      <w:bookmarkEnd w:id="13"/>
      <w:bookmarkEnd w:id="14"/>
    </w:p>
    <w:p>
      <w:pPr>
        <w:ind w:firstLine="480"/>
      </w:pPr>
      <w:r>
        <w:rPr>
          <w:rFonts w:hint="eastAsia"/>
        </w:rPr>
        <w:t>本项目基本情况详见下表：</w:t>
      </w:r>
    </w:p>
    <w:p>
      <w:pPr>
        <w:ind w:firstLine="0" w:firstLineChars="0"/>
        <w:jc w:val="center"/>
        <w:rPr>
          <w:b/>
          <w:szCs w:val="24"/>
        </w:rPr>
      </w:pPr>
      <w:r>
        <w:rPr>
          <w:rFonts w:hint="eastAsia"/>
          <w:b/>
          <w:szCs w:val="24"/>
        </w:rPr>
        <w:t>表3.1-1 项目基本情况表</w:t>
      </w:r>
    </w:p>
    <w:tbl>
      <w:tblPr>
        <w:tblStyle w:val="26"/>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23"/>
        <w:gridCol w:w="2370"/>
        <w:gridCol w:w="1315"/>
        <w:gridCol w:w="750"/>
        <w:gridCol w:w="21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项目名称</w:t>
            </w:r>
          </w:p>
        </w:tc>
        <w:tc>
          <w:tcPr>
            <w:tcW w:w="6599" w:type="dxa"/>
            <w:gridSpan w:val="4"/>
            <w:vAlign w:val="center"/>
          </w:tcPr>
          <w:p>
            <w:pPr>
              <w:spacing w:line="240" w:lineRule="auto"/>
              <w:ind w:firstLine="0" w:firstLineChars="0"/>
              <w:jc w:val="center"/>
              <w:rPr>
                <w:sz w:val="21"/>
                <w:szCs w:val="21"/>
              </w:rPr>
            </w:pPr>
            <w:r>
              <w:rPr>
                <w:rFonts w:hint="eastAsia"/>
                <w:sz w:val="21"/>
                <w:szCs w:val="21"/>
              </w:rPr>
              <w:t>广东玉塑管道有限公司年产5000吨PVC管材建设项目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建设单位</w:t>
            </w:r>
          </w:p>
        </w:tc>
        <w:tc>
          <w:tcPr>
            <w:tcW w:w="6599" w:type="dxa"/>
            <w:gridSpan w:val="4"/>
            <w:vAlign w:val="center"/>
          </w:tcPr>
          <w:p>
            <w:pPr>
              <w:spacing w:line="240" w:lineRule="auto"/>
              <w:ind w:firstLine="0" w:firstLineChars="0"/>
              <w:jc w:val="center"/>
              <w:rPr>
                <w:sz w:val="21"/>
                <w:szCs w:val="21"/>
              </w:rPr>
            </w:pPr>
            <w:r>
              <w:rPr>
                <w:rFonts w:hint="eastAsia"/>
                <w:sz w:val="21"/>
                <w:szCs w:val="21"/>
              </w:rPr>
              <w:t>广东玉塑管道有限公司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法人代表</w:t>
            </w:r>
          </w:p>
        </w:tc>
        <w:tc>
          <w:tcPr>
            <w:tcW w:w="2370" w:type="dxa"/>
            <w:vAlign w:val="center"/>
          </w:tcPr>
          <w:p>
            <w:pPr>
              <w:spacing w:line="240" w:lineRule="auto"/>
              <w:ind w:firstLine="0" w:firstLineChars="0"/>
              <w:jc w:val="center"/>
              <w:rPr>
                <w:sz w:val="21"/>
                <w:szCs w:val="21"/>
              </w:rPr>
            </w:pPr>
            <w:r>
              <w:rPr>
                <w:rFonts w:hint="eastAsia"/>
                <w:sz w:val="21"/>
                <w:szCs w:val="21"/>
              </w:rPr>
              <w:t>徐瑞刚</w:t>
            </w:r>
          </w:p>
        </w:tc>
        <w:tc>
          <w:tcPr>
            <w:tcW w:w="2065" w:type="dxa"/>
            <w:gridSpan w:val="2"/>
            <w:vAlign w:val="center"/>
          </w:tcPr>
          <w:p>
            <w:pPr>
              <w:spacing w:line="240" w:lineRule="auto"/>
              <w:ind w:firstLine="0" w:firstLineChars="0"/>
              <w:jc w:val="center"/>
              <w:rPr>
                <w:sz w:val="21"/>
                <w:szCs w:val="21"/>
              </w:rPr>
            </w:pPr>
            <w:r>
              <w:rPr>
                <w:rFonts w:hint="eastAsia"/>
                <w:sz w:val="21"/>
                <w:szCs w:val="21"/>
              </w:rPr>
              <w:t>联系人</w:t>
            </w:r>
          </w:p>
        </w:tc>
        <w:tc>
          <w:tcPr>
            <w:tcW w:w="2164" w:type="dxa"/>
            <w:vAlign w:val="center"/>
          </w:tcPr>
          <w:p>
            <w:pPr>
              <w:spacing w:line="240" w:lineRule="auto"/>
              <w:ind w:firstLine="0" w:firstLineChars="0"/>
              <w:jc w:val="center"/>
              <w:rPr>
                <w:sz w:val="21"/>
                <w:szCs w:val="21"/>
              </w:rPr>
            </w:pPr>
            <w:r>
              <w:rPr>
                <w:rFonts w:hint="eastAsia"/>
                <w:sz w:val="21"/>
                <w:szCs w:val="21"/>
              </w:rPr>
              <w:t>徐瑞刚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通信地址</w:t>
            </w:r>
          </w:p>
        </w:tc>
        <w:tc>
          <w:tcPr>
            <w:tcW w:w="6599" w:type="dxa"/>
            <w:gridSpan w:val="4"/>
            <w:vAlign w:val="center"/>
          </w:tcPr>
          <w:p>
            <w:pPr>
              <w:spacing w:line="240" w:lineRule="auto"/>
              <w:ind w:firstLine="0" w:firstLineChars="0"/>
              <w:jc w:val="center"/>
              <w:rPr>
                <w:sz w:val="21"/>
                <w:szCs w:val="21"/>
              </w:rPr>
            </w:pPr>
            <w:r>
              <w:rPr>
                <w:rFonts w:hint="eastAsia"/>
                <w:sz w:val="21"/>
                <w:szCs w:val="21"/>
              </w:rPr>
              <w:t>梅州市梅县区白渡镇沙坪村三丫塘A栋1号</w:t>
            </w:r>
          </w:p>
          <w:p>
            <w:pPr>
              <w:spacing w:line="240" w:lineRule="auto"/>
              <w:ind w:firstLine="0" w:firstLineChars="0"/>
              <w:jc w:val="center"/>
              <w:rPr>
                <w:sz w:val="21"/>
                <w:szCs w:val="21"/>
              </w:rPr>
            </w:pPr>
            <w:r>
              <w:rPr>
                <w:sz w:val="21"/>
                <w:szCs w:val="21"/>
              </w:rPr>
              <w:t>（北纬N24°</w:t>
            </w:r>
            <w:r>
              <w:rPr>
                <w:rFonts w:hint="eastAsia"/>
                <w:sz w:val="21"/>
                <w:szCs w:val="21"/>
              </w:rPr>
              <w:t>29</w:t>
            </w:r>
            <w:r>
              <w:rPr>
                <w:sz w:val="21"/>
                <w:szCs w:val="21"/>
              </w:rPr>
              <w:t>'</w:t>
            </w:r>
            <w:r>
              <w:rPr>
                <w:rFonts w:hint="eastAsia"/>
                <w:sz w:val="21"/>
                <w:szCs w:val="21"/>
              </w:rPr>
              <w:t>26.26</w:t>
            </w:r>
            <w:r>
              <w:rPr>
                <w:sz w:val="21"/>
                <w:szCs w:val="21"/>
              </w:rPr>
              <w:t>"东经</w:t>
            </w:r>
            <w:r>
              <w:rPr>
                <w:rFonts w:hint="eastAsia"/>
                <w:sz w:val="21"/>
                <w:szCs w:val="21"/>
              </w:rPr>
              <w:t>E</w:t>
            </w:r>
            <w:r>
              <w:rPr>
                <w:sz w:val="21"/>
                <w:szCs w:val="21"/>
              </w:rPr>
              <w:t xml:space="preserve">116° </w:t>
            </w:r>
            <w:r>
              <w:rPr>
                <w:rFonts w:hint="eastAsia"/>
                <w:sz w:val="21"/>
                <w:szCs w:val="21"/>
              </w:rPr>
              <w:t>11</w:t>
            </w:r>
            <w:r>
              <w:rPr>
                <w:sz w:val="21"/>
                <w:szCs w:val="21"/>
              </w:rPr>
              <w:t>'</w:t>
            </w:r>
            <w:r>
              <w:rPr>
                <w:rFonts w:hint="eastAsia"/>
                <w:sz w:val="21"/>
                <w:szCs w:val="21"/>
              </w:rPr>
              <w:t>17.72</w:t>
            </w:r>
            <w:r>
              <w:rPr>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联系电话</w:t>
            </w:r>
          </w:p>
        </w:tc>
        <w:tc>
          <w:tcPr>
            <w:tcW w:w="2370" w:type="dxa"/>
            <w:vAlign w:val="center"/>
          </w:tcPr>
          <w:p>
            <w:pPr>
              <w:spacing w:line="240" w:lineRule="auto"/>
              <w:ind w:firstLine="0" w:firstLineChars="0"/>
              <w:jc w:val="center"/>
              <w:rPr>
                <w:sz w:val="21"/>
                <w:szCs w:val="21"/>
              </w:rPr>
            </w:pPr>
            <w:r>
              <w:rPr>
                <w:rFonts w:hint="eastAsia"/>
                <w:sz w:val="21"/>
                <w:szCs w:val="21"/>
              </w:rPr>
              <w:t>18170562178</w:t>
            </w:r>
          </w:p>
        </w:tc>
        <w:tc>
          <w:tcPr>
            <w:tcW w:w="1315" w:type="dxa"/>
            <w:vAlign w:val="center"/>
          </w:tcPr>
          <w:p>
            <w:pPr>
              <w:spacing w:line="240" w:lineRule="auto"/>
              <w:ind w:firstLine="0" w:firstLineChars="0"/>
              <w:jc w:val="center"/>
              <w:rPr>
                <w:sz w:val="21"/>
                <w:szCs w:val="21"/>
              </w:rPr>
            </w:pPr>
            <w:r>
              <w:rPr>
                <w:rFonts w:hint="eastAsia"/>
                <w:sz w:val="21"/>
                <w:szCs w:val="21"/>
              </w:rPr>
              <w:t>邮编</w:t>
            </w:r>
          </w:p>
        </w:tc>
        <w:tc>
          <w:tcPr>
            <w:tcW w:w="2914" w:type="dxa"/>
            <w:gridSpan w:val="2"/>
            <w:vAlign w:val="center"/>
          </w:tcPr>
          <w:p>
            <w:pPr>
              <w:spacing w:line="240" w:lineRule="auto"/>
              <w:ind w:firstLine="0" w:firstLineChars="0"/>
              <w:jc w:val="center"/>
              <w:rPr>
                <w:sz w:val="21"/>
                <w:szCs w:val="21"/>
              </w:rPr>
            </w:pPr>
            <w:r>
              <w:rPr>
                <w:sz w:val="21"/>
                <w:szCs w:val="21"/>
              </w:rPr>
              <w:t>514</w:t>
            </w:r>
            <w:r>
              <w:rPr>
                <w:rFonts w:hint="eastAsia"/>
                <w:sz w:val="21"/>
                <w:szCs w:val="21"/>
              </w:rPr>
              <w:t>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项目性质</w:t>
            </w:r>
          </w:p>
        </w:tc>
        <w:tc>
          <w:tcPr>
            <w:tcW w:w="2370" w:type="dxa"/>
            <w:vAlign w:val="center"/>
          </w:tcPr>
          <w:p>
            <w:pPr>
              <w:spacing w:line="240" w:lineRule="auto"/>
              <w:ind w:firstLine="0" w:firstLineChars="0"/>
              <w:jc w:val="center"/>
              <w:rPr>
                <w:sz w:val="21"/>
                <w:szCs w:val="21"/>
              </w:rPr>
            </w:pPr>
            <w:r>
              <w:rPr>
                <w:rFonts w:hint="eastAsia"/>
                <w:sz w:val="21"/>
                <w:szCs w:val="21"/>
              </w:rPr>
              <w:t>新建</w:t>
            </w:r>
          </w:p>
        </w:tc>
        <w:tc>
          <w:tcPr>
            <w:tcW w:w="1315" w:type="dxa"/>
            <w:vAlign w:val="center"/>
          </w:tcPr>
          <w:p>
            <w:pPr>
              <w:spacing w:line="240" w:lineRule="auto"/>
              <w:ind w:firstLine="0" w:firstLineChars="0"/>
              <w:jc w:val="center"/>
              <w:rPr>
                <w:sz w:val="21"/>
                <w:szCs w:val="21"/>
              </w:rPr>
            </w:pPr>
            <w:r>
              <w:rPr>
                <w:rFonts w:hint="eastAsia"/>
                <w:sz w:val="21"/>
                <w:szCs w:val="21"/>
              </w:rPr>
              <w:t>行业类别</w:t>
            </w:r>
          </w:p>
        </w:tc>
        <w:tc>
          <w:tcPr>
            <w:tcW w:w="2914" w:type="dxa"/>
            <w:gridSpan w:val="2"/>
            <w:vAlign w:val="center"/>
          </w:tcPr>
          <w:p>
            <w:pPr>
              <w:spacing w:line="240" w:lineRule="auto"/>
              <w:ind w:firstLine="0" w:firstLineChars="0"/>
              <w:jc w:val="center"/>
              <w:rPr>
                <w:sz w:val="21"/>
                <w:szCs w:val="21"/>
              </w:rPr>
            </w:pPr>
            <w:r>
              <w:rPr>
                <w:rFonts w:hint="eastAsia"/>
                <w:sz w:val="21"/>
                <w:szCs w:val="21"/>
              </w:rPr>
              <w:t>C2922塑料板、管、型材制造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建设地点</w:t>
            </w:r>
          </w:p>
        </w:tc>
        <w:tc>
          <w:tcPr>
            <w:tcW w:w="6599" w:type="dxa"/>
            <w:gridSpan w:val="4"/>
            <w:vAlign w:val="center"/>
          </w:tcPr>
          <w:p>
            <w:pPr>
              <w:spacing w:line="240" w:lineRule="auto"/>
              <w:ind w:firstLine="0" w:firstLineChars="0"/>
              <w:jc w:val="center"/>
              <w:rPr>
                <w:sz w:val="21"/>
                <w:szCs w:val="21"/>
              </w:rPr>
            </w:pPr>
            <w:r>
              <w:rPr>
                <w:rFonts w:hint="eastAsia"/>
                <w:sz w:val="21"/>
                <w:szCs w:val="21"/>
              </w:rPr>
              <w:t>梅州市梅县区白渡镇沙坪村三丫塘A栋1号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总投资</w:t>
            </w:r>
          </w:p>
        </w:tc>
        <w:tc>
          <w:tcPr>
            <w:tcW w:w="2370" w:type="dxa"/>
            <w:vAlign w:val="center"/>
          </w:tcPr>
          <w:p>
            <w:pPr>
              <w:spacing w:line="240" w:lineRule="auto"/>
              <w:ind w:firstLine="0" w:firstLineChars="0"/>
              <w:jc w:val="center"/>
              <w:rPr>
                <w:sz w:val="21"/>
                <w:szCs w:val="21"/>
              </w:rPr>
            </w:pPr>
            <w:r>
              <w:rPr>
                <w:rFonts w:hint="eastAsia"/>
                <w:sz w:val="21"/>
                <w:szCs w:val="21"/>
              </w:rPr>
              <w:t>300万元</w:t>
            </w:r>
          </w:p>
        </w:tc>
        <w:tc>
          <w:tcPr>
            <w:tcW w:w="2065" w:type="dxa"/>
            <w:gridSpan w:val="2"/>
            <w:vAlign w:val="center"/>
          </w:tcPr>
          <w:p>
            <w:pPr>
              <w:spacing w:line="240" w:lineRule="auto"/>
              <w:ind w:firstLine="0" w:firstLineChars="0"/>
              <w:jc w:val="center"/>
              <w:rPr>
                <w:sz w:val="21"/>
                <w:szCs w:val="21"/>
              </w:rPr>
            </w:pPr>
            <w:r>
              <w:rPr>
                <w:rFonts w:hint="eastAsia"/>
                <w:sz w:val="21"/>
                <w:szCs w:val="21"/>
              </w:rPr>
              <w:t>环保投资</w:t>
            </w:r>
          </w:p>
        </w:tc>
        <w:tc>
          <w:tcPr>
            <w:tcW w:w="2164" w:type="dxa"/>
            <w:vAlign w:val="center"/>
          </w:tcPr>
          <w:p>
            <w:pPr>
              <w:spacing w:line="240" w:lineRule="auto"/>
              <w:ind w:firstLine="0" w:firstLineChars="0"/>
              <w:jc w:val="center"/>
              <w:rPr>
                <w:sz w:val="21"/>
                <w:szCs w:val="21"/>
              </w:rPr>
            </w:pPr>
            <w:r>
              <w:rPr>
                <w:rFonts w:hint="eastAsia"/>
                <w:sz w:val="21"/>
                <w:szCs w:val="21"/>
              </w:rPr>
              <w:t>10万元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占地面积</w:t>
            </w:r>
          </w:p>
        </w:tc>
        <w:tc>
          <w:tcPr>
            <w:tcW w:w="2370" w:type="dxa"/>
            <w:vAlign w:val="center"/>
          </w:tcPr>
          <w:p>
            <w:pPr>
              <w:spacing w:line="240" w:lineRule="auto"/>
              <w:ind w:firstLine="0" w:firstLineChars="0"/>
              <w:jc w:val="center"/>
              <w:rPr>
                <w:sz w:val="21"/>
                <w:szCs w:val="21"/>
              </w:rPr>
            </w:pPr>
            <w:r>
              <w:rPr>
                <w:rFonts w:hint="eastAsia"/>
                <w:sz w:val="21"/>
                <w:szCs w:val="21"/>
              </w:rPr>
              <w:t>3000平方米</w:t>
            </w:r>
          </w:p>
        </w:tc>
        <w:tc>
          <w:tcPr>
            <w:tcW w:w="2065" w:type="dxa"/>
            <w:gridSpan w:val="2"/>
            <w:vAlign w:val="center"/>
          </w:tcPr>
          <w:p>
            <w:pPr>
              <w:spacing w:line="240" w:lineRule="auto"/>
              <w:ind w:firstLine="0" w:firstLineChars="0"/>
              <w:jc w:val="center"/>
              <w:rPr>
                <w:sz w:val="21"/>
                <w:szCs w:val="21"/>
              </w:rPr>
            </w:pPr>
            <w:r>
              <w:rPr>
                <w:rFonts w:hint="eastAsia"/>
                <w:sz w:val="21"/>
                <w:szCs w:val="21"/>
              </w:rPr>
              <w:t>总建筑面积</w:t>
            </w:r>
          </w:p>
        </w:tc>
        <w:tc>
          <w:tcPr>
            <w:tcW w:w="2164" w:type="dxa"/>
            <w:vAlign w:val="center"/>
          </w:tcPr>
          <w:p>
            <w:pPr>
              <w:spacing w:line="240" w:lineRule="auto"/>
              <w:ind w:firstLine="0" w:firstLineChars="0"/>
              <w:jc w:val="center"/>
              <w:rPr>
                <w:sz w:val="21"/>
                <w:szCs w:val="21"/>
              </w:rPr>
            </w:pPr>
            <w:r>
              <w:rPr>
                <w:rFonts w:hint="eastAsia"/>
                <w:sz w:val="21"/>
                <w:szCs w:val="21"/>
              </w:rPr>
              <w:t>3000平方米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1923" w:type="dxa"/>
            <w:vAlign w:val="center"/>
          </w:tcPr>
          <w:p>
            <w:pPr>
              <w:spacing w:line="240" w:lineRule="auto"/>
              <w:ind w:firstLine="0" w:firstLineChars="0"/>
              <w:jc w:val="center"/>
              <w:rPr>
                <w:sz w:val="21"/>
                <w:szCs w:val="21"/>
              </w:rPr>
            </w:pPr>
            <w:r>
              <w:rPr>
                <w:rFonts w:hint="eastAsia"/>
                <w:sz w:val="21"/>
                <w:szCs w:val="21"/>
              </w:rPr>
              <w:t>开工时间</w:t>
            </w:r>
          </w:p>
        </w:tc>
        <w:tc>
          <w:tcPr>
            <w:tcW w:w="2370" w:type="dxa"/>
            <w:vAlign w:val="center"/>
          </w:tcPr>
          <w:p>
            <w:pPr>
              <w:spacing w:line="240" w:lineRule="auto"/>
              <w:ind w:firstLine="0" w:firstLineChars="0"/>
              <w:jc w:val="center"/>
              <w:rPr>
                <w:sz w:val="21"/>
                <w:szCs w:val="21"/>
              </w:rPr>
            </w:pPr>
            <w:r>
              <w:rPr>
                <w:rFonts w:hint="eastAsia"/>
                <w:sz w:val="21"/>
                <w:szCs w:val="21"/>
              </w:rPr>
              <w:t>2020年10月</w:t>
            </w:r>
          </w:p>
        </w:tc>
        <w:tc>
          <w:tcPr>
            <w:tcW w:w="2065" w:type="dxa"/>
            <w:gridSpan w:val="2"/>
            <w:vAlign w:val="center"/>
          </w:tcPr>
          <w:p>
            <w:pPr>
              <w:spacing w:line="240" w:lineRule="auto"/>
              <w:ind w:firstLine="0" w:firstLineChars="0"/>
              <w:jc w:val="center"/>
              <w:rPr>
                <w:sz w:val="21"/>
                <w:szCs w:val="21"/>
              </w:rPr>
            </w:pPr>
            <w:r>
              <w:rPr>
                <w:rFonts w:hint="eastAsia"/>
                <w:sz w:val="21"/>
                <w:szCs w:val="21"/>
              </w:rPr>
              <w:t>试运行时间</w:t>
            </w:r>
          </w:p>
        </w:tc>
        <w:tc>
          <w:tcPr>
            <w:tcW w:w="2164" w:type="dxa"/>
            <w:vAlign w:val="center"/>
          </w:tcPr>
          <w:p>
            <w:pPr>
              <w:spacing w:line="240" w:lineRule="auto"/>
              <w:ind w:firstLine="0" w:firstLineChars="0"/>
              <w:jc w:val="center"/>
              <w:rPr>
                <w:sz w:val="21"/>
                <w:szCs w:val="21"/>
              </w:rPr>
            </w:pPr>
            <w:r>
              <w:rPr>
                <w:rFonts w:hint="eastAsia"/>
                <w:sz w:val="21"/>
                <w:szCs w:val="21"/>
              </w:rPr>
              <w:t>2021年3月</w:t>
            </w:r>
          </w:p>
        </w:tc>
      </w:tr>
    </w:tbl>
    <w:p>
      <w:pPr>
        <w:pStyle w:val="3"/>
      </w:pPr>
      <w:bookmarkStart w:id="15" w:name="_Toc72396066"/>
      <w:bookmarkStart w:id="16" w:name="_Toc531082147"/>
      <w:r>
        <w:rPr>
          <w:rFonts w:hint="eastAsia"/>
        </w:rPr>
        <w:t>3.2地理位置及平面布置</w:t>
      </w:r>
      <w:bookmarkEnd w:id="15"/>
      <w:bookmarkEnd w:id="16"/>
    </w:p>
    <w:p>
      <w:pPr>
        <w:pStyle w:val="66"/>
        <w:spacing w:line="360" w:lineRule="auto"/>
        <w:ind w:firstLine="480"/>
        <w:rPr>
          <w:rFonts w:eastAsiaTheme="minorEastAsia" w:cstheme="minorBidi"/>
          <w:kern w:val="2"/>
          <w:szCs w:val="22"/>
        </w:rPr>
      </w:pPr>
      <w:r>
        <w:rPr>
          <w:rFonts w:hint="eastAsia"/>
          <w:szCs w:val="24"/>
        </w:rPr>
        <w:t>广东玉塑管道有限公司</w:t>
      </w:r>
      <w:r>
        <w:rPr>
          <w:rFonts w:hint="eastAsia" w:hAnsiTheme="minorEastAsia"/>
          <w:szCs w:val="24"/>
        </w:rPr>
        <w:t>投资300万元建设“</w:t>
      </w:r>
      <w:r>
        <w:rPr>
          <w:rFonts w:hint="eastAsia"/>
          <w:szCs w:val="24"/>
        </w:rPr>
        <w:t>广东玉塑管道有限公司年产5000吨PVC管材建设项目</w:t>
      </w:r>
      <w:r>
        <w:rPr>
          <w:rFonts w:hint="eastAsia" w:hAnsiTheme="minorEastAsia"/>
          <w:szCs w:val="24"/>
        </w:rPr>
        <w:t>”</w:t>
      </w:r>
      <w:r>
        <w:rPr>
          <w:rFonts w:hint="eastAsia"/>
          <w:szCs w:val="24"/>
        </w:rPr>
        <w:t>，</w:t>
      </w:r>
      <w:r>
        <w:rPr>
          <w:rFonts w:hAnsiTheme="minorEastAsia"/>
          <w:szCs w:val="24"/>
        </w:rPr>
        <w:t>本项目位于</w:t>
      </w:r>
      <w:r>
        <w:rPr>
          <w:rFonts w:hint="eastAsia"/>
          <w:szCs w:val="24"/>
        </w:rPr>
        <w:t>梅州市梅县区白渡镇沙坪村三丫塘A栋1号</w:t>
      </w:r>
      <w:r>
        <w:rPr>
          <w:rFonts w:hAnsiTheme="minorEastAsia"/>
          <w:szCs w:val="24"/>
        </w:rPr>
        <w:t>（坐标：</w:t>
      </w:r>
      <w:r>
        <w:rPr>
          <w:rFonts w:hint="eastAsia"/>
          <w:szCs w:val="24"/>
        </w:rPr>
        <w:t>北纬N24°29'26.26"东经E116°11'17.72"</w:t>
      </w:r>
      <w:r>
        <w:rPr>
          <w:rFonts w:hAnsiTheme="minorEastAsia"/>
          <w:szCs w:val="24"/>
        </w:rPr>
        <w:t>），</w:t>
      </w:r>
      <w:r>
        <w:rPr>
          <w:rFonts w:hint="eastAsia" w:hAnsiTheme="minorEastAsia"/>
          <w:szCs w:val="24"/>
        </w:rPr>
        <w:t>占地面积3000</w:t>
      </w:r>
      <w:r>
        <w:rPr>
          <w:rFonts w:hint="eastAsia"/>
          <w:szCs w:val="24"/>
        </w:rPr>
        <w:t>m</w:t>
      </w:r>
      <w:r>
        <w:rPr>
          <w:rFonts w:hint="eastAsia"/>
          <w:szCs w:val="24"/>
          <w:vertAlign w:val="superscript"/>
        </w:rPr>
        <w:t>2</w:t>
      </w:r>
      <w:r>
        <w:rPr>
          <w:rFonts w:hAnsiTheme="minorEastAsia"/>
          <w:szCs w:val="24"/>
        </w:rPr>
        <w:t>，</w:t>
      </w:r>
      <w:r>
        <w:rPr>
          <w:rFonts w:hint="eastAsia" w:hAnsiTheme="minorEastAsia"/>
          <w:szCs w:val="24"/>
        </w:rPr>
        <w:t>建筑面积3000</w:t>
      </w:r>
      <w:r>
        <w:rPr>
          <w:rFonts w:hint="eastAsia"/>
          <w:szCs w:val="24"/>
        </w:rPr>
        <w:t>m</w:t>
      </w:r>
      <w:r>
        <w:rPr>
          <w:szCs w:val="24"/>
          <w:vertAlign w:val="superscript"/>
        </w:rPr>
        <w:t>2</w:t>
      </w:r>
      <w:r>
        <w:rPr>
          <w:rFonts w:hAnsiTheme="minorEastAsia"/>
          <w:szCs w:val="24"/>
        </w:rPr>
        <w:t>，</w:t>
      </w:r>
      <w:r>
        <w:rPr>
          <w:rFonts w:hint="eastAsia" w:hAnsiTheme="minorEastAsia"/>
          <w:szCs w:val="24"/>
        </w:rPr>
        <w:t>建筑</w:t>
      </w:r>
      <w:r>
        <w:rPr>
          <w:rFonts w:hAnsiTheme="minorEastAsia"/>
          <w:szCs w:val="24"/>
        </w:rPr>
        <w:t>主要</w:t>
      </w:r>
      <w:r>
        <w:rPr>
          <w:rFonts w:hint="eastAsia" w:hAnsiTheme="minorEastAsia"/>
          <w:szCs w:val="24"/>
        </w:rPr>
        <w:t>分为四个区域，分别</w:t>
      </w:r>
      <w:r>
        <w:rPr>
          <w:rFonts w:hAnsiTheme="minorEastAsia"/>
          <w:szCs w:val="24"/>
        </w:rPr>
        <w:t>包括：</w:t>
      </w:r>
      <w:r>
        <w:rPr>
          <w:rFonts w:hint="eastAsia" w:hAnsiTheme="minorEastAsia"/>
          <w:szCs w:val="24"/>
        </w:rPr>
        <w:t>原料区、生产区、产品区、配件区以及办公区。</w:t>
      </w:r>
      <w:r>
        <w:rPr>
          <w:rFonts w:hint="eastAsia" w:hAnsiTheme="minorEastAsia"/>
          <w:bCs/>
          <w:szCs w:val="24"/>
        </w:rPr>
        <w:t>招员工20人</w:t>
      </w:r>
      <w:r>
        <w:rPr>
          <w:rFonts w:hAnsiTheme="minorEastAsia"/>
          <w:bCs/>
          <w:szCs w:val="24"/>
        </w:rPr>
        <w:t>，</w:t>
      </w:r>
      <w:r>
        <w:rPr>
          <w:rFonts w:hint="eastAsia" w:hAnsiTheme="minorEastAsia"/>
          <w:bCs/>
          <w:szCs w:val="24"/>
        </w:rPr>
        <w:t>项目厂区建成后</w:t>
      </w:r>
      <w:r>
        <w:rPr>
          <w:rFonts w:hint="eastAsia"/>
          <w:szCs w:val="24"/>
        </w:rPr>
        <w:t>年产5000吨PVC管材</w:t>
      </w:r>
      <w:r>
        <w:rPr>
          <w:rFonts w:hint="eastAsia"/>
          <w:bCs/>
        </w:rPr>
        <w:t>。项目</w:t>
      </w:r>
      <w:r>
        <w:rPr>
          <w:rFonts w:hint="eastAsia"/>
        </w:rPr>
        <w:t>北面是其他企业，南面和西面是空地，东面是道路。</w:t>
      </w:r>
      <w:r>
        <w:rPr>
          <w:rFonts w:hint="eastAsia" w:hAnsi="宋体"/>
          <w:kern w:val="18"/>
        </w:rPr>
        <w:t>项目所在的区域没有重要的名胜古迹、旅游景点和自然保护区、文化遗产、学校、医院等敏感点。</w:t>
      </w:r>
    </w:p>
    <w:p>
      <w:pPr>
        <w:ind w:firstLine="480"/>
      </w:pPr>
      <w:r>
        <w:rPr>
          <w:rFonts w:hint="eastAsia"/>
        </w:rPr>
        <w:t>项目具体地理位置图见图</w:t>
      </w:r>
      <w:r>
        <w:rPr>
          <w:rFonts w:cs="Times New Roman"/>
        </w:rPr>
        <w:t>3.2-1</w:t>
      </w:r>
      <w:r>
        <w:rPr>
          <w:rFonts w:hint="eastAsia"/>
        </w:rPr>
        <w:t>。</w:t>
      </w:r>
    </w:p>
    <w:p>
      <w:pPr>
        <w:ind w:firstLine="480"/>
      </w:pPr>
    </w:p>
    <w:p>
      <w:pPr>
        <w:ind w:firstLine="480"/>
      </w:pPr>
    </w:p>
    <w:p>
      <w:pPr>
        <w:ind w:firstLine="480"/>
      </w:pPr>
    </w:p>
    <w:p>
      <w:pPr>
        <w:ind w:firstLine="480"/>
      </w:pPr>
    </w:p>
    <w:p>
      <w:pPr>
        <w:ind w:firstLine="480"/>
      </w:pPr>
    </w:p>
    <w:p>
      <w:pPr>
        <w:ind w:firstLine="480"/>
      </w:pPr>
    </w:p>
    <w:p>
      <w:pPr>
        <w:ind w:firstLine="480"/>
        <w:sectPr>
          <w:footerReference r:id="rId9" w:type="default"/>
          <w:pgSz w:w="11906" w:h="16838"/>
          <w:pgMar w:top="1440" w:right="1416" w:bottom="1440" w:left="1560" w:header="992" w:footer="758" w:gutter="0"/>
          <w:pgNumType w:start="1"/>
          <w:cols w:space="425" w:num="1"/>
          <w:docGrid w:type="lines" w:linePitch="326" w:charSpace="0"/>
        </w:sectPr>
      </w:pPr>
    </w:p>
    <w:p>
      <w:pPr>
        <w:ind w:firstLine="0" w:firstLineChars="0"/>
        <w:jc w:val="center"/>
        <w:rPr>
          <w:b/>
        </w:rPr>
      </w:pPr>
      <w:r>
        <w:rPr>
          <w:b/>
        </w:rPr>
        <w:pict>
          <v:shape id="_x0000_s1027" o:spid="_x0000_s1027" o:spt="12" type="#_x0000_t12" style="position:absolute;left:0pt;margin-left:379.5pt;margin-top:216pt;height:9.75pt;width:13.5pt;z-index:251676672;mso-width-relative:page;mso-height-relative:page;" fillcolor="#FF0000" filled="t" coordsize="21600,21600">
            <v:path/>
            <v:fill on="t" focussize="0,0"/>
            <v:stroke joinstyle="miter"/>
            <v:imagedata o:title=""/>
            <o:lock v:ext="edit"/>
          </v:shape>
        </w:pict>
      </w:r>
      <w:r>
        <w:rPr>
          <w:b/>
        </w:rPr>
        <w:pict>
          <v:shape id="自选图形 49" o:spid="_x0000_s1026" o:spt="62" type="#_x0000_t62" style="position:absolute;left:0pt;flip:y;margin-left:393pt;margin-top:166.5pt;height:28.65pt;width:93.65pt;z-index:251675648;mso-width-relative:page;mso-height-relative:page;" coordsize="21600,21600" o:gfxdata="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ESy/7ZAAAADAEAAA8AAAAAAAAAAQAgAAAAIgAAAGRycy9kb3du&#10;cmV2LnhtbFBLAQIUABQAAAAIAIdO4kAdxJJbNwIAAHkEAAAOAAAAAAAAAAEAIAAAACgBAABkcnMv&#10;ZTJvRG9jLnhtbFBLBQYAAAAABgAGAFkBAADRBQAAAAA=&#10;" adj="-692,-17605,14400">
            <v:path/>
            <v:fill focussize="0,0"/>
            <v:stroke joinstyle="miter"/>
            <v:imagedata o:title=""/>
            <o:lock v:ext="edit"/>
            <v:textbox>
              <w:txbxContent>
                <w:p>
                  <w:pPr>
                    <w:ind w:firstLine="0" w:firstLineChars="0"/>
                  </w:pPr>
                  <w:r>
                    <w:rPr>
                      <w:rFonts w:hint="eastAsia"/>
                    </w:rPr>
                    <w:t>项目所在地</w:t>
                  </w:r>
                </w:p>
              </w:txbxContent>
            </v:textbox>
          </v:shape>
        </w:pict>
      </w:r>
      <w:r>
        <w:rPr>
          <w:b/>
        </w:rPr>
        <w:drawing>
          <wp:anchor distT="0" distB="0" distL="114300" distR="114300" simplePos="0" relativeHeight="251674624" behindDoc="0" locked="0" layoutInCell="1" allowOverlap="1">
            <wp:simplePos x="0" y="0"/>
            <wp:positionH relativeFrom="column">
              <wp:posOffset>8077200</wp:posOffset>
            </wp:positionH>
            <wp:positionV relativeFrom="paragraph">
              <wp:posOffset>38100</wp:posOffset>
            </wp:positionV>
            <wp:extent cx="552450" cy="695325"/>
            <wp:effectExtent l="19050" t="0" r="0" b="0"/>
            <wp:wrapNone/>
            <wp:docPr id="36" name="图片 12"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风玫瑰"/>
                    <pic:cNvPicPr>
                      <a:picLocks noChangeAspect="1" noChangeArrowheads="1"/>
                    </pic:cNvPicPr>
                  </pic:nvPicPr>
                  <pic:blipFill>
                    <a:blip r:embed="rId15" cstate="print"/>
                    <a:srcRect/>
                    <a:stretch>
                      <a:fillRect/>
                    </a:stretch>
                  </pic:blipFill>
                  <pic:spPr>
                    <a:xfrm>
                      <a:off x="0" y="0"/>
                      <a:ext cx="552450" cy="695325"/>
                    </a:xfrm>
                    <a:prstGeom prst="rect">
                      <a:avLst/>
                    </a:prstGeom>
                    <a:noFill/>
                    <a:ln w="9525">
                      <a:noFill/>
                      <a:miter lim="800000"/>
                      <a:headEnd/>
                      <a:tailEnd/>
                    </a:ln>
                  </pic:spPr>
                </pic:pic>
              </a:graphicData>
            </a:graphic>
          </wp:anchor>
        </w:drawing>
      </w:r>
      <w:r>
        <w:rPr>
          <w:b/>
        </w:rPr>
        <w:drawing>
          <wp:inline distT="0" distB="0" distL="0" distR="0">
            <wp:extent cx="8372475" cy="530860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6" cstate="print"/>
                    <a:srcRect/>
                    <a:stretch>
                      <a:fillRect/>
                    </a:stretch>
                  </pic:blipFill>
                  <pic:spPr>
                    <a:xfrm>
                      <a:off x="0" y="0"/>
                      <a:ext cx="8371539" cy="5308365"/>
                    </a:xfrm>
                    <a:prstGeom prst="rect">
                      <a:avLst/>
                    </a:prstGeom>
                    <a:noFill/>
                    <a:ln w="9525">
                      <a:noFill/>
                      <a:miter lim="800000"/>
                      <a:headEnd/>
                      <a:tailEnd/>
                    </a:ln>
                  </pic:spPr>
                </pic:pic>
              </a:graphicData>
            </a:graphic>
          </wp:inline>
        </w:drawing>
      </w:r>
    </w:p>
    <w:p>
      <w:pPr>
        <w:ind w:firstLine="0" w:firstLineChars="0"/>
        <w:jc w:val="center"/>
        <w:rPr>
          <w:b/>
        </w:rPr>
        <w:sectPr>
          <w:pgSz w:w="16838" w:h="11906" w:orient="landscape"/>
          <w:pgMar w:top="1560" w:right="1440" w:bottom="1416" w:left="1440" w:header="992" w:footer="758" w:gutter="0"/>
          <w:cols w:space="425" w:num="1"/>
          <w:docGrid w:type="lines" w:linePitch="326" w:charSpace="0"/>
        </w:sectPr>
      </w:pPr>
      <w:r>
        <w:rPr>
          <w:rFonts w:hint="eastAsia"/>
          <w:b/>
        </w:rPr>
        <w:t>图3.2-1项目地理位置图</w:t>
      </w:r>
    </w:p>
    <w:p>
      <w:pPr>
        <w:pStyle w:val="3"/>
        <w:rPr>
          <w:szCs w:val="21"/>
        </w:rPr>
      </w:pPr>
      <w:bookmarkStart w:id="17" w:name="_Toc531082148"/>
      <w:bookmarkStart w:id="18" w:name="_Toc72396067"/>
      <w:r>
        <w:t>3.</w:t>
      </w:r>
      <w:r>
        <w:rPr>
          <w:rFonts w:hint="eastAsia"/>
        </w:rPr>
        <w:t>3</w:t>
      </w:r>
      <w:r>
        <w:rPr>
          <w:rFonts w:hAnsiTheme="minorEastAsia"/>
        </w:rPr>
        <w:t>建设内容</w:t>
      </w:r>
      <w:bookmarkEnd w:id="17"/>
      <w:r>
        <w:drawing>
          <wp:anchor distT="0" distB="0" distL="114300" distR="114300" simplePos="0" relativeHeight="251670528" behindDoc="0" locked="0" layoutInCell="1" allowOverlap="1">
            <wp:simplePos x="0" y="0"/>
            <wp:positionH relativeFrom="column">
              <wp:posOffset>8282940</wp:posOffset>
            </wp:positionH>
            <wp:positionV relativeFrom="paragraph">
              <wp:posOffset>-2540</wp:posOffset>
            </wp:positionV>
            <wp:extent cx="552450" cy="695325"/>
            <wp:effectExtent l="19050" t="0" r="0" b="0"/>
            <wp:wrapNone/>
            <wp:docPr id="5" name="图片 12"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风玫瑰"/>
                    <pic:cNvPicPr>
                      <a:picLocks noChangeAspect="1" noChangeArrowheads="1"/>
                    </pic:cNvPicPr>
                  </pic:nvPicPr>
                  <pic:blipFill>
                    <a:blip r:embed="rId15" cstate="print"/>
                    <a:srcRect/>
                    <a:stretch>
                      <a:fillRect/>
                    </a:stretch>
                  </pic:blipFill>
                  <pic:spPr>
                    <a:xfrm>
                      <a:off x="0" y="0"/>
                      <a:ext cx="552450" cy="695325"/>
                    </a:xfrm>
                    <a:prstGeom prst="rect">
                      <a:avLst/>
                    </a:prstGeom>
                    <a:noFill/>
                    <a:ln w="9525">
                      <a:noFill/>
                      <a:miter lim="800000"/>
                      <a:headEnd/>
                      <a:tailEnd/>
                    </a:ln>
                  </pic:spPr>
                </pic:pic>
              </a:graphicData>
            </a:graphic>
          </wp:anchor>
        </w:drawing>
      </w:r>
      <w:bookmarkEnd w:id="18"/>
    </w:p>
    <w:p>
      <w:pPr>
        <w:ind w:firstLine="480"/>
      </w:pPr>
      <w:r>
        <w:rPr>
          <w:rFonts w:hint="eastAsia" w:cs="Times New Roman" w:hAnsiTheme="minorEastAsia"/>
          <w:szCs w:val="28"/>
        </w:rPr>
        <w:t>本项目占地面积3000</w:t>
      </w:r>
      <w:r>
        <w:rPr>
          <w:rFonts w:hint="eastAsia" w:cs="Times New Roman"/>
          <w:szCs w:val="28"/>
        </w:rPr>
        <w:t>m</w:t>
      </w:r>
      <w:r>
        <w:rPr>
          <w:rFonts w:hint="eastAsia" w:cs="Times New Roman"/>
          <w:szCs w:val="28"/>
          <w:vertAlign w:val="superscript"/>
        </w:rPr>
        <w:t>2</w:t>
      </w:r>
      <w:r>
        <w:rPr>
          <w:rFonts w:cs="Times New Roman" w:hAnsiTheme="minorEastAsia"/>
          <w:szCs w:val="28"/>
        </w:rPr>
        <w:t>，</w:t>
      </w:r>
      <w:r>
        <w:rPr>
          <w:rFonts w:hint="eastAsia" w:cs="Times New Roman" w:hAnsiTheme="minorEastAsia"/>
          <w:szCs w:val="28"/>
        </w:rPr>
        <w:t>建筑面积3000</w:t>
      </w:r>
      <w:r>
        <w:rPr>
          <w:rFonts w:hint="eastAsia" w:cs="Times New Roman"/>
          <w:szCs w:val="28"/>
        </w:rPr>
        <w:t>m</w:t>
      </w:r>
      <w:r>
        <w:rPr>
          <w:rFonts w:cs="Times New Roman"/>
          <w:szCs w:val="28"/>
          <w:vertAlign w:val="superscript"/>
        </w:rPr>
        <w:t>2</w:t>
      </w:r>
      <w:r>
        <w:rPr>
          <w:rFonts w:cs="Times New Roman" w:hAnsiTheme="minorEastAsia"/>
          <w:szCs w:val="28"/>
        </w:rPr>
        <w:t>，</w:t>
      </w:r>
      <w:r>
        <w:rPr>
          <w:rFonts w:hint="eastAsia" w:cs="Times New Roman" w:hAnsiTheme="minorEastAsia"/>
          <w:szCs w:val="28"/>
        </w:rPr>
        <w:t>建筑</w:t>
      </w:r>
      <w:r>
        <w:rPr>
          <w:rFonts w:cs="Times New Roman" w:hAnsiTheme="minorEastAsia"/>
          <w:szCs w:val="28"/>
        </w:rPr>
        <w:t>主要</w:t>
      </w:r>
      <w:r>
        <w:rPr>
          <w:rFonts w:hint="eastAsia" w:cs="Times New Roman" w:hAnsiTheme="minorEastAsia"/>
          <w:szCs w:val="28"/>
        </w:rPr>
        <w:t>分为四个区域，分别</w:t>
      </w:r>
      <w:r>
        <w:rPr>
          <w:rFonts w:cs="Times New Roman" w:hAnsiTheme="minorEastAsia"/>
          <w:szCs w:val="28"/>
        </w:rPr>
        <w:t>包括：</w:t>
      </w:r>
      <w:r>
        <w:rPr>
          <w:rFonts w:hint="eastAsia" w:cs="Times New Roman" w:hAnsiTheme="minorEastAsia"/>
          <w:szCs w:val="28"/>
        </w:rPr>
        <w:t>原料区、生产区、产品区、配件区以及办公区。</w:t>
      </w:r>
      <w:r>
        <w:rPr>
          <w:rFonts w:hint="eastAsia" w:cs="Times New Roman" w:hAnsiTheme="minorEastAsia"/>
          <w:bCs/>
          <w:szCs w:val="28"/>
        </w:rPr>
        <w:t>招员工20人</w:t>
      </w:r>
      <w:r>
        <w:rPr>
          <w:rFonts w:cs="Times New Roman" w:hAnsiTheme="minorEastAsia"/>
          <w:bCs/>
          <w:szCs w:val="28"/>
        </w:rPr>
        <w:t>，</w:t>
      </w:r>
      <w:r>
        <w:rPr>
          <w:rFonts w:hint="eastAsia" w:cs="Times New Roman"/>
        </w:rPr>
        <w:t>年产5000吨PVC管材</w:t>
      </w:r>
      <w:r>
        <w:rPr>
          <w:rFonts w:hint="eastAsia"/>
          <w:color w:val="000000"/>
          <w:szCs w:val="24"/>
        </w:rPr>
        <w:t>。</w:t>
      </w:r>
      <w:r>
        <w:rPr>
          <w:rFonts w:hint="eastAsia"/>
        </w:rPr>
        <w:t>主要设备详见表3.3-1。</w:t>
      </w:r>
    </w:p>
    <w:p>
      <w:pPr>
        <w:ind w:firstLine="0" w:firstLineChars="0"/>
        <w:jc w:val="center"/>
        <w:rPr>
          <w:b/>
        </w:rPr>
      </w:pPr>
      <w:r>
        <w:rPr>
          <w:rFonts w:hint="eastAsia"/>
          <w:b/>
        </w:rPr>
        <w:t>表</w:t>
      </w:r>
      <w:r>
        <w:rPr>
          <w:rFonts w:cs="Times New Roman"/>
          <w:b/>
        </w:rPr>
        <w:t>3.3-1</w:t>
      </w:r>
      <w:r>
        <w:rPr>
          <w:rFonts w:hint="eastAsia"/>
          <w:b/>
        </w:rPr>
        <w:t>主要设备情况表</w:t>
      </w:r>
    </w:p>
    <w:tbl>
      <w:tblPr>
        <w:tblStyle w:val="25"/>
        <w:tblW w:w="7571" w:type="dxa"/>
        <w:jc w:val="center"/>
        <w:tblInd w:w="2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59"/>
        <w:gridCol w:w="1205"/>
        <w:gridCol w:w="1205"/>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exact"/>
          <w:jc w:val="center"/>
        </w:trPr>
        <w:tc>
          <w:tcPr>
            <w:tcW w:w="70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宋体" w:cs="Times New Roman"/>
                <w:color w:val="000000"/>
                <w:szCs w:val="21"/>
              </w:rPr>
              <w:t>序号</w:t>
            </w:r>
          </w:p>
        </w:tc>
        <w:tc>
          <w:tcPr>
            <w:tcW w:w="175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设备名称</w:t>
            </w:r>
          </w:p>
        </w:tc>
        <w:tc>
          <w:tcPr>
            <w:tcW w:w="1205" w:type="dxa"/>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单位</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环评数量</w:t>
            </w:r>
          </w:p>
        </w:tc>
        <w:tc>
          <w:tcPr>
            <w:tcW w:w="1276"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实际数量</w:t>
            </w:r>
          </w:p>
        </w:tc>
        <w:tc>
          <w:tcPr>
            <w:tcW w:w="1417"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宋体" w:cs="Times New Roman"/>
                <w:color w:val="000000"/>
                <w:szCs w:val="21"/>
              </w:rPr>
              <w:t>与环评比较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exact"/>
          <w:jc w:val="center"/>
        </w:trPr>
        <w:tc>
          <w:tcPr>
            <w:tcW w:w="70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759"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80机挤出机</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套</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w:t>
            </w:r>
          </w:p>
        </w:tc>
        <w:tc>
          <w:tcPr>
            <w:tcW w:w="1276"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w:t>
            </w:r>
          </w:p>
        </w:tc>
        <w:tc>
          <w:tcPr>
            <w:tcW w:w="1417"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exact"/>
          <w:jc w:val="center"/>
        </w:trPr>
        <w:tc>
          <w:tcPr>
            <w:tcW w:w="70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759"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65机挤出机</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套</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4</w:t>
            </w:r>
          </w:p>
        </w:tc>
        <w:tc>
          <w:tcPr>
            <w:tcW w:w="1276"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4</w:t>
            </w:r>
          </w:p>
        </w:tc>
        <w:tc>
          <w:tcPr>
            <w:tcW w:w="1417"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exact"/>
          <w:jc w:val="center"/>
        </w:trPr>
        <w:tc>
          <w:tcPr>
            <w:tcW w:w="70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759"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搅拌机</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台</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2</w:t>
            </w:r>
          </w:p>
        </w:tc>
        <w:tc>
          <w:tcPr>
            <w:tcW w:w="1276"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2</w:t>
            </w:r>
          </w:p>
        </w:tc>
        <w:tc>
          <w:tcPr>
            <w:tcW w:w="1417"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exact"/>
          <w:jc w:val="center"/>
        </w:trPr>
        <w:tc>
          <w:tcPr>
            <w:tcW w:w="709"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1759"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破碎机</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台</w:t>
            </w:r>
          </w:p>
        </w:tc>
        <w:tc>
          <w:tcPr>
            <w:tcW w:w="1205"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w:t>
            </w:r>
          </w:p>
        </w:tc>
        <w:tc>
          <w:tcPr>
            <w:tcW w:w="1276" w:type="dxa"/>
            <w:vAlign w:val="center"/>
          </w:tcPr>
          <w:p>
            <w:pPr>
              <w:pStyle w:val="8"/>
              <w:snapToGrid w:val="0"/>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w:t>
            </w:r>
          </w:p>
        </w:tc>
        <w:tc>
          <w:tcPr>
            <w:tcW w:w="1417" w:type="dxa"/>
            <w:vAlign w:val="center"/>
          </w:tcPr>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bl>
    <w:p>
      <w:pPr>
        <w:pStyle w:val="8"/>
        <w:snapToGrid w:val="0"/>
        <w:ind w:firstLine="0" w:firstLineChars="0"/>
        <w:rPr>
          <w:rFonts w:ascii="Times New Roman" w:hAnsi="Times New Roman" w:cs="Times New Roman"/>
          <w:color w:val="000000"/>
          <w:szCs w:val="21"/>
        </w:rPr>
      </w:pPr>
    </w:p>
    <w:p>
      <w:pPr>
        <w:pStyle w:val="3"/>
        <w:rPr>
          <w:szCs w:val="21"/>
        </w:rPr>
      </w:pPr>
      <w:bookmarkStart w:id="19" w:name="_Toc531082149"/>
      <w:bookmarkStart w:id="20" w:name="_Toc72396068"/>
      <w:r>
        <w:t>3.</w:t>
      </w:r>
      <w:r>
        <w:rPr>
          <w:rFonts w:hint="eastAsia"/>
        </w:rPr>
        <w:t>4</w:t>
      </w:r>
      <w:r>
        <w:t>主要原辅材料及</w:t>
      </w:r>
      <w:r>
        <w:rPr>
          <w:rFonts w:hint="eastAsia"/>
        </w:rPr>
        <w:t>能耗</w:t>
      </w:r>
      <w:bookmarkEnd w:id="19"/>
      <w:bookmarkEnd w:id="20"/>
    </w:p>
    <w:p>
      <w:pPr>
        <w:snapToGrid w:val="0"/>
        <w:ind w:firstLine="480"/>
        <w:rPr>
          <w:rFonts w:cs="Times New Roman"/>
        </w:rPr>
      </w:pPr>
      <w:bookmarkStart w:id="21" w:name="_Toc531082150"/>
      <w:r>
        <w:rPr>
          <w:rFonts w:hint="eastAsia"/>
        </w:rPr>
        <w:t>本项目主要原辅材料消耗情况见表3.4-1。</w:t>
      </w:r>
      <w:r>
        <w:rPr>
          <w:rFonts w:cs="Times New Roman"/>
        </w:rPr>
        <w:t>项目供水由市政供水，年用水量约</w:t>
      </w:r>
      <w:r>
        <w:rPr>
          <w:rFonts w:hint="eastAsia" w:cs="Times New Roman"/>
        </w:rPr>
        <w:t>250t</w:t>
      </w:r>
      <w:r>
        <w:rPr>
          <w:rFonts w:cs="Times New Roman"/>
        </w:rPr>
        <w:t>，项目用电</w:t>
      </w:r>
      <w:r>
        <w:rPr>
          <w:rFonts w:hint="eastAsia" w:cs="Times New Roman"/>
        </w:rPr>
        <w:t>由</w:t>
      </w:r>
      <w:r>
        <w:rPr>
          <w:rFonts w:cs="Times New Roman"/>
        </w:rPr>
        <w:t>市政供电</w:t>
      </w:r>
      <w:r>
        <w:rPr>
          <w:rFonts w:hint="eastAsia" w:cs="Times New Roman"/>
        </w:rPr>
        <w:t>，年用电量约12万度。</w:t>
      </w:r>
    </w:p>
    <w:p>
      <w:pPr>
        <w:ind w:firstLine="0" w:firstLineChars="0"/>
        <w:jc w:val="center"/>
        <w:rPr>
          <w:b/>
        </w:rPr>
      </w:pPr>
      <w:r>
        <w:rPr>
          <w:rFonts w:hint="eastAsia"/>
          <w:b/>
        </w:rPr>
        <w:t>表3.4-1 主要原辅材料消耗情况表</w:t>
      </w:r>
    </w:p>
    <w:tbl>
      <w:tblPr>
        <w:tblStyle w:val="25"/>
        <w:tblW w:w="7320" w:type="dxa"/>
        <w:jc w:val="center"/>
        <w:tblInd w:w="1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499"/>
        <w:gridCol w:w="1276"/>
        <w:gridCol w:w="1276"/>
        <w:gridCol w:w="1122"/>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序号</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材料名称</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环评</w:t>
            </w:r>
            <w:r>
              <w:rPr>
                <w:rFonts w:ascii="Times New Roman" w:hAnsi="宋体" w:cs="Times New Roman"/>
                <w:color w:val="000000"/>
                <w:szCs w:val="21"/>
              </w:rPr>
              <w:t>数量</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实际数量</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备注</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与环评比较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1</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PVC树脂粉</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2400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2400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2</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钙粉</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2500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2500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3</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稳定剂</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50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50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4</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石脂</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25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25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5</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硬脂酸</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10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10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6</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CPE</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15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15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3"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7</w:t>
            </w:r>
          </w:p>
        </w:tc>
        <w:tc>
          <w:tcPr>
            <w:tcW w:w="1499"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钛白粉</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15 t</w:t>
            </w:r>
            <w:r>
              <w:rPr>
                <w:rFonts w:ascii="Times New Roman" w:hAnsi="宋体" w:cs="Times New Roman"/>
                <w:color w:val="000000"/>
                <w:szCs w:val="21"/>
              </w:rPr>
              <w:t>/</w:t>
            </w:r>
            <w:r>
              <w:rPr>
                <w:rFonts w:hint="eastAsia" w:ascii="Times New Roman" w:hAnsi="宋体" w:cs="Times New Roman"/>
                <w:color w:val="000000"/>
                <w:szCs w:val="21"/>
              </w:rPr>
              <w:t>a</w:t>
            </w:r>
          </w:p>
        </w:tc>
        <w:tc>
          <w:tcPr>
            <w:tcW w:w="1276"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15 t</w:t>
            </w:r>
            <w:r>
              <w:rPr>
                <w:rFonts w:ascii="Times New Roman" w:hAnsi="宋体" w:cs="Times New Roman"/>
                <w:color w:val="000000"/>
                <w:szCs w:val="21"/>
              </w:rPr>
              <w:t>/</w:t>
            </w:r>
            <w:r>
              <w:rPr>
                <w:rFonts w:hint="eastAsia" w:ascii="Times New Roman" w:hAnsi="宋体" w:cs="Times New Roman"/>
                <w:color w:val="000000"/>
                <w:szCs w:val="21"/>
              </w:rPr>
              <w:t>a</w:t>
            </w:r>
          </w:p>
        </w:tc>
        <w:tc>
          <w:tcPr>
            <w:tcW w:w="1122" w:type="dxa"/>
            <w:vAlign w:val="center"/>
          </w:tcPr>
          <w:p>
            <w:pPr>
              <w:pStyle w:val="8"/>
              <w:snapToGrid w:val="0"/>
              <w:ind w:firstLine="0" w:firstLineChars="0"/>
              <w:jc w:val="center"/>
              <w:rPr>
                <w:rFonts w:ascii="Times New Roman" w:hAnsi="宋体" w:cs="Times New Roman"/>
                <w:color w:val="000000"/>
                <w:szCs w:val="21"/>
              </w:rPr>
            </w:pPr>
            <w:r>
              <w:rPr>
                <w:rFonts w:hint="eastAsia" w:ascii="Times New Roman" w:hAnsi="宋体" w:cs="Times New Roman"/>
                <w:color w:val="000000"/>
                <w:szCs w:val="21"/>
              </w:rPr>
              <w:t>外购</w:t>
            </w:r>
          </w:p>
        </w:tc>
        <w:tc>
          <w:tcPr>
            <w:tcW w:w="1304" w:type="dxa"/>
            <w:vAlign w:val="center"/>
          </w:tcPr>
          <w:p>
            <w:pPr>
              <w:pStyle w:val="8"/>
              <w:snapToGrid w:val="0"/>
              <w:ind w:firstLine="0" w:firstLineChars="0"/>
              <w:jc w:val="center"/>
              <w:rPr>
                <w:rFonts w:ascii="Times New Roman" w:hAnsi="宋体" w:cs="Times New Roman"/>
                <w:color w:val="000000"/>
                <w:szCs w:val="21"/>
              </w:rPr>
            </w:pPr>
            <w:r>
              <w:rPr>
                <w:rFonts w:ascii="Times New Roman" w:hAnsi="宋体" w:cs="Times New Roman"/>
                <w:color w:val="000000"/>
                <w:szCs w:val="21"/>
              </w:rPr>
              <w:t>与环评一致</w:t>
            </w:r>
          </w:p>
        </w:tc>
      </w:tr>
    </w:tbl>
    <w:p>
      <w:pPr>
        <w:pStyle w:val="8"/>
        <w:snapToGrid w:val="0"/>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br w:type="page"/>
      </w:r>
    </w:p>
    <w:p>
      <w:pPr>
        <w:pStyle w:val="3"/>
        <w:tabs>
          <w:tab w:val="left" w:pos="4725"/>
        </w:tabs>
        <w:rPr>
          <w:rFonts w:hAnsiTheme="minorEastAsia"/>
        </w:rPr>
      </w:pPr>
      <w:bookmarkStart w:id="22" w:name="_Toc72396069"/>
      <w:r>
        <w:t>3.5</w:t>
      </w:r>
      <w:r>
        <w:rPr>
          <w:rFonts w:hAnsiTheme="minorEastAsia"/>
        </w:rPr>
        <w:t>生产工艺</w:t>
      </w:r>
      <w:bookmarkEnd w:id="21"/>
      <w:bookmarkEnd w:id="22"/>
    </w:p>
    <w:p>
      <w:pPr>
        <w:ind w:firstLine="0" w:firstLineChars="0"/>
      </w:pPr>
      <w:r>
        <w:drawing>
          <wp:inline distT="0" distB="0" distL="114300" distR="114300">
            <wp:extent cx="5274310" cy="2513965"/>
            <wp:effectExtent l="19050" t="0" r="254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cstate="print"/>
                    <a:stretch>
                      <a:fillRect/>
                    </a:stretch>
                  </pic:blipFill>
                  <pic:spPr>
                    <a:xfrm>
                      <a:off x="0" y="0"/>
                      <a:ext cx="5274310" cy="2514040"/>
                    </a:xfrm>
                    <a:prstGeom prst="rect">
                      <a:avLst/>
                    </a:prstGeom>
                    <a:noFill/>
                    <a:ln>
                      <a:noFill/>
                    </a:ln>
                  </pic:spPr>
                </pic:pic>
              </a:graphicData>
            </a:graphic>
          </wp:inline>
        </w:drawing>
      </w:r>
    </w:p>
    <w:p>
      <w:pPr>
        <w:spacing w:beforeLines="50"/>
        <w:ind w:firstLine="482"/>
        <w:jc w:val="center"/>
        <w:rPr>
          <w:rFonts w:ascii="宋体" w:hAnsi="宋体" w:cs="宋体"/>
          <w:b/>
          <w:bCs/>
          <w:color w:val="000000"/>
        </w:rPr>
      </w:pPr>
      <w:r>
        <w:rPr>
          <w:rFonts w:hint="eastAsia" w:ascii="宋体" w:hAnsi="宋体" w:cs="宋体"/>
          <w:b/>
          <w:bCs/>
          <w:color w:val="000000"/>
        </w:rPr>
        <w:t>图</w:t>
      </w:r>
      <w:r>
        <w:rPr>
          <w:rFonts w:cs="Times New Roman"/>
          <w:b/>
          <w:bCs/>
          <w:color w:val="000000"/>
        </w:rPr>
        <w:t xml:space="preserve">3.5-1 </w:t>
      </w:r>
      <w:r>
        <w:rPr>
          <w:rFonts w:hint="eastAsia" w:ascii="宋体" w:hAnsi="宋体" w:cs="宋体"/>
          <w:b/>
          <w:bCs/>
          <w:color w:val="000000"/>
        </w:rPr>
        <w:t xml:space="preserve"> </w:t>
      </w:r>
      <w:r>
        <w:rPr>
          <w:rFonts w:hAnsiTheme="minorEastAsia"/>
          <w:b/>
        </w:rPr>
        <w:t>生产工艺流程图</w:t>
      </w:r>
    </w:p>
    <w:p>
      <w:pPr>
        <w:snapToGrid w:val="0"/>
        <w:ind w:firstLine="482"/>
        <w:rPr>
          <w:b/>
          <w:bCs/>
          <w:color w:val="000000"/>
        </w:rPr>
      </w:pPr>
    </w:p>
    <w:p>
      <w:pPr>
        <w:snapToGrid w:val="0"/>
        <w:ind w:firstLine="482"/>
        <w:rPr>
          <w:b/>
          <w:bCs/>
          <w:color w:val="000000"/>
        </w:rPr>
      </w:pPr>
      <w:r>
        <w:rPr>
          <w:rFonts w:hint="eastAsia"/>
          <w:b/>
          <w:bCs/>
          <w:color w:val="000000"/>
        </w:rPr>
        <w:t>工艺流程说明：</w:t>
      </w:r>
    </w:p>
    <w:p>
      <w:pPr>
        <w:pStyle w:val="18"/>
        <w:adjustRightInd w:val="0"/>
        <w:snapToGrid w:val="0"/>
        <w:ind w:left="0" w:leftChars="0" w:firstLine="480"/>
        <w:rPr>
          <w:rFonts w:cs="Times New Roman"/>
          <w:sz w:val="24"/>
          <w:szCs w:val="22"/>
        </w:rPr>
      </w:pPr>
      <w:r>
        <w:rPr>
          <w:rFonts w:hint="eastAsia" w:cs="Times New Roman"/>
          <w:sz w:val="24"/>
          <w:szCs w:val="22"/>
        </w:rPr>
        <w:t>项目原材料按一定比例配置均匀混合通过加热、挤出、冷却、成型、包装一体机挤出，把成型的半成品按所需要求进行切割后即为成品。</w:t>
      </w: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ind w:firstLine="482"/>
        <w:rPr>
          <w:rFonts w:ascii="宋体" w:hAnsi="宋体" w:cs="宋体"/>
          <w:b/>
          <w:bCs/>
          <w:color w:val="000000"/>
          <w:szCs w:val="24"/>
        </w:rPr>
      </w:pPr>
    </w:p>
    <w:p>
      <w:pPr>
        <w:pStyle w:val="3"/>
        <w:tabs>
          <w:tab w:val="left" w:pos="4725"/>
        </w:tabs>
        <w:rPr>
          <w:szCs w:val="21"/>
        </w:rPr>
      </w:pPr>
      <w:bookmarkStart w:id="23" w:name="_Toc72396070"/>
      <w:r>
        <w:t>3.</w:t>
      </w:r>
      <w:r>
        <w:rPr>
          <w:rFonts w:hint="eastAsia"/>
        </w:rPr>
        <w:t>6</w:t>
      </w:r>
      <w:r>
        <w:rPr>
          <w:rFonts w:hint="eastAsia" w:hAnsiTheme="minorEastAsia"/>
        </w:rPr>
        <w:t>项目变动情况</w:t>
      </w:r>
      <w:bookmarkEnd w:id="23"/>
    </w:p>
    <w:p>
      <w:pPr>
        <w:ind w:firstLine="480"/>
      </w:pPr>
      <w:r>
        <w:rPr>
          <w:rFonts w:hint="eastAsia"/>
        </w:rPr>
        <w:t>项目的生产规模、建设地点、使用功能、生产设施设备、采用的生产工艺与环评一致。</w:t>
      </w:r>
    </w:p>
    <w:p>
      <w:pPr>
        <w:ind w:firstLine="0" w:firstLineChars="0"/>
        <w:jc w:val="center"/>
        <w:rPr>
          <w:b/>
        </w:rPr>
      </w:pPr>
      <w:r>
        <w:rPr>
          <w:rFonts w:hint="eastAsia"/>
          <w:b/>
        </w:rPr>
        <w:t>表3.6-1项目变动情况表</w:t>
      </w:r>
    </w:p>
    <w:tbl>
      <w:tblPr>
        <w:tblStyle w:val="26"/>
        <w:tblW w:w="8530" w:type="dxa"/>
        <w:jc w:val="center"/>
        <w:tblInd w:w="22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4"/>
        <w:gridCol w:w="2127"/>
        <w:gridCol w:w="2126"/>
        <w:gridCol w:w="850"/>
        <w:gridCol w:w="993"/>
        <w:gridCol w:w="13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szCs w:val="21"/>
              </w:rPr>
            </w:pPr>
            <w:r>
              <w:rPr>
                <w:rFonts w:hint="eastAsia"/>
                <w:sz w:val="21"/>
                <w:szCs w:val="21"/>
              </w:rPr>
              <w:t>工程内容</w:t>
            </w:r>
          </w:p>
        </w:tc>
        <w:tc>
          <w:tcPr>
            <w:tcW w:w="2127" w:type="dxa"/>
            <w:vAlign w:val="center"/>
          </w:tcPr>
          <w:p>
            <w:pPr>
              <w:spacing w:line="240" w:lineRule="auto"/>
              <w:ind w:firstLine="0" w:firstLineChars="0"/>
              <w:jc w:val="center"/>
              <w:rPr>
                <w:sz w:val="21"/>
                <w:szCs w:val="21"/>
              </w:rPr>
            </w:pPr>
            <w:r>
              <w:rPr>
                <w:rFonts w:hint="eastAsia" w:cs="Times New Roman" w:hAnsiTheme="minorEastAsia"/>
                <w:color w:val="000000"/>
                <w:sz w:val="21"/>
                <w:szCs w:val="21"/>
              </w:rPr>
              <w:t>环评文件及批复要求</w:t>
            </w:r>
          </w:p>
        </w:tc>
        <w:tc>
          <w:tcPr>
            <w:tcW w:w="2126" w:type="dxa"/>
            <w:vAlign w:val="center"/>
          </w:tcPr>
          <w:p>
            <w:pPr>
              <w:spacing w:line="240" w:lineRule="auto"/>
              <w:ind w:firstLine="0" w:firstLineChars="0"/>
              <w:jc w:val="center"/>
              <w:rPr>
                <w:sz w:val="21"/>
                <w:szCs w:val="21"/>
              </w:rPr>
            </w:pPr>
            <w:r>
              <w:rPr>
                <w:rFonts w:cs="Times New Roman" w:hAnsiTheme="minorEastAsia"/>
                <w:color w:val="000000"/>
                <w:sz w:val="21"/>
                <w:szCs w:val="21"/>
              </w:rPr>
              <w:t>实际建设情况</w:t>
            </w:r>
          </w:p>
        </w:tc>
        <w:tc>
          <w:tcPr>
            <w:tcW w:w="850" w:type="dxa"/>
            <w:vAlign w:val="center"/>
          </w:tcPr>
          <w:p>
            <w:pPr>
              <w:spacing w:line="240" w:lineRule="auto"/>
              <w:ind w:firstLine="0" w:firstLineChars="0"/>
              <w:jc w:val="center"/>
              <w:rPr>
                <w:sz w:val="21"/>
                <w:szCs w:val="21"/>
              </w:rPr>
            </w:pPr>
            <w:r>
              <w:rPr>
                <w:rFonts w:cs="Times New Roman" w:hAnsiTheme="minorEastAsia"/>
                <w:color w:val="000000"/>
                <w:sz w:val="21"/>
                <w:szCs w:val="21"/>
              </w:rPr>
              <w:t>变动</w:t>
            </w:r>
            <w:r>
              <w:rPr>
                <w:rFonts w:hint="eastAsia" w:cs="Times New Roman" w:hAnsiTheme="minorEastAsia"/>
                <w:color w:val="000000"/>
                <w:sz w:val="21"/>
                <w:szCs w:val="21"/>
              </w:rPr>
              <w:t>情况及</w:t>
            </w:r>
            <w:r>
              <w:rPr>
                <w:rFonts w:cs="Times New Roman" w:hAnsiTheme="minorEastAsia"/>
                <w:color w:val="000000"/>
                <w:sz w:val="21"/>
                <w:szCs w:val="21"/>
              </w:rPr>
              <w:t>原因</w:t>
            </w:r>
          </w:p>
        </w:tc>
        <w:tc>
          <w:tcPr>
            <w:tcW w:w="993" w:type="dxa"/>
            <w:vAlign w:val="center"/>
          </w:tcPr>
          <w:p>
            <w:pPr>
              <w:spacing w:line="240" w:lineRule="auto"/>
              <w:ind w:firstLine="0" w:firstLineChars="0"/>
              <w:jc w:val="center"/>
              <w:rPr>
                <w:sz w:val="21"/>
                <w:szCs w:val="21"/>
              </w:rPr>
            </w:pPr>
            <w:r>
              <w:rPr>
                <w:rFonts w:cs="Times New Roman" w:hAnsiTheme="minorEastAsia"/>
                <w:color w:val="000000"/>
                <w:sz w:val="21"/>
                <w:szCs w:val="21"/>
              </w:rPr>
              <w:t>是否属于重大变动</w:t>
            </w:r>
          </w:p>
        </w:tc>
        <w:tc>
          <w:tcPr>
            <w:tcW w:w="1300" w:type="dxa"/>
            <w:vAlign w:val="center"/>
          </w:tcPr>
          <w:p>
            <w:pPr>
              <w:spacing w:line="240" w:lineRule="auto"/>
              <w:ind w:firstLine="0" w:firstLineChars="0"/>
              <w:jc w:val="center"/>
              <w:rPr>
                <w:rFonts w:cs="Times New Roman" w:hAnsiTheme="minorEastAsia"/>
                <w:color w:val="000000"/>
                <w:sz w:val="21"/>
                <w:szCs w:val="21"/>
              </w:rPr>
            </w:pPr>
            <w:r>
              <w:rPr>
                <w:rFonts w:hint="eastAsia" w:cs="Times New Roman" w:hAnsiTheme="minorEastAsia"/>
                <w:color w:val="000000"/>
                <w:sz w:val="21"/>
                <w:szCs w:val="21"/>
              </w:rPr>
              <w:t>是否</w:t>
            </w:r>
            <w:r>
              <w:rPr>
                <w:rFonts w:cs="Times New Roman" w:hAnsiTheme="minorEastAsia"/>
                <w:color w:val="000000"/>
                <w:sz w:val="21"/>
                <w:szCs w:val="21"/>
              </w:rPr>
              <w:t>重新报批环境影响报告表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szCs w:val="21"/>
              </w:rPr>
            </w:pPr>
            <w:r>
              <w:rPr>
                <w:rFonts w:hint="eastAsia"/>
                <w:sz w:val="21"/>
                <w:szCs w:val="21"/>
              </w:rPr>
              <w:t>项目性质</w:t>
            </w:r>
          </w:p>
        </w:tc>
        <w:tc>
          <w:tcPr>
            <w:tcW w:w="2127" w:type="dxa"/>
            <w:vAlign w:val="center"/>
          </w:tcPr>
          <w:p>
            <w:pPr>
              <w:spacing w:line="240" w:lineRule="auto"/>
              <w:ind w:firstLine="0" w:firstLineChars="0"/>
              <w:jc w:val="center"/>
              <w:rPr>
                <w:sz w:val="21"/>
                <w:szCs w:val="21"/>
              </w:rPr>
            </w:pPr>
            <w:r>
              <w:rPr>
                <w:rFonts w:hint="eastAsia"/>
                <w:sz w:val="21"/>
                <w:szCs w:val="21"/>
              </w:rPr>
              <w:t>新建</w:t>
            </w:r>
          </w:p>
        </w:tc>
        <w:tc>
          <w:tcPr>
            <w:tcW w:w="2126" w:type="dxa"/>
            <w:vAlign w:val="center"/>
          </w:tcPr>
          <w:p>
            <w:pPr>
              <w:spacing w:line="240" w:lineRule="auto"/>
              <w:ind w:firstLine="0" w:firstLineChars="0"/>
              <w:jc w:val="center"/>
              <w:rPr>
                <w:sz w:val="21"/>
                <w:szCs w:val="21"/>
              </w:rPr>
            </w:pPr>
            <w:r>
              <w:rPr>
                <w:rFonts w:hint="eastAsia"/>
                <w:sz w:val="21"/>
                <w:szCs w:val="21"/>
              </w:rPr>
              <w:t>新建</w:t>
            </w:r>
          </w:p>
        </w:tc>
        <w:tc>
          <w:tcPr>
            <w:tcW w:w="850" w:type="dxa"/>
            <w:vAlign w:val="center"/>
          </w:tcPr>
          <w:p>
            <w:pPr>
              <w:spacing w:line="240" w:lineRule="auto"/>
              <w:ind w:firstLine="0" w:firstLineChars="0"/>
              <w:jc w:val="center"/>
              <w:rPr>
                <w:sz w:val="21"/>
                <w:szCs w:val="21"/>
              </w:rPr>
            </w:pPr>
            <w:r>
              <w:rPr>
                <w:rFonts w:hint="eastAsia"/>
                <w:sz w:val="21"/>
                <w:szCs w:val="21"/>
              </w:rPr>
              <w:t>无</w:t>
            </w:r>
          </w:p>
        </w:tc>
        <w:tc>
          <w:tcPr>
            <w:tcW w:w="993" w:type="dxa"/>
            <w:vAlign w:val="center"/>
          </w:tcPr>
          <w:p>
            <w:pPr>
              <w:spacing w:line="240" w:lineRule="auto"/>
              <w:ind w:firstLine="0" w:firstLineChars="0"/>
              <w:jc w:val="center"/>
              <w:rPr>
                <w:sz w:val="21"/>
                <w:szCs w:val="21"/>
              </w:rPr>
            </w:pPr>
            <w:r>
              <w:rPr>
                <w:rFonts w:hint="eastAsia"/>
                <w:sz w:val="21"/>
                <w:szCs w:val="21"/>
              </w:rPr>
              <w:t>否</w:t>
            </w:r>
          </w:p>
        </w:tc>
        <w:tc>
          <w:tcPr>
            <w:tcW w:w="1300" w:type="dxa"/>
            <w:vAlign w:val="center"/>
          </w:tcPr>
          <w:p>
            <w:pPr>
              <w:spacing w:line="240" w:lineRule="auto"/>
              <w:ind w:firstLine="0" w:firstLineChars="0"/>
              <w:jc w:val="center"/>
              <w:rPr>
                <w:sz w:val="21"/>
                <w:szCs w:val="21"/>
              </w:rPr>
            </w:pPr>
            <w:r>
              <w:rPr>
                <w:rFonts w:hint="eastAsia"/>
                <w:sz w:val="21"/>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szCs w:val="21"/>
              </w:rPr>
            </w:pPr>
            <w:r>
              <w:rPr>
                <w:rFonts w:hint="eastAsia"/>
                <w:sz w:val="21"/>
                <w:szCs w:val="21"/>
              </w:rPr>
              <w:t>规模</w:t>
            </w:r>
          </w:p>
        </w:tc>
        <w:tc>
          <w:tcPr>
            <w:tcW w:w="2127"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年产5000吨PVC管材</w:t>
            </w:r>
          </w:p>
        </w:tc>
        <w:tc>
          <w:tcPr>
            <w:tcW w:w="2126"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年产5000吨PVC管材</w:t>
            </w:r>
          </w:p>
        </w:tc>
        <w:tc>
          <w:tcPr>
            <w:tcW w:w="850" w:type="dxa"/>
            <w:vAlign w:val="center"/>
          </w:tcPr>
          <w:p>
            <w:pPr>
              <w:spacing w:line="240" w:lineRule="auto"/>
              <w:ind w:firstLine="0" w:firstLineChars="0"/>
              <w:jc w:val="center"/>
              <w:rPr>
                <w:sz w:val="21"/>
                <w:szCs w:val="21"/>
              </w:rPr>
            </w:pPr>
            <w:r>
              <w:rPr>
                <w:rFonts w:hint="eastAsia"/>
                <w:sz w:val="21"/>
                <w:szCs w:val="21"/>
              </w:rPr>
              <w:t>无</w:t>
            </w:r>
          </w:p>
        </w:tc>
        <w:tc>
          <w:tcPr>
            <w:tcW w:w="993" w:type="dxa"/>
            <w:vAlign w:val="center"/>
          </w:tcPr>
          <w:p>
            <w:pPr>
              <w:spacing w:line="240" w:lineRule="auto"/>
              <w:ind w:firstLine="0" w:firstLineChars="0"/>
              <w:jc w:val="center"/>
              <w:rPr>
                <w:sz w:val="21"/>
                <w:szCs w:val="21"/>
              </w:rPr>
            </w:pPr>
            <w:r>
              <w:rPr>
                <w:rFonts w:hint="eastAsia"/>
                <w:sz w:val="21"/>
                <w:szCs w:val="21"/>
              </w:rPr>
              <w:t>否</w:t>
            </w:r>
          </w:p>
        </w:tc>
        <w:tc>
          <w:tcPr>
            <w:tcW w:w="1300" w:type="dxa"/>
            <w:vAlign w:val="center"/>
          </w:tcPr>
          <w:p>
            <w:pPr>
              <w:spacing w:line="240" w:lineRule="auto"/>
              <w:ind w:firstLine="0" w:firstLineChars="0"/>
              <w:jc w:val="center"/>
              <w:rPr>
                <w:sz w:val="21"/>
                <w:szCs w:val="21"/>
              </w:rPr>
            </w:pPr>
            <w:r>
              <w:rPr>
                <w:rFonts w:hint="eastAsia"/>
                <w:sz w:val="21"/>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szCs w:val="21"/>
              </w:rPr>
            </w:pPr>
            <w:r>
              <w:rPr>
                <w:rFonts w:hint="eastAsia"/>
                <w:sz w:val="21"/>
                <w:szCs w:val="21"/>
              </w:rPr>
              <w:t>生产工艺</w:t>
            </w:r>
          </w:p>
        </w:tc>
        <w:tc>
          <w:tcPr>
            <w:tcW w:w="2127"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项目原材料按一定比例配置均匀混合通过加热、挤出、冷却、成型、包装一体机挤出，把成型的半成品按所需要求进行切割后即为成品。</w:t>
            </w:r>
          </w:p>
        </w:tc>
        <w:tc>
          <w:tcPr>
            <w:tcW w:w="2126"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项目原材料按一定比例配置均匀混合通过加热、挤出、冷却、成型、包装一体机挤出，把成型的半成品按所需要求进行切割后即为成品。</w:t>
            </w:r>
          </w:p>
        </w:tc>
        <w:tc>
          <w:tcPr>
            <w:tcW w:w="850" w:type="dxa"/>
            <w:vAlign w:val="center"/>
          </w:tcPr>
          <w:p>
            <w:pPr>
              <w:spacing w:line="240" w:lineRule="auto"/>
              <w:ind w:firstLine="0" w:firstLineChars="0"/>
              <w:jc w:val="center"/>
              <w:rPr>
                <w:sz w:val="21"/>
                <w:szCs w:val="21"/>
              </w:rPr>
            </w:pPr>
            <w:r>
              <w:rPr>
                <w:rFonts w:hint="eastAsia"/>
                <w:sz w:val="21"/>
                <w:szCs w:val="21"/>
              </w:rPr>
              <w:t>无</w:t>
            </w:r>
          </w:p>
        </w:tc>
        <w:tc>
          <w:tcPr>
            <w:tcW w:w="993" w:type="dxa"/>
            <w:vAlign w:val="center"/>
          </w:tcPr>
          <w:p>
            <w:pPr>
              <w:spacing w:line="240" w:lineRule="auto"/>
              <w:ind w:firstLine="0" w:firstLineChars="0"/>
              <w:jc w:val="center"/>
              <w:rPr>
                <w:sz w:val="21"/>
                <w:szCs w:val="21"/>
              </w:rPr>
            </w:pPr>
            <w:r>
              <w:rPr>
                <w:rFonts w:hint="eastAsia"/>
                <w:sz w:val="21"/>
                <w:szCs w:val="21"/>
              </w:rPr>
              <w:t>否</w:t>
            </w:r>
          </w:p>
        </w:tc>
        <w:tc>
          <w:tcPr>
            <w:tcW w:w="1300" w:type="dxa"/>
            <w:vAlign w:val="center"/>
          </w:tcPr>
          <w:p>
            <w:pPr>
              <w:spacing w:line="240" w:lineRule="auto"/>
              <w:ind w:firstLine="0" w:firstLineChars="0"/>
              <w:jc w:val="center"/>
              <w:rPr>
                <w:sz w:val="21"/>
                <w:szCs w:val="21"/>
              </w:rPr>
            </w:pPr>
            <w:r>
              <w:rPr>
                <w:rFonts w:hint="eastAsia"/>
                <w:sz w:val="21"/>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64" w:hRule="atLeast"/>
          <w:jc w:val="center"/>
        </w:trPr>
        <w:tc>
          <w:tcPr>
            <w:tcW w:w="1134" w:type="dxa"/>
            <w:vAlign w:val="center"/>
          </w:tcPr>
          <w:p>
            <w:pPr>
              <w:spacing w:line="240" w:lineRule="auto"/>
              <w:ind w:firstLine="0" w:firstLineChars="0"/>
              <w:jc w:val="center"/>
              <w:rPr>
                <w:rFonts w:hAnsi="宋体"/>
                <w:kern w:val="0"/>
                <w:sz w:val="21"/>
                <w:szCs w:val="21"/>
              </w:rPr>
            </w:pPr>
            <w:r>
              <w:rPr>
                <w:rFonts w:hint="eastAsia" w:hAnsi="宋体"/>
                <w:kern w:val="0"/>
                <w:sz w:val="21"/>
                <w:szCs w:val="21"/>
              </w:rPr>
              <w:t>环保设施</w:t>
            </w:r>
          </w:p>
        </w:tc>
        <w:tc>
          <w:tcPr>
            <w:tcW w:w="2127"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uv光解、布袋除尘；三级化粪池；对</w:t>
            </w:r>
            <w:r>
              <w:rPr>
                <w:rFonts w:hAnsi="宋体"/>
                <w:kern w:val="0"/>
                <w:sz w:val="21"/>
                <w:szCs w:val="21"/>
              </w:rPr>
              <w:t>设备进行隔音、吸音、减振处理</w:t>
            </w:r>
            <w:r>
              <w:rPr>
                <w:rFonts w:hint="eastAsia" w:hAnsi="宋体"/>
                <w:kern w:val="0"/>
                <w:sz w:val="21"/>
                <w:szCs w:val="21"/>
              </w:rPr>
              <w:t>，合理设计布局。</w:t>
            </w:r>
          </w:p>
        </w:tc>
        <w:tc>
          <w:tcPr>
            <w:tcW w:w="2126"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uv光解、布袋除尘；三级化粪池；对</w:t>
            </w:r>
            <w:r>
              <w:rPr>
                <w:rFonts w:hAnsi="宋体"/>
                <w:kern w:val="0"/>
                <w:sz w:val="21"/>
                <w:szCs w:val="21"/>
              </w:rPr>
              <w:t>设备进行隔音、吸音、减振处理</w:t>
            </w:r>
            <w:r>
              <w:rPr>
                <w:rFonts w:hint="eastAsia" w:hAnsi="宋体"/>
                <w:kern w:val="0"/>
                <w:sz w:val="21"/>
                <w:szCs w:val="21"/>
              </w:rPr>
              <w:t>，合理设计布局。</w:t>
            </w:r>
          </w:p>
        </w:tc>
        <w:tc>
          <w:tcPr>
            <w:tcW w:w="850" w:type="dxa"/>
            <w:vAlign w:val="center"/>
          </w:tcPr>
          <w:p>
            <w:pPr>
              <w:spacing w:line="240" w:lineRule="auto"/>
              <w:ind w:firstLine="0" w:firstLineChars="0"/>
              <w:jc w:val="center"/>
              <w:rPr>
                <w:sz w:val="21"/>
                <w:szCs w:val="21"/>
              </w:rPr>
            </w:pPr>
            <w:r>
              <w:rPr>
                <w:rFonts w:hint="eastAsia"/>
                <w:sz w:val="21"/>
                <w:szCs w:val="21"/>
              </w:rPr>
              <w:t>无</w:t>
            </w:r>
          </w:p>
        </w:tc>
        <w:tc>
          <w:tcPr>
            <w:tcW w:w="993" w:type="dxa"/>
            <w:vAlign w:val="center"/>
          </w:tcPr>
          <w:p>
            <w:pPr>
              <w:spacing w:line="240" w:lineRule="auto"/>
              <w:ind w:firstLine="0" w:firstLineChars="0"/>
              <w:jc w:val="center"/>
              <w:rPr>
                <w:sz w:val="21"/>
                <w:szCs w:val="21"/>
              </w:rPr>
            </w:pPr>
            <w:r>
              <w:rPr>
                <w:rFonts w:hint="eastAsia"/>
                <w:sz w:val="21"/>
                <w:szCs w:val="21"/>
              </w:rPr>
              <w:t>否</w:t>
            </w:r>
          </w:p>
        </w:tc>
        <w:tc>
          <w:tcPr>
            <w:tcW w:w="1300" w:type="dxa"/>
            <w:vAlign w:val="center"/>
          </w:tcPr>
          <w:p>
            <w:pPr>
              <w:spacing w:line="240" w:lineRule="auto"/>
              <w:ind w:firstLine="0" w:firstLineChars="0"/>
              <w:jc w:val="center"/>
              <w:rPr>
                <w:sz w:val="21"/>
                <w:szCs w:val="21"/>
              </w:rPr>
            </w:pPr>
            <w:r>
              <w:rPr>
                <w:rFonts w:hint="eastAsia"/>
                <w:sz w:val="21"/>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szCs w:val="21"/>
              </w:rPr>
            </w:pPr>
            <w:r>
              <w:rPr>
                <w:rFonts w:hint="eastAsia"/>
                <w:sz w:val="21"/>
                <w:szCs w:val="21"/>
              </w:rPr>
              <w:t>主要生产设备</w:t>
            </w:r>
          </w:p>
        </w:tc>
        <w:tc>
          <w:tcPr>
            <w:tcW w:w="2127" w:type="dxa"/>
            <w:vAlign w:val="center"/>
          </w:tcPr>
          <w:p>
            <w:pPr>
              <w:spacing w:line="240" w:lineRule="auto"/>
              <w:ind w:firstLine="0" w:firstLineChars="0"/>
              <w:jc w:val="left"/>
              <w:rPr>
                <w:rFonts w:hAnsi="宋体"/>
                <w:kern w:val="0"/>
                <w:sz w:val="21"/>
                <w:szCs w:val="21"/>
              </w:rPr>
            </w:pPr>
            <w:r>
              <w:rPr>
                <w:rFonts w:hint="eastAsia" w:hAnsi="宋体"/>
                <w:kern w:val="0"/>
                <w:sz w:val="21"/>
                <w:szCs w:val="21"/>
              </w:rPr>
              <w:t>80机挤出机1套、65机挤出机4套、搅拌机2台、破碎机1台。</w:t>
            </w:r>
          </w:p>
        </w:tc>
        <w:tc>
          <w:tcPr>
            <w:tcW w:w="2126" w:type="dxa"/>
            <w:vAlign w:val="center"/>
          </w:tcPr>
          <w:p>
            <w:pPr>
              <w:spacing w:line="240" w:lineRule="auto"/>
              <w:ind w:firstLine="0" w:firstLineChars="0"/>
              <w:jc w:val="left"/>
              <w:rPr>
                <w:sz w:val="21"/>
                <w:szCs w:val="21"/>
              </w:rPr>
            </w:pPr>
            <w:r>
              <w:rPr>
                <w:rFonts w:hint="eastAsia" w:hAnsi="宋体"/>
                <w:kern w:val="0"/>
                <w:sz w:val="21"/>
                <w:szCs w:val="21"/>
              </w:rPr>
              <w:t>80机挤出机1套、65机挤出机4套、搅拌机2台、破碎机1台。</w:t>
            </w:r>
          </w:p>
        </w:tc>
        <w:tc>
          <w:tcPr>
            <w:tcW w:w="850" w:type="dxa"/>
            <w:vAlign w:val="center"/>
          </w:tcPr>
          <w:p>
            <w:pPr>
              <w:spacing w:line="240" w:lineRule="auto"/>
              <w:ind w:firstLine="0" w:firstLineChars="0"/>
              <w:jc w:val="center"/>
              <w:rPr>
                <w:sz w:val="21"/>
                <w:szCs w:val="21"/>
              </w:rPr>
            </w:pPr>
            <w:r>
              <w:rPr>
                <w:rFonts w:hint="eastAsia"/>
                <w:sz w:val="21"/>
                <w:szCs w:val="21"/>
              </w:rPr>
              <w:t>无</w:t>
            </w:r>
          </w:p>
        </w:tc>
        <w:tc>
          <w:tcPr>
            <w:tcW w:w="993" w:type="dxa"/>
            <w:vAlign w:val="center"/>
          </w:tcPr>
          <w:p>
            <w:pPr>
              <w:spacing w:line="240" w:lineRule="auto"/>
              <w:ind w:firstLine="0" w:firstLineChars="0"/>
              <w:jc w:val="center"/>
              <w:rPr>
                <w:sz w:val="21"/>
                <w:szCs w:val="21"/>
              </w:rPr>
            </w:pPr>
            <w:r>
              <w:rPr>
                <w:rFonts w:hint="eastAsia"/>
                <w:sz w:val="21"/>
                <w:szCs w:val="21"/>
              </w:rPr>
              <w:t>否</w:t>
            </w:r>
          </w:p>
        </w:tc>
        <w:tc>
          <w:tcPr>
            <w:tcW w:w="1300" w:type="dxa"/>
            <w:vAlign w:val="center"/>
          </w:tcPr>
          <w:p>
            <w:pPr>
              <w:spacing w:line="240" w:lineRule="auto"/>
              <w:ind w:firstLine="0" w:firstLineChars="0"/>
              <w:jc w:val="center"/>
              <w:rPr>
                <w:sz w:val="21"/>
                <w:szCs w:val="21"/>
              </w:rPr>
            </w:pPr>
            <w:r>
              <w:rPr>
                <w:rFonts w:hint="eastAsia"/>
                <w:sz w:val="21"/>
                <w:szCs w:val="21"/>
              </w:rPr>
              <w:t>否</w:t>
            </w:r>
          </w:p>
        </w:tc>
      </w:tr>
    </w:tbl>
    <w:p>
      <w:pPr>
        <w:ind w:firstLine="480"/>
        <w:rPr>
          <w:szCs w:val="24"/>
        </w:rPr>
      </w:pPr>
      <w:r>
        <w:rPr>
          <w:szCs w:val="24"/>
        </w:rPr>
        <w:t>该项目工程与环评阶段对比无有重大变动、无</w:t>
      </w:r>
      <w:r>
        <w:rPr>
          <w:rFonts w:hint="eastAsia"/>
          <w:szCs w:val="24"/>
        </w:rPr>
        <w:t>需</w:t>
      </w:r>
      <w:r>
        <w:rPr>
          <w:szCs w:val="24"/>
        </w:rPr>
        <w:t>重新报批环评文件。</w:t>
      </w:r>
    </w:p>
    <w:p>
      <w:pPr>
        <w:widowControl/>
        <w:ind w:firstLine="0" w:firstLineChars="0"/>
        <w:rPr>
          <w:rFonts w:ascii="宋体" w:hAnsi="宋体" w:eastAsia="宋体"/>
        </w:rPr>
        <w:sectPr>
          <w:headerReference r:id="rId11" w:type="first"/>
          <w:footerReference r:id="rId13" w:type="first"/>
          <w:headerReference r:id="rId10" w:type="even"/>
          <w:footerReference r:id="rId12" w:type="even"/>
          <w:pgSz w:w="11906" w:h="16838"/>
          <w:pgMar w:top="1440" w:right="1800" w:bottom="1440" w:left="1800" w:header="851" w:footer="850" w:gutter="0"/>
          <w:cols w:space="425" w:num="1"/>
          <w:docGrid w:type="lines" w:linePitch="326" w:charSpace="0"/>
        </w:sectPr>
      </w:pPr>
    </w:p>
    <w:p>
      <w:pPr>
        <w:pStyle w:val="2"/>
      </w:pPr>
      <w:bookmarkStart w:id="24" w:name="_Toc531082151"/>
      <w:bookmarkStart w:id="25" w:name="_Toc72396071"/>
      <w:r>
        <w:t>4环境保护设施</w:t>
      </w:r>
      <w:bookmarkEnd w:id="24"/>
      <w:bookmarkEnd w:id="25"/>
    </w:p>
    <w:p>
      <w:pPr>
        <w:pStyle w:val="3"/>
      </w:pPr>
      <w:bookmarkStart w:id="26" w:name="_Toc531082152"/>
      <w:bookmarkStart w:id="27" w:name="_Toc72396072"/>
      <w:r>
        <w:t>4.1污染物治理设施</w:t>
      </w:r>
      <w:bookmarkEnd w:id="26"/>
      <w:bookmarkEnd w:id="27"/>
    </w:p>
    <w:p>
      <w:pPr>
        <w:ind w:firstLine="480"/>
        <w:rPr>
          <w:kern w:val="0"/>
        </w:rPr>
      </w:pPr>
      <w:r>
        <w:rPr>
          <w:rFonts w:hint="eastAsia"/>
          <w:kern w:val="0"/>
        </w:rPr>
        <w:t>项目投产运行后，对周围环境造成影响的主要污染物有废水、废气、噪声和固体废弃物。</w:t>
      </w:r>
    </w:p>
    <w:p>
      <w:pPr>
        <w:pStyle w:val="4"/>
        <w:rPr>
          <w:szCs w:val="21"/>
        </w:rPr>
      </w:pPr>
      <w:bookmarkStart w:id="28" w:name="_Toc72396073"/>
      <w:bookmarkStart w:id="29" w:name="_Toc874251"/>
      <w:bookmarkStart w:id="30" w:name="_Toc531082153"/>
      <w:bookmarkStart w:id="31" w:name="_Toc531082155"/>
      <w:r>
        <w:t>4.1.1</w:t>
      </w:r>
      <w:r>
        <w:rPr>
          <w:rFonts w:hAnsiTheme="minorEastAsia"/>
        </w:rPr>
        <w:t>废水</w:t>
      </w:r>
      <w:bookmarkEnd w:id="28"/>
      <w:bookmarkEnd w:id="29"/>
    </w:p>
    <w:bookmarkEnd w:id="30"/>
    <w:p>
      <w:pPr>
        <w:ind w:firstLine="480"/>
        <w:rPr>
          <w:rFonts w:cs="Times New Roman" w:hAnsiTheme="minorEastAsia"/>
          <w:szCs w:val="28"/>
        </w:rPr>
      </w:pPr>
      <w:bookmarkStart w:id="32" w:name="_Toc874252"/>
      <w:bookmarkStart w:id="33" w:name="_Toc531082154"/>
      <w:r>
        <w:rPr>
          <w:rFonts w:hint="eastAsia" w:cs="Times New Roman" w:hAnsiTheme="minorEastAsia"/>
          <w:szCs w:val="28"/>
        </w:rPr>
        <w:t>本项目产生的废水为机械冷却水和生活废水。</w:t>
      </w:r>
    </w:p>
    <w:p>
      <w:pPr>
        <w:ind w:firstLine="480"/>
        <w:rPr>
          <w:rFonts w:cs="Times New Roman" w:hAnsiTheme="minorEastAsia"/>
          <w:szCs w:val="28"/>
        </w:rPr>
      </w:pPr>
      <w:r>
        <w:rPr>
          <w:rFonts w:hint="eastAsia" w:cs="Times New Roman" w:hAnsiTheme="minorEastAsia"/>
          <w:szCs w:val="28"/>
        </w:rPr>
        <w:t>（1）本项目</w:t>
      </w:r>
      <w:r>
        <w:rPr>
          <w:rFonts w:hAnsi="宋体" w:cs="Times New Roman"/>
          <w:szCs w:val="28"/>
        </w:rPr>
        <w:t>在</w:t>
      </w:r>
      <w:r>
        <w:rPr>
          <w:rFonts w:hint="eastAsia" w:hAnsi="宋体" w:cs="Times New Roman"/>
          <w:szCs w:val="28"/>
        </w:rPr>
        <w:t>冷却、成型工序</w:t>
      </w:r>
      <w:r>
        <w:rPr>
          <w:rFonts w:hAnsi="宋体" w:cs="Times New Roman"/>
          <w:szCs w:val="28"/>
        </w:rPr>
        <w:t>中需要</w:t>
      </w:r>
      <w:r>
        <w:rPr>
          <w:rFonts w:hint="eastAsia" w:hAnsi="宋体" w:cs="Times New Roman"/>
          <w:szCs w:val="28"/>
        </w:rPr>
        <w:t>用到冷却水</w:t>
      </w:r>
      <w:r>
        <w:rPr>
          <w:rFonts w:hAnsi="宋体" w:cs="Times New Roman"/>
          <w:szCs w:val="28"/>
        </w:rPr>
        <w:t>，该部分水会在</w:t>
      </w:r>
      <w:r>
        <w:rPr>
          <w:rFonts w:hint="eastAsia" w:hAnsi="宋体" w:cs="Times New Roman"/>
          <w:szCs w:val="28"/>
        </w:rPr>
        <w:t>生产</w:t>
      </w:r>
      <w:r>
        <w:rPr>
          <w:rFonts w:hAnsi="宋体" w:cs="Times New Roman"/>
          <w:szCs w:val="28"/>
        </w:rPr>
        <w:t>过程中循环使用，</w:t>
      </w:r>
      <w:r>
        <w:rPr>
          <w:rFonts w:hint="eastAsia" w:hAnsi="宋体" w:cs="Times New Roman"/>
          <w:szCs w:val="28"/>
        </w:rPr>
        <w:t>定期补充新鲜水，</w:t>
      </w:r>
      <w:r>
        <w:rPr>
          <w:rFonts w:hAnsi="宋体" w:cs="Times New Roman"/>
          <w:szCs w:val="28"/>
        </w:rPr>
        <w:t>无废水排放。</w:t>
      </w:r>
    </w:p>
    <w:p>
      <w:pPr>
        <w:ind w:firstLine="480"/>
        <w:rPr>
          <w:rFonts w:hAnsi="宋体" w:cs="Times New Roman"/>
          <w:szCs w:val="24"/>
        </w:rPr>
      </w:pPr>
      <w:r>
        <w:rPr>
          <w:rFonts w:hint="eastAsia" w:cs="Times New Roman" w:hAnsiTheme="minorEastAsia"/>
          <w:szCs w:val="28"/>
        </w:rPr>
        <w:t>（2）生活污水经</w:t>
      </w:r>
      <w:r>
        <w:rPr>
          <w:rFonts w:cs="Times New Roman" w:hAnsiTheme="minorEastAsia"/>
          <w:szCs w:val="28"/>
        </w:rPr>
        <w:t>三级化粪池处理</w:t>
      </w:r>
      <w:r>
        <w:rPr>
          <w:rFonts w:hint="eastAsia" w:hAnsi="宋体" w:cs="Times New Roman"/>
          <w:bCs/>
          <w:szCs w:val="28"/>
        </w:rPr>
        <w:t>后定期由吸污车吸走</w:t>
      </w:r>
      <w:r>
        <w:rPr>
          <w:rFonts w:hint="eastAsia" w:cs="Times New Roman" w:hAnsiTheme="minorEastAsia"/>
          <w:szCs w:val="28"/>
        </w:rPr>
        <w:t>，</w:t>
      </w:r>
      <w:r>
        <w:rPr>
          <w:rFonts w:hint="eastAsia" w:eastAsia="宋体"/>
          <w:szCs w:val="24"/>
        </w:rPr>
        <w:t>用于果树园林灌溉，执行《农田灌溉水质标准》（GB5084-2005）中旱作标准</w:t>
      </w:r>
      <w:r>
        <w:rPr>
          <w:rFonts w:hint="eastAsia" w:hAnsi="宋体" w:eastAsia="宋体" w:cs="Times New Roman"/>
          <w:szCs w:val="24"/>
        </w:rPr>
        <w:t>。</w:t>
      </w:r>
      <w:r>
        <w:rPr>
          <w:rFonts w:hint="eastAsia" w:cs="Times New Roman" w:hAnsiTheme="minorEastAsia"/>
          <w:szCs w:val="28"/>
        </w:rPr>
        <w:t>对周围水环境影响较</w:t>
      </w:r>
      <w:r>
        <w:rPr>
          <w:rFonts w:hint="eastAsia" w:hAnsi="宋体" w:cs="Times New Roman"/>
          <w:szCs w:val="24"/>
        </w:rPr>
        <w:t>小。</w:t>
      </w:r>
    </w:p>
    <w:p>
      <w:pPr>
        <w:ind w:firstLine="480"/>
        <w:rPr>
          <w:rFonts w:hAnsi="宋体" w:eastAsia="宋体" w:cs="Times New Roman"/>
          <w:color w:val="000000" w:themeColor="text1"/>
          <w:szCs w:val="24"/>
        </w:rPr>
      </w:pPr>
      <w:r>
        <w:rPr>
          <w:rFonts w:hint="eastAsia" w:cs="Times New Roman"/>
          <w:szCs w:val="24"/>
        </w:rPr>
        <w:t>项目生活污水产生量较少，且建设的化粪池较大，营业至今暂未安排吸污车清运处理</w:t>
      </w:r>
      <w:r>
        <w:rPr>
          <w:rFonts w:hint="eastAsia" w:hAnsi="宋体" w:eastAsia="宋体" w:cs="Times New Roman"/>
          <w:color w:val="000000" w:themeColor="text1"/>
          <w:szCs w:val="24"/>
        </w:rPr>
        <w:t>。</w:t>
      </w:r>
    </w:p>
    <w:p>
      <w:pPr>
        <w:pStyle w:val="4"/>
        <w:rPr>
          <w:szCs w:val="21"/>
        </w:rPr>
      </w:pPr>
      <w:bookmarkStart w:id="34" w:name="_Toc72396074"/>
      <w:r>
        <w:t>4.1.2</w:t>
      </w:r>
      <w:r>
        <w:rPr>
          <w:rFonts w:hAnsiTheme="minorEastAsia"/>
        </w:rPr>
        <w:t>废气</w:t>
      </w:r>
      <w:bookmarkEnd w:id="32"/>
      <w:bookmarkEnd w:id="33"/>
      <w:bookmarkEnd w:id="34"/>
    </w:p>
    <w:p>
      <w:pPr>
        <w:ind w:firstLine="480"/>
        <w:rPr>
          <w:rFonts w:hAnsi="宋体" w:cs="Times New Roman"/>
          <w:szCs w:val="28"/>
        </w:rPr>
      </w:pPr>
      <w:r>
        <w:rPr>
          <w:rFonts w:hint="eastAsia" w:cs="Times New Roman"/>
          <w:szCs w:val="28"/>
        </w:rPr>
        <w:t>本项</w:t>
      </w:r>
      <w:r>
        <w:rPr>
          <w:rFonts w:hint="eastAsia" w:hAnsi="宋体" w:cs="Times New Roman"/>
          <w:szCs w:val="28"/>
        </w:rPr>
        <w:t>目产生的废气主要是原材料在原料混合、切割、破碎工序中产生的粉尘，以及加热、挤出、冷却、成型工序产生的有机废气。</w:t>
      </w:r>
    </w:p>
    <w:p>
      <w:pPr>
        <w:ind w:firstLine="480"/>
        <w:rPr>
          <w:rFonts w:hAnsi="宋体" w:cs="Times New Roman"/>
          <w:szCs w:val="28"/>
        </w:rPr>
      </w:pPr>
      <w:r>
        <w:rPr>
          <w:rFonts w:hint="eastAsia" w:hAnsi="宋体" w:cs="Times New Roman"/>
          <w:szCs w:val="28"/>
        </w:rPr>
        <w:t>（1）混合、切割、破碎工序中产生的粉尘</w:t>
      </w:r>
    </w:p>
    <w:p>
      <w:pPr>
        <w:ind w:firstLine="480"/>
        <w:rPr>
          <w:rFonts w:hAnsi="宋体" w:cs="Times New Roman"/>
          <w:szCs w:val="28"/>
        </w:rPr>
      </w:pPr>
      <w:r>
        <w:rPr>
          <w:rFonts w:hint="eastAsia" w:hAnsi="宋体" w:cs="Times New Roman"/>
          <w:szCs w:val="28"/>
        </w:rPr>
        <w:t>建设单位配套安装抽吸装置，将粉尘废气收集后通过布袋除尘器处理后无组织排放，车间加强机械通风，</w:t>
      </w:r>
      <w:r>
        <w:rPr>
          <w:rFonts w:hAnsi="宋体" w:cs="Times New Roman"/>
          <w:szCs w:val="28"/>
        </w:rPr>
        <w:t>无组织</w:t>
      </w:r>
      <w:r>
        <w:rPr>
          <w:rFonts w:hint="eastAsia" w:hAnsi="宋体" w:cs="Times New Roman"/>
          <w:szCs w:val="28"/>
        </w:rPr>
        <w:t>颗粒物执行</w:t>
      </w:r>
      <w:r>
        <w:rPr>
          <w:rFonts w:hAnsi="宋体" w:cs="Times New Roman"/>
          <w:szCs w:val="28"/>
        </w:rPr>
        <w:t>广东省地方标准《大气污染物排放限值》（GB44/27-2001）第二时段无组织排放限值，对周围大气环境影响较小。</w:t>
      </w:r>
    </w:p>
    <w:p>
      <w:pPr>
        <w:ind w:firstLine="480"/>
        <w:rPr>
          <w:rFonts w:hAnsi="宋体" w:cs="Times New Roman"/>
          <w:szCs w:val="28"/>
        </w:rPr>
      </w:pPr>
      <w:r>
        <w:rPr>
          <w:rFonts w:hint="eastAsia" w:hAnsi="宋体" w:cs="Times New Roman"/>
          <w:szCs w:val="28"/>
        </w:rPr>
        <w:t>（2）有机废气</w:t>
      </w:r>
    </w:p>
    <w:p>
      <w:pPr>
        <w:ind w:firstLine="480"/>
        <w:rPr>
          <w:rFonts w:hAnsi="宋体" w:cs="Times New Roman"/>
          <w:szCs w:val="28"/>
        </w:rPr>
      </w:pPr>
      <w:r>
        <w:rPr>
          <w:rFonts w:hint="eastAsia" w:hAnsi="宋体" w:cs="Times New Roman"/>
          <w:szCs w:val="28"/>
        </w:rPr>
        <w:t>项目有机废气利用管道统一收集后通过UV光解</w:t>
      </w:r>
      <w:r>
        <w:rPr>
          <w:rFonts w:hAnsi="宋体" w:cs="Times New Roman"/>
          <w:szCs w:val="28"/>
        </w:rPr>
        <w:t>装置</w:t>
      </w:r>
      <w:r>
        <w:rPr>
          <w:rFonts w:hint="eastAsia" w:hAnsi="宋体" w:cs="Times New Roman"/>
          <w:szCs w:val="28"/>
        </w:rPr>
        <w:t>处理后通过15m排气筒高空排放，执行</w:t>
      </w:r>
      <w:r>
        <w:rPr>
          <w:rFonts w:hAnsi="宋体" w:cs="Times New Roman"/>
          <w:szCs w:val="28"/>
        </w:rPr>
        <w:t>《家具制造行业挥发性有机化合物排放标准》（DB44/814-2010）表</w:t>
      </w:r>
      <w:r>
        <w:rPr>
          <w:rFonts w:hint="eastAsia" w:hAnsi="宋体" w:cs="Times New Roman"/>
          <w:szCs w:val="28"/>
        </w:rPr>
        <w:t>1</w:t>
      </w:r>
      <w:r>
        <w:rPr>
          <w:rFonts w:hAnsi="宋体" w:cs="Times New Roman"/>
          <w:szCs w:val="28"/>
        </w:rPr>
        <w:t>中</w:t>
      </w:r>
      <w:r>
        <w:rPr>
          <w:rFonts w:hint="eastAsia" w:hAnsi="宋体" w:cs="Times New Roman"/>
          <w:szCs w:val="28"/>
        </w:rPr>
        <w:t>第Ⅱ时段排放监控限值。</w:t>
      </w:r>
      <w:r>
        <w:rPr>
          <w:rFonts w:hint="eastAsia"/>
        </w:rPr>
        <w:t>未被收集的有机废气执行</w:t>
      </w:r>
      <w:r>
        <w:t>广东省地方标准《家具制造行业挥发性有机化合物排放标准》（DB44/814-2010）表</w:t>
      </w:r>
      <w:r>
        <w:rPr>
          <w:rFonts w:hint="eastAsia"/>
        </w:rPr>
        <w:t>2</w:t>
      </w:r>
      <w:r>
        <w:t>无组织排放要求</w:t>
      </w:r>
      <w:r>
        <w:rPr>
          <w:rFonts w:hint="eastAsia"/>
        </w:rPr>
        <w:t>。</w:t>
      </w:r>
      <w:r>
        <w:rPr>
          <w:rFonts w:hint="eastAsia" w:hAnsi="宋体" w:cs="Times New Roman"/>
          <w:szCs w:val="28"/>
        </w:rPr>
        <w:t>对周围大气环境影响不大。</w:t>
      </w:r>
    </w:p>
    <w:p>
      <w:pPr>
        <w:adjustRightInd w:val="0"/>
        <w:snapToGrid w:val="0"/>
        <w:ind w:firstLine="480"/>
      </w:pPr>
      <w:r>
        <w:rPr>
          <w:rFonts w:hint="eastAsia"/>
        </w:rPr>
        <w:t>项目废气经上述措施处理后可达标排放，对周围大气环境影响较小。</w:t>
      </w:r>
    </w:p>
    <w:p>
      <w:pPr>
        <w:ind w:firstLine="0" w:firstLineChars="0"/>
        <w:rPr>
          <w:rFonts w:hAnsi="宋体" w:cs="Times New Roman"/>
          <w:szCs w:val="28"/>
        </w:rPr>
      </w:pPr>
      <w:r>
        <w:rPr>
          <w:rFonts w:hAnsi="宋体" w:cs="Times New Roman"/>
          <w:szCs w:val="28"/>
        </w:rPr>
        <w:drawing>
          <wp:inline distT="0" distB="0" distL="0" distR="0">
            <wp:extent cx="2428875" cy="3876675"/>
            <wp:effectExtent l="19050" t="0" r="9525" b="0"/>
            <wp:docPr id="8" name="图片 1" descr="C:\Users\ADMINI~1\AppData\Local\Temp\WeChat Files\48f954f05259ac023fa967763cee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1\AppData\Local\Temp\WeChat Files\48f954f05259ac023fa967763cee804.jpg"/>
                    <pic:cNvPicPr>
                      <a:picLocks noChangeAspect="1" noChangeArrowheads="1"/>
                    </pic:cNvPicPr>
                  </pic:nvPicPr>
                  <pic:blipFill>
                    <a:blip r:embed="rId18" cstate="print"/>
                    <a:srcRect/>
                    <a:stretch>
                      <a:fillRect/>
                    </a:stretch>
                  </pic:blipFill>
                  <pic:spPr>
                    <a:xfrm>
                      <a:off x="0" y="0"/>
                      <a:ext cx="2430571" cy="3879382"/>
                    </a:xfrm>
                    <a:prstGeom prst="rect">
                      <a:avLst/>
                    </a:prstGeom>
                    <a:noFill/>
                    <a:ln w="9525">
                      <a:noFill/>
                      <a:miter lim="800000"/>
                      <a:headEnd/>
                      <a:tailEnd/>
                    </a:ln>
                  </pic:spPr>
                </pic:pic>
              </a:graphicData>
            </a:graphic>
          </wp:inline>
        </w:drawing>
      </w:r>
      <w:r>
        <w:rPr>
          <w:rFonts w:hint="eastAsia" w:hAnsi="宋体" w:cs="Times New Roman"/>
          <w:szCs w:val="28"/>
        </w:rPr>
        <w:t xml:space="preserve"> </w:t>
      </w:r>
      <w:r>
        <w:rPr>
          <w:rFonts w:hAnsi="宋体" w:cs="Times New Roman"/>
          <w:szCs w:val="28"/>
        </w:rPr>
        <w:drawing>
          <wp:inline distT="0" distB="0" distL="0" distR="0">
            <wp:extent cx="2626360" cy="3882390"/>
            <wp:effectExtent l="19050" t="0" r="2514" b="0"/>
            <wp:docPr id="9" name="图片 2" descr="C:\Users\ADMINI~1\AppData\Local\Temp\WeChat Files\50e9c90feb359109b987bbf01fb1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1\AppData\Local\Temp\WeChat Files\50e9c90feb359109b987bbf01fb1feb.jpg"/>
                    <pic:cNvPicPr>
                      <a:picLocks noChangeAspect="1" noChangeArrowheads="1"/>
                    </pic:cNvPicPr>
                  </pic:nvPicPr>
                  <pic:blipFill>
                    <a:blip r:embed="rId19" cstate="print"/>
                    <a:srcRect/>
                    <a:stretch>
                      <a:fillRect/>
                    </a:stretch>
                  </pic:blipFill>
                  <pic:spPr>
                    <a:xfrm>
                      <a:off x="0" y="0"/>
                      <a:ext cx="2626250" cy="3882451"/>
                    </a:xfrm>
                    <a:prstGeom prst="rect">
                      <a:avLst/>
                    </a:prstGeom>
                    <a:noFill/>
                    <a:ln w="9525">
                      <a:noFill/>
                      <a:miter lim="800000"/>
                      <a:headEnd/>
                      <a:tailEnd/>
                    </a:ln>
                  </pic:spPr>
                </pic:pic>
              </a:graphicData>
            </a:graphic>
          </wp:inline>
        </w:drawing>
      </w:r>
    </w:p>
    <w:p>
      <w:pPr>
        <w:ind w:firstLine="0" w:firstLineChars="0"/>
        <w:jc w:val="center"/>
        <w:rPr>
          <w:szCs w:val="24"/>
        </w:rPr>
      </w:pPr>
      <w:r>
        <w:rPr>
          <w:szCs w:val="24"/>
        </w:rPr>
        <w:drawing>
          <wp:inline distT="0" distB="0" distL="0" distR="0">
            <wp:extent cx="2961005" cy="3228975"/>
            <wp:effectExtent l="19050" t="0" r="0" b="0"/>
            <wp:docPr id="10" name="图片 3" descr="C:\Users\ADMINI~1\AppData\Local\Temp\WeChat Files\e000eec35dc47f8d4e0e085f93bc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1\AppData\Local\Temp\WeChat Files\e000eec35dc47f8d4e0e085f93bcaaf.jpg"/>
                    <pic:cNvPicPr>
                      <a:picLocks noChangeAspect="1" noChangeArrowheads="1"/>
                    </pic:cNvPicPr>
                  </pic:nvPicPr>
                  <pic:blipFill>
                    <a:blip r:embed="rId20" cstate="print"/>
                    <a:srcRect/>
                    <a:stretch>
                      <a:fillRect/>
                    </a:stretch>
                  </pic:blipFill>
                  <pic:spPr>
                    <a:xfrm>
                      <a:off x="0" y="0"/>
                      <a:ext cx="2961834" cy="3229409"/>
                    </a:xfrm>
                    <a:prstGeom prst="rect">
                      <a:avLst/>
                    </a:prstGeom>
                    <a:noFill/>
                    <a:ln w="9525">
                      <a:noFill/>
                      <a:miter lim="800000"/>
                      <a:headEnd/>
                      <a:tailEnd/>
                    </a:ln>
                  </pic:spPr>
                </pic:pic>
              </a:graphicData>
            </a:graphic>
          </wp:inline>
        </w:drawing>
      </w:r>
    </w:p>
    <w:p>
      <w:pPr>
        <w:ind w:firstLine="0" w:firstLineChars="0"/>
        <w:jc w:val="center"/>
        <w:rPr>
          <w:szCs w:val="24"/>
        </w:rPr>
      </w:pPr>
      <w:r>
        <w:rPr>
          <w:rFonts w:hint="eastAsia"/>
          <w:b/>
        </w:rPr>
        <w:t>图4.1-2废气处理设施图</w:t>
      </w:r>
    </w:p>
    <w:bookmarkEnd w:id="31"/>
    <w:p>
      <w:pPr>
        <w:pStyle w:val="4"/>
      </w:pPr>
      <w:bookmarkStart w:id="35" w:name="_Toc72396075"/>
      <w:bookmarkStart w:id="36" w:name="_Toc874253"/>
      <w:bookmarkStart w:id="37" w:name="_Toc531082156"/>
      <w:r>
        <w:t>4.1.3噪声</w:t>
      </w:r>
      <w:bookmarkEnd w:id="35"/>
      <w:bookmarkEnd w:id="36"/>
    </w:p>
    <w:p>
      <w:pPr>
        <w:ind w:firstLine="480"/>
        <w:rPr>
          <w:rFonts w:cs="Times New Roman"/>
          <w:szCs w:val="24"/>
        </w:rPr>
      </w:pPr>
      <w:r>
        <w:rPr>
          <w:rFonts w:cs="Times New Roman"/>
          <w:szCs w:val="24"/>
        </w:rPr>
        <w:t>本项目主要噪声源是生产设备在运行过程中产生的噪音，噪声源强为60~85dB（A）。</w:t>
      </w:r>
      <w:r>
        <w:rPr>
          <w:rFonts w:hint="eastAsia" w:cs="Times New Roman" w:hAnsiTheme="minorEastAsia"/>
          <w:color w:val="000000"/>
          <w:szCs w:val="24"/>
        </w:rPr>
        <w:t>对于噪声污染必须采取适当的治理措施，</w:t>
      </w:r>
      <w:r>
        <w:rPr>
          <w:rFonts w:cs="Times New Roman"/>
          <w:szCs w:val="24"/>
        </w:rPr>
        <w:t>项目采取选用低噪设备、设备减振、隔声降噪、距离衰减、合理布局等措施</w:t>
      </w:r>
      <w:r>
        <w:rPr>
          <w:rFonts w:hint="eastAsia" w:cs="Times New Roman"/>
          <w:szCs w:val="24"/>
        </w:rPr>
        <w:t>。项目</w:t>
      </w:r>
      <w:r>
        <w:rPr>
          <w:rFonts w:hint="eastAsia" w:cs="Times New Roman" w:hAnsiTheme="minorEastAsia"/>
          <w:color w:val="000000"/>
          <w:szCs w:val="24"/>
        </w:rPr>
        <w:t>厂界噪声执行《工业企业厂界环境噪声排放标准》</w:t>
      </w:r>
      <w:r>
        <w:rPr>
          <w:rFonts w:cs="Times New Roman" w:hAnsiTheme="minorEastAsia"/>
          <w:color w:val="000000"/>
          <w:szCs w:val="24"/>
        </w:rPr>
        <w:t>（GB12348-2008）</w:t>
      </w:r>
      <w:r>
        <w:rPr>
          <w:rFonts w:cs="Times New Roman"/>
          <w:szCs w:val="24"/>
        </w:rPr>
        <w:t>2类、4类</w:t>
      </w:r>
      <w:r>
        <w:rPr>
          <w:rFonts w:hint="eastAsia" w:cs="Times New Roman" w:hAnsiTheme="minorEastAsia"/>
          <w:color w:val="000000"/>
          <w:szCs w:val="24"/>
        </w:rPr>
        <w:t>标准</w:t>
      </w:r>
      <w:r>
        <w:rPr>
          <w:rFonts w:hint="eastAsia" w:ascii="宋体" w:hAnsi="宋体" w:cs="宋体"/>
          <w:color w:val="000000"/>
          <w:szCs w:val="24"/>
        </w:rPr>
        <w:t>。</w:t>
      </w:r>
    </w:p>
    <w:p>
      <w:pPr>
        <w:pStyle w:val="4"/>
        <w:rPr>
          <w:szCs w:val="21"/>
        </w:rPr>
      </w:pPr>
      <w:bookmarkStart w:id="38" w:name="_Toc72396076"/>
      <w:r>
        <w:t>4.1.4固体废物</w:t>
      </w:r>
      <w:bookmarkEnd w:id="37"/>
      <w:bookmarkEnd w:id="38"/>
    </w:p>
    <w:p>
      <w:pPr>
        <w:ind w:firstLine="480"/>
        <w:rPr>
          <w:rFonts w:cs="Times New Roman"/>
          <w:szCs w:val="28"/>
        </w:rPr>
      </w:pPr>
      <w:r>
        <w:rPr>
          <w:rFonts w:hint="eastAsia" w:cs="Times New Roman"/>
          <w:szCs w:val="28"/>
        </w:rPr>
        <w:t>本</w:t>
      </w:r>
      <w:r>
        <w:rPr>
          <w:rFonts w:cs="Times New Roman"/>
          <w:szCs w:val="28"/>
        </w:rPr>
        <w:t>项目固体废物主要包括员工生活垃圾、一般工业固体废物。</w:t>
      </w:r>
    </w:p>
    <w:p>
      <w:pPr>
        <w:ind w:firstLine="480"/>
        <w:rPr>
          <w:rFonts w:cs="Times New Roman"/>
          <w:szCs w:val="28"/>
        </w:rPr>
      </w:pPr>
      <w:r>
        <w:rPr>
          <w:rFonts w:cs="Times New Roman"/>
          <w:szCs w:val="28"/>
        </w:rPr>
        <w:t>一般工业固体废物：主要是切割工序的边角料以及废原料包装袋等</w:t>
      </w:r>
      <w:r>
        <w:rPr>
          <w:rFonts w:hint="eastAsia" w:cs="Times New Roman"/>
          <w:szCs w:val="28"/>
        </w:rPr>
        <w:t>。</w:t>
      </w:r>
    </w:p>
    <w:p>
      <w:pPr>
        <w:ind w:firstLine="480"/>
        <w:rPr>
          <w:rFonts w:cs="Times New Roman"/>
        </w:rPr>
      </w:pPr>
      <w:r>
        <w:rPr>
          <w:rFonts w:hint="eastAsia" w:cs="Times New Roman"/>
          <w:szCs w:val="28"/>
        </w:rPr>
        <w:t>废边角料收集后回用于原料混合工序生产</w:t>
      </w:r>
      <w:r>
        <w:rPr>
          <w:rFonts w:cs="Times New Roman"/>
          <w:szCs w:val="28"/>
        </w:rPr>
        <w:t>；废原料包装袋和员工生活垃圾交由环卫部门处理。</w:t>
      </w:r>
      <w:r>
        <w:rPr>
          <w:rFonts w:hint="eastAsia" w:cs="Times New Roman"/>
          <w:szCs w:val="28"/>
        </w:rPr>
        <w:t>执行</w:t>
      </w:r>
      <w:r>
        <w:rPr>
          <w:rFonts w:cs="Times New Roman"/>
          <w:szCs w:val="28"/>
        </w:rPr>
        <w:t>《一般工业固体废物贮存、处置场污染控制标准》（GB18599-2001）及其2013年修改单相关要求</w:t>
      </w:r>
      <w:r>
        <w:rPr>
          <w:rFonts w:hint="eastAsia" w:cs="Times New Roman"/>
          <w:szCs w:val="28"/>
        </w:rPr>
        <w:t>。</w:t>
      </w:r>
      <w:r>
        <w:rPr>
          <w:rFonts w:cs="Times New Roman"/>
          <w:szCs w:val="28"/>
        </w:rPr>
        <w:t>项目固体废物经上述措施处理后</w:t>
      </w:r>
      <w:r>
        <w:rPr>
          <w:rFonts w:cs="Times New Roman"/>
        </w:rPr>
        <w:t>，对周围环境影响较小。</w:t>
      </w:r>
    </w:p>
    <w:p>
      <w:pPr>
        <w:pStyle w:val="4"/>
        <w:rPr>
          <w:szCs w:val="21"/>
        </w:rPr>
      </w:pPr>
      <w:bookmarkStart w:id="39" w:name="_Toc10473941"/>
      <w:bookmarkStart w:id="40" w:name="_Toc72396077"/>
      <w:r>
        <w:t>4.1.</w:t>
      </w:r>
      <w:r>
        <w:rPr>
          <w:rFonts w:hint="eastAsia"/>
        </w:rPr>
        <w:t>5环保投资</w:t>
      </w:r>
      <w:bookmarkEnd w:id="39"/>
      <w:bookmarkEnd w:id="40"/>
    </w:p>
    <w:p>
      <w:pPr>
        <w:adjustRightInd w:val="0"/>
        <w:snapToGrid w:val="0"/>
        <w:ind w:firstLine="480"/>
        <w:rPr>
          <w:color w:val="000000"/>
        </w:rPr>
      </w:pPr>
      <w:r>
        <w:rPr>
          <w:rFonts w:hint="eastAsia"/>
          <w:color w:val="000000"/>
        </w:rPr>
        <w:t>本项目环保投资主要用于废水、废气、噪声、固废处理等方面，合计环保投资:10万元，占总投资3.33%。</w:t>
      </w:r>
    </w:p>
    <w:p>
      <w:pPr>
        <w:adjustRightInd w:val="0"/>
        <w:snapToGrid w:val="0"/>
        <w:ind w:firstLine="0" w:firstLineChars="0"/>
        <w:jc w:val="center"/>
        <w:rPr>
          <w:b/>
          <w:color w:val="000000"/>
        </w:rPr>
      </w:pPr>
      <w:r>
        <w:rPr>
          <w:rFonts w:hint="eastAsia"/>
          <w:b/>
          <w:color w:val="000000"/>
        </w:rPr>
        <w:t>表4.1-1项目主要环保投资明细表</w:t>
      </w:r>
    </w:p>
    <w:tbl>
      <w:tblPr>
        <w:tblStyle w:val="25"/>
        <w:tblW w:w="7797"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909"/>
        <w:gridCol w:w="1985"/>
        <w:gridCol w:w="286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792" w:type="dxa"/>
            <w:vAlign w:val="center"/>
          </w:tcPr>
          <w:p>
            <w:pPr>
              <w:spacing w:line="240" w:lineRule="auto"/>
              <w:ind w:firstLine="0" w:firstLineChars="0"/>
              <w:jc w:val="center"/>
              <w:rPr>
                <w:sz w:val="21"/>
                <w:szCs w:val="21"/>
              </w:rPr>
            </w:pPr>
            <w:r>
              <w:rPr>
                <w:sz w:val="21"/>
                <w:szCs w:val="21"/>
              </w:rPr>
              <w:t>序号</w:t>
            </w:r>
          </w:p>
        </w:tc>
        <w:tc>
          <w:tcPr>
            <w:tcW w:w="2894" w:type="dxa"/>
            <w:gridSpan w:val="2"/>
            <w:vAlign w:val="center"/>
          </w:tcPr>
          <w:p>
            <w:pPr>
              <w:spacing w:line="240" w:lineRule="auto"/>
              <w:ind w:firstLine="0" w:firstLineChars="0"/>
              <w:jc w:val="center"/>
              <w:rPr>
                <w:sz w:val="21"/>
                <w:szCs w:val="21"/>
              </w:rPr>
            </w:pPr>
            <w:r>
              <w:rPr>
                <w:sz w:val="21"/>
                <w:szCs w:val="21"/>
              </w:rPr>
              <w:t>类别</w:t>
            </w:r>
          </w:p>
        </w:tc>
        <w:tc>
          <w:tcPr>
            <w:tcW w:w="2864" w:type="dxa"/>
            <w:vAlign w:val="center"/>
          </w:tcPr>
          <w:p>
            <w:pPr>
              <w:spacing w:line="240" w:lineRule="auto"/>
              <w:ind w:firstLine="0" w:firstLineChars="0"/>
              <w:jc w:val="center"/>
              <w:rPr>
                <w:sz w:val="21"/>
                <w:szCs w:val="21"/>
              </w:rPr>
            </w:pPr>
            <w:r>
              <w:rPr>
                <w:sz w:val="21"/>
                <w:szCs w:val="21"/>
              </w:rPr>
              <w:t>处理措施</w:t>
            </w:r>
          </w:p>
        </w:tc>
        <w:tc>
          <w:tcPr>
            <w:tcW w:w="1247" w:type="dxa"/>
            <w:vAlign w:val="center"/>
          </w:tcPr>
          <w:p>
            <w:pPr>
              <w:spacing w:line="240" w:lineRule="auto"/>
              <w:ind w:firstLine="0" w:firstLineChars="0"/>
              <w:jc w:val="center"/>
              <w:rPr>
                <w:sz w:val="21"/>
                <w:szCs w:val="21"/>
              </w:rPr>
            </w:pPr>
            <w:r>
              <w:rPr>
                <w:sz w:val="21"/>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2" w:type="dxa"/>
            <w:vAlign w:val="center"/>
          </w:tcPr>
          <w:p>
            <w:pPr>
              <w:spacing w:line="240" w:lineRule="auto"/>
              <w:ind w:firstLine="0" w:firstLineChars="0"/>
              <w:jc w:val="center"/>
              <w:rPr>
                <w:sz w:val="21"/>
                <w:szCs w:val="21"/>
              </w:rPr>
            </w:pPr>
            <w:r>
              <w:rPr>
                <w:sz w:val="21"/>
                <w:szCs w:val="21"/>
              </w:rPr>
              <w:t>1</w:t>
            </w:r>
          </w:p>
        </w:tc>
        <w:tc>
          <w:tcPr>
            <w:tcW w:w="909" w:type="dxa"/>
            <w:vAlign w:val="center"/>
          </w:tcPr>
          <w:p>
            <w:pPr>
              <w:spacing w:line="240" w:lineRule="auto"/>
              <w:ind w:firstLine="0" w:firstLineChars="0"/>
              <w:jc w:val="center"/>
              <w:rPr>
                <w:sz w:val="21"/>
                <w:szCs w:val="21"/>
              </w:rPr>
            </w:pPr>
            <w:r>
              <w:rPr>
                <w:sz w:val="21"/>
                <w:szCs w:val="21"/>
              </w:rPr>
              <w:t>废水</w:t>
            </w:r>
          </w:p>
        </w:tc>
        <w:tc>
          <w:tcPr>
            <w:tcW w:w="1985" w:type="dxa"/>
            <w:vAlign w:val="center"/>
          </w:tcPr>
          <w:p>
            <w:pPr>
              <w:spacing w:line="240" w:lineRule="auto"/>
              <w:ind w:firstLine="0" w:firstLineChars="0"/>
              <w:jc w:val="center"/>
              <w:rPr>
                <w:sz w:val="21"/>
                <w:szCs w:val="21"/>
              </w:rPr>
            </w:pPr>
            <w:r>
              <w:rPr>
                <w:sz w:val="21"/>
                <w:szCs w:val="21"/>
              </w:rPr>
              <w:t>生活污水</w:t>
            </w:r>
          </w:p>
        </w:tc>
        <w:tc>
          <w:tcPr>
            <w:tcW w:w="2864" w:type="dxa"/>
            <w:vAlign w:val="center"/>
          </w:tcPr>
          <w:p>
            <w:pPr>
              <w:spacing w:line="240" w:lineRule="auto"/>
              <w:ind w:firstLine="0" w:firstLineChars="0"/>
              <w:jc w:val="center"/>
              <w:rPr>
                <w:sz w:val="21"/>
                <w:szCs w:val="21"/>
              </w:rPr>
            </w:pPr>
            <w:r>
              <w:rPr>
                <w:sz w:val="21"/>
                <w:szCs w:val="21"/>
              </w:rPr>
              <w:t>三级化粪池</w:t>
            </w:r>
          </w:p>
        </w:tc>
        <w:tc>
          <w:tcPr>
            <w:tcW w:w="1247" w:type="dxa"/>
            <w:vAlign w:val="center"/>
          </w:tcPr>
          <w:p>
            <w:pPr>
              <w:spacing w:line="240" w:lineRule="auto"/>
              <w:ind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vMerge w:val="restart"/>
            <w:vAlign w:val="center"/>
          </w:tcPr>
          <w:p>
            <w:pPr>
              <w:spacing w:line="240" w:lineRule="auto"/>
              <w:ind w:firstLine="0" w:firstLineChars="0"/>
              <w:jc w:val="center"/>
              <w:rPr>
                <w:sz w:val="21"/>
                <w:szCs w:val="21"/>
              </w:rPr>
            </w:pPr>
            <w:r>
              <w:rPr>
                <w:sz w:val="21"/>
                <w:szCs w:val="21"/>
              </w:rPr>
              <w:t>2</w:t>
            </w:r>
          </w:p>
        </w:tc>
        <w:tc>
          <w:tcPr>
            <w:tcW w:w="909" w:type="dxa"/>
            <w:vMerge w:val="restart"/>
            <w:vAlign w:val="center"/>
          </w:tcPr>
          <w:p>
            <w:pPr>
              <w:spacing w:line="240" w:lineRule="auto"/>
              <w:ind w:firstLine="0" w:firstLineChars="0"/>
              <w:jc w:val="center"/>
              <w:rPr>
                <w:sz w:val="21"/>
                <w:szCs w:val="21"/>
              </w:rPr>
            </w:pPr>
            <w:r>
              <w:rPr>
                <w:sz w:val="21"/>
                <w:szCs w:val="21"/>
              </w:rPr>
              <w:t>废气</w:t>
            </w:r>
          </w:p>
        </w:tc>
        <w:tc>
          <w:tcPr>
            <w:tcW w:w="1985" w:type="dxa"/>
            <w:vAlign w:val="center"/>
          </w:tcPr>
          <w:p>
            <w:pPr>
              <w:spacing w:line="240" w:lineRule="auto"/>
              <w:ind w:firstLine="0" w:firstLineChars="0"/>
              <w:jc w:val="center"/>
              <w:rPr>
                <w:sz w:val="21"/>
                <w:szCs w:val="21"/>
              </w:rPr>
            </w:pPr>
            <w:r>
              <w:rPr>
                <w:rFonts w:hint="eastAsia"/>
                <w:sz w:val="21"/>
                <w:szCs w:val="21"/>
              </w:rPr>
              <w:t>混合、切割、破碎工序中产生的粉尘</w:t>
            </w:r>
          </w:p>
        </w:tc>
        <w:tc>
          <w:tcPr>
            <w:tcW w:w="2864" w:type="dxa"/>
            <w:vAlign w:val="center"/>
          </w:tcPr>
          <w:p>
            <w:pPr>
              <w:spacing w:line="240" w:lineRule="auto"/>
              <w:ind w:firstLine="0" w:firstLineChars="0"/>
              <w:jc w:val="center"/>
              <w:rPr>
                <w:sz w:val="21"/>
                <w:szCs w:val="21"/>
              </w:rPr>
            </w:pPr>
            <w:r>
              <w:rPr>
                <w:rFonts w:hint="eastAsia"/>
                <w:sz w:val="21"/>
                <w:szCs w:val="21"/>
              </w:rPr>
              <w:t>抽吸资质、布袋除尘器、加强通风等</w:t>
            </w:r>
          </w:p>
        </w:tc>
        <w:tc>
          <w:tcPr>
            <w:tcW w:w="1247" w:type="dxa"/>
            <w:vMerge w:val="restart"/>
            <w:vAlign w:val="center"/>
          </w:tcPr>
          <w:p>
            <w:pPr>
              <w:spacing w:line="240" w:lineRule="auto"/>
              <w:ind w:firstLine="0" w:firstLineChars="0"/>
              <w:jc w:val="center"/>
              <w:rPr>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92" w:type="dxa"/>
            <w:vMerge w:val="continue"/>
            <w:vAlign w:val="center"/>
          </w:tcPr>
          <w:p>
            <w:pPr>
              <w:spacing w:line="240" w:lineRule="auto"/>
              <w:ind w:firstLine="0" w:firstLineChars="0"/>
              <w:jc w:val="center"/>
              <w:rPr>
                <w:sz w:val="21"/>
                <w:szCs w:val="21"/>
              </w:rPr>
            </w:pPr>
          </w:p>
        </w:tc>
        <w:tc>
          <w:tcPr>
            <w:tcW w:w="909"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rFonts w:hint="eastAsia"/>
                <w:sz w:val="21"/>
                <w:szCs w:val="21"/>
              </w:rPr>
              <w:t>有机废气</w:t>
            </w:r>
          </w:p>
        </w:tc>
        <w:tc>
          <w:tcPr>
            <w:tcW w:w="2864" w:type="dxa"/>
            <w:vAlign w:val="center"/>
          </w:tcPr>
          <w:p>
            <w:pPr>
              <w:ind w:firstLine="420"/>
              <w:jc w:val="center"/>
              <w:rPr>
                <w:sz w:val="21"/>
                <w:szCs w:val="21"/>
              </w:rPr>
            </w:pPr>
            <w:r>
              <w:rPr>
                <w:rFonts w:hint="eastAsia"/>
                <w:sz w:val="21"/>
                <w:szCs w:val="21"/>
              </w:rPr>
              <w:t>UV光解</w:t>
            </w:r>
            <w:r>
              <w:rPr>
                <w:sz w:val="21"/>
                <w:szCs w:val="21"/>
              </w:rPr>
              <w:t>装置</w:t>
            </w:r>
          </w:p>
        </w:tc>
        <w:tc>
          <w:tcPr>
            <w:tcW w:w="1247" w:type="dxa"/>
            <w:vMerge w:val="continue"/>
            <w:vAlign w:val="center"/>
          </w:tcPr>
          <w:p>
            <w:pPr>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Align w:val="center"/>
          </w:tcPr>
          <w:p>
            <w:pPr>
              <w:spacing w:line="240" w:lineRule="auto"/>
              <w:ind w:firstLine="0" w:firstLineChars="0"/>
              <w:jc w:val="center"/>
              <w:rPr>
                <w:sz w:val="21"/>
                <w:szCs w:val="21"/>
              </w:rPr>
            </w:pPr>
            <w:r>
              <w:rPr>
                <w:sz w:val="21"/>
                <w:szCs w:val="21"/>
              </w:rPr>
              <w:t>3</w:t>
            </w:r>
          </w:p>
        </w:tc>
        <w:tc>
          <w:tcPr>
            <w:tcW w:w="909" w:type="dxa"/>
            <w:vAlign w:val="center"/>
          </w:tcPr>
          <w:p>
            <w:pPr>
              <w:spacing w:line="240" w:lineRule="auto"/>
              <w:ind w:firstLine="0" w:firstLineChars="0"/>
              <w:jc w:val="center"/>
              <w:rPr>
                <w:sz w:val="21"/>
                <w:szCs w:val="21"/>
              </w:rPr>
            </w:pPr>
            <w:r>
              <w:rPr>
                <w:sz w:val="21"/>
                <w:szCs w:val="21"/>
              </w:rPr>
              <w:t>噪声</w:t>
            </w:r>
          </w:p>
        </w:tc>
        <w:tc>
          <w:tcPr>
            <w:tcW w:w="1985" w:type="dxa"/>
            <w:vAlign w:val="center"/>
          </w:tcPr>
          <w:p>
            <w:pPr>
              <w:spacing w:line="240" w:lineRule="auto"/>
              <w:ind w:firstLine="0" w:firstLineChars="0"/>
              <w:jc w:val="center"/>
              <w:rPr>
                <w:sz w:val="21"/>
                <w:szCs w:val="21"/>
              </w:rPr>
            </w:pPr>
            <w:r>
              <w:rPr>
                <w:sz w:val="21"/>
                <w:szCs w:val="21"/>
              </w:rPr>
              <w:t>设备噪声</w:t>
            </w:r>
          </w:p>
        </w:tc>
        <w:tc>
          <w:tcPr>
            <w:tcW w:w="2864" w:type="dxa"/>
            <w:vAlign w:val="center"/>
          </w:tcPr>
          <w:p>
            <w:pPr>
              <w:spacing w:line="240" w:lineRule="auto"/>
              <w:ind w:firstLine="0" w:firstLineChars="0"/>
              <w:jc w:val="center"/>
              <w:rPr>
                <w:sz w:val="21"/>
                <w:szCs w:val="21"/>
              </w:rPr>
            </w:pPr>
            <w:r>
              <w:rPr>
                <w:sz w:val="21"/>
                <w:szCs w:val="21"/>
              </w:rPr>
              <w:t>采取隔声、减震、吸声等措施，并通过周边绿化进一步衰减</w:t>
            </w:r>
          </w:p>
        </w:tc>
        <w:tc>
          <w:tcPr>
            <w:tcW w:w="1247" w:type="dxa"/>
            <w:vAlign w:val="center"/>
          </w:tcPr>
          <w:p>
            <w:pPr>
              <w:spacing w:line="240" w:lineRule="auto"/>
              <w:ind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792" w:type="dxa"/>
            <w:vMerge w:val="restart"/>
            <w:vAlign w:val="center"/>
          </w:tcPr>
          <w:p>
            <w:pPr>
              <w:spacing w:line="240" w:lineRule="auto"/>
              <w:ind w:firstLine="0" w:firstLineChars="0"/>
              <w:jc w:val="center"/>
              <w:rPr>
                <w:sz w:val="21"/>
                <w:szCs w:val="21"/>
              </w:rPr>
            </w:pPr>
            <w:r>
              <w:rPr>
                <w:sz w:val="21"/>
                <w:szCs w:val="21"/>
              </w:rPr>
              <w:t>4</w:t>
            </w:r>
          </w:p>
        </w:tc>
        <w:tc>
          <w:tcPr>
            <w:tcW w:w="909" w:type="dxa"/>
            <w:vMerge w:val="restart"/>
            <w:vAlign w:val="center"/>
          </w:tcPr>
          <w:p>
            <w:pPr>
              <w:spacing w:line="240" w:lineRule="auto"/>
              <w:ind w:firstLine="0" w:firstLineChars="0"/>
              <w:jc w:val="center"/>
              <w:rPr>
                <w:sz w:val="21"/>
                <w:szCs w:val="21"/>
              </w:rPr>
            </w:pPr>
            <w:r>
              <w:rPr>
                <w:sz w:val="21"/>
                <w:szCs w:val="21"/>
              </w:rPr>
              <w:t>固废</w:t>
            </w:r>
          </w:p>
        </w:tc>
        <w:tc>
          <w:tcPr>
            <w:tcW w:w="1985" w:type="dxa"/>
            <w:vAlign w:val="center"/>
          </w:tcPr>
          <w:p>
            <w:pPr>
              <w:spacing w:line="240" w:lineRule="auto"/>
              <w:ind w:firstLine="0" w:firstLineChars="0"/>
              <w:jc w:val="center"/>
              <w:rPr>
                <w:sz w:val="21"/>
                <w:szCs w:val="21"/>
              </w:rPr>
            </w:pPr>
            <w:r>
              <w:rPr>
                <w:sz w:val="21"/>
                <w:szCs w:val="21"/>
              </w:rPr>
              <w:t>生活垃圾</w:t>
            </w:r>
          </w:p>
        </w:tc>
        <w:tc>
          <w:tcPr>
            <w:tcW w:w="2864" w:type="dxa"/>
            <w:vMerge w:val="restart"/>
            <w:vAlign w:val="center"/>
          </w:tcPr>
          <w:p>
            <w:pPr>
              <w:spacing w:line="240" w:lineRule="auto"/>
              <w:ind w:firstLine="0" w:firstLineChars="0"/>
              <w:jc w:val="center"/>
              <w:rPr>
                <w:sz w:val="21"/>
                <w:szCs w:val="21"/>
              </w:rPr>
            </w:pPr>
            <w:r>
              <w:rPr>
                <w:sz w:val="21"/>
                <w:szCs w:val="21"/>
              </w:rPr>
              <w:t>收集后由环卫部门定期清运处理</w:t>
            </w:r>
          </w:p>
        </w:tc>
        <w:tc>
          <w:tcPr>
            <w:tcW w:w="1247" w:type="dxa"/>
            <w:vMerge w:val="restart"/>
            <w:vAlign w:val="center"/>
          </w:tcPr>
          <w:p>
            <w:pPr>
              <w:spacing w:line="240" w:lineRule="auto"/>
              <w:ind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792" w:type="dxa"/>
            <w:vMerge w:val="continue"/>
            <w:vAlign w:val="center"/>
          </w:tcPr>
          <w:p>
            <w:pPr>
              <w:spacing w:line="240" w:lineRule="auto"/>
              <w:ind w:firstLine="0" w:firstLineChars="0"/>
              <w:jc w:val="center"/>
              <w:rPr>
                <w:sz w:val="21"/>
                <w:szCs w:val="21"/>
              </w:rPr>
            </w:pPr>
          </w:p>
        </w:tc>
        <w:tc>
          <w:tcPr>
            <w:tcW w:w="909"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sz w:val="21"/>
                <w:szCs w:val="21"/>
              </w:rPr>
              <w:t>废原料包装袋</w:t>
            </w:r>
          </w:p>
        </w:tc>
        <w:tc>
          <w:tcPr>
            <w:tcW w:w="2864" w:type="dxa"/>
            <w:vMerge w:val="continue"/>
            <w:vAlign w:val="center"/>
          </w:tcPr>
          <w:p>
            <w:pPr>
              <w:spacing w:line="240" w:lineRule="auto"/>
              <w:ind w:firstLine="0" w:firstLineChars="0"/>
              <w:jc w:val="center"/>
              <w:rPr>
                <w:sz w:val="21"/>
                <w:szCs w:val="21"/>
              </w:rPr>
            </w:pPr>
          </w:p>
        </w:tc>
        <w:tc>
          <w:tcPr>
            <w:tcW w:w="1247"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792" w:type="dxa"/>
            <w:vMerge w:val="continue"/>
            <w:vAlign w:val="center"/>
          </w:tcPr>
          <w:p>
            <w:pPr>
              <w:spacing w:line="240" w:lineRule="auto"/>
              <w:ind w:firstLine="0" w:firstLineChars="0"/>
              <w:jc w:val="center"/>
              <w:rPr>
                <w:sz w:val="21"/>
                <w:szCs w:val="21"/>
              </w:rPr>
            </w:pPr>
          </w:p>
        </w:tc>
        <w:tc>
          <w:tcPr>
            <w:tcW w:w="909"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sz w:val="21"/>
                <w:szCs w:val="21"/>
              </w:rPr>
              <w:t>切割工序的边角料</w:t>
            </w:r>
          </w:p>
        </w:tc>
        <w:tc>
          <w:tcPr>
            <w:tcW w:w="2864" w:type="dxa"/>
            <w:vAlign w:val="center"/>
          </w:tcPr>
          <w:p>
            <w:pPr>
              <w:spacing w:line="240" w:lineRule="auto"/>
              <w:ind w:firstLine="0" w:firstLineChars="0"/>
              <w:jc w:val="center"/>
              <w:rPr>
                <w:sz w:val="21"/>
                <w:szCs w:val="21"/>
              </w:rPr>
            </w:pPr>
            <w:r>
              <w:rPr>
                <w:rFonts w:hint="eastAsia"/>
                <w:sz w:val="21"/>
                <w:szCs w:val="21"/>
              </w:rPr>
              <w:t>收集后回用于原料混合工序生产</w:t>
            </w:r>
          </w:p>
        </w:tc>
        <w:tc>
          <w:tcPr>
            <w:tcW w:w="1247"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6550" w:type="dxa"/>
            <w:gridSpan w:val="4"/>
            <w:vAlign w:val="center"/>
          </w:tcPr>
          <w:p>
            <w:pPr>
              <w:spacing w:line="240" w:lineRule="auto"/>
              <w:ind w:firstLine="0" w:firstLineChars="0"/>
              <w:jc w:val="center"/>
              <w:rPr>
                <w:sz w:val="21"/>
                <w:szCs w:val="21"/>
              </w:rPr>
            </w:pPr>
            <w:r>
              <w:rPr>
                <w:rFonts w:hint="eastAsia"/>
                <w:sz w:val="21"/>
                <w:szCs w:val="21"/>
              </w:rPr>
              <w:t>合计</w:t>
            </w:r>
          </w:p>
        </w:tc>
        <w:tc>
          <w:tcPr>
            <w:tcW w:w="1247" w:type="dxa"/>
            <w:vAlign w:val="center"/>
          </w:tcPr>
          <w:p>
            <w:pPr>
              <w:spacing w:line="240" w:lineRule="auto"/>
              <w:ind w:firstLine="0" w:firstLineChars="0"/>
              <w:jc w:val="center"/>
              <w:rPr>
                <w:sz w:val="21"/>
                <w:szCs w:val="21"/>
              </w:rPr>
            </w:pPr>
            <w:r>
              <w:rPr>
                <w:rFonts w:hint="eastAsia"/>
                <w:sz w:val="21"/>
                <w:szCs w:val="21"/>
              </w:rPr>
              <w:t>10</w:t>
            </w:r>
          </w:p>
        </w:tc>
      </w:tr>
    </w:tbl>
    <w:p>
      <w:pPr>
        <w:adjustRightInd w:val="0"/>
        <w:snapToGrid w:val="0"/>
        <w:ind w:firstLine="0" w:firstLineChars="0"/>
        <w:jc w:val="center"/>
        <w:rPr>
          <w:b/>
          <w:color w:val="000000"/>
        </w:rPr>
      </w:pPr>
    </w:p>
    <w:p>
      <w:pPr>
        <w:adjustRightInd w:val="0"/>
        <w:snapToGrid w:val="0"/>
        <w:ind w:firstLine="0" w:firstLineChars="0"/>
        <w:jc w:val="center"/>
        <w:rPr>
          <w:b/>
          <w:color w:val="000000"/>
        </w:rPr>
      </w:pPr>
    </w:p>
    <w:p>
      <w:pPr>
        <w:adjustRightInd w:val="0"/>
        <w:snapToGrid w:val="0"/>
        <w:ind w:firstLine="0" w:firstLineChars="0"/>
        <w:jc w:val="center"/>
        <w:rPr>
          <w:b/>
          <w:color w:val="000000"/>
        </w:rPr>
      </w:pPr>
    </w:p>
    <w:p>
      <w:pPr>
        <w:adjustRightInd w:val="0"/>
        <w:snapToGrid w:val="0"/>
        <w:ind w:firstLine="0" w:firstLineChars="0"/>
        <w:jc w:val="center"/>
        <w:rPr>
          <w:b/>
          <w:color w:val="000000"/>
        </w:rPr>
      </w:pPr>
    </w:p>
    <w:p>
      <w:pPr>
        <w:adjustRightInd w:val="0"/>
        <w:snapToGrid w:val="0"/>
        <w:ind w:firstLine="0" w:firstLineChars="0"/>
        <w:jc w:val="center"/>
        <w:rPr>
          <w:b/>
          <w:color w:val="000000"/>
        </w:rPr>
      </w:pPr>
    </w:p>
    <w:p>
      <w:pPr>
        <w:pStyle w:val="3"/>
      </w:pPr>
      <w:bookmarkStart w:id="41" w:name="_Toc72396078"/>
      <w:bookmarkStart w:id="42" w:name="_Toc531082157"/>
      <w:r>
        <w:rPr>
          <w:rFonts w:hint="eastAsia"/>
        </w:rPr>
        <w:t>4.1.6环保设施执行情况</w:t>
      </w:r>
      <w:bookmarkEnd w:id="41"/>
    </w:p>
    <w:p>
      <w:pPr>
        <w:ind w:firstLine="0" w:firstLineChars="0"/>
        <w:jc w:val="center"/>
        <w:rPr>
          <w:b/>
          <w:color w:val="000000"/>
        </w:rPr>
      </w:pPr>
      <w:r>
        <w:rPr>
          <w:rFonts w:hint="eastAsia"/>
          <w:b/>
          <w:color w:val="000000"/>
        </w:rPr>
        <w:t>表4.1-2</w:t>
      </w:r>
      <w:r>
        <w:rPr>
          <w:rFonts w:hint="eastAsia"/>
          <w:b/>
        </w:rPr>
        <w:t>环保设施执行情况表</w:t>
      </w:r>
    </w:p>
    <w:tbl>
      <w:tblPr>
        <w:tblStyle w:val="26"/>
        <w:tblW w:w="832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3"/>
        <w:gridCol w:w="1814"/>
        <w:gridCol w:w="1932"/>
        <w:gridCol w:w="1985"/>
        <w:gridCol w:w="19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8" w:hRule="atLeast"/>
          <w:jc w:val="center"/>
        </w:trPr>
        <w:tc>
          <w:tcPr>
            <w:tcW w:w="2467" w:type="dxa"/>
            <w:gridSpan w:val="2"/>
            <w:vAlign w:val="center"/>
          </w:tcPr>
          <w:p>
            <w:pPr>
              <w:spacing w:line="240" w:lineRule="auto"/>
              <w:ind w:firstLine="0" w:firstLineChars="0"/>
              <w:jc w:val="center"/>
              <w:rPr>
                <w:sz w:val="21"/>
                <w:szCs w:val="21"/>
              </w:rPr>
            </w:pPr>
            <w:r>
              <w:rPr>
                <w:rFonts w:hint="eastAsia"/>
                <w:sz w:val="21"/>
                <w:szCs w:val="21"/>
              </w:rPr>
              <w:t>类型</w:t>
            </w:r>
          </w:p>
        </w:tc>
        <w:tc>
          <w:tcPr>
            <w:tcW w:w="1932" w:type="dxa"/>
            <w:vAlign w:val="center"/>
          </w:tcPr>
          <w:p>
            <w:pPr>
              <w:spacing w:line="240" w:lineRule="auto"/>
              <w:ind w:firstLine="0" w:firstLineChars="0"/>
              <w:jc w:val="center"/>
              <w:rPr>
                <w:sz w:val="21"/>
                <w:szCs w:val="21"/>
              </w:rPr>
            </w:pPr>
            <w:r>
              <w:rPr>
                <w:color w:val="000000"/>
                <w:sz w:val="21"/>
                <w:szCs w:val="21"/>
              </w:rPr>
              <w:t>环境影响报告表及审批文件中要求的环境保护措施</w:t>
            </w:r>
          </w:p>
        </w:tc>
        <w:tc>
          <w:tcPr>
            <w:tcW w:w="1985" w:type="dxa"/>
            <w:vAlign w:val="center"/>
          </w:tcPr>
          <w:p>
            <w:pPr>
              <w:spacing w:line="240" w:lineRule="auto"/>
              <w:ind w:firstLine="0" w:firstLineChars="0"/>
              <w:jc w:val="center"/>
              <w:rPr>
                <w:sz w:val="21"/>
                <w:szCs w:val="21"/>
              </w:rPr>
            </w:pPr>
            <w:r>
              <w:rPr>
                <w:color w:val="000000"/>
                <w:sz w:val="21"/>
                <w:szCs w:val="21"/>
              </w:rPr>
              <w:t>环境保护措施的落实情况</w:t>
            </w:r>
          </w:p>
        </w:tc>
        <w:tc>
          <w:tcPr>
            <w:tcW w:w="1940" w:type="dxa"/>
            <w:vAlign w:val="center"/>
          </w:tcPr>
          <w:p>
            <w:pPr>
              <w:spacing w:line="240" w:lineRule="auto"/>
              <w:ind w:firstLine="0" w:firstLineChars="0"/>
              <w:jc w:val="center"/>
              <w:rPr>
                <w:sz w:val="21"/>
                <w:szCs w:val="21"/>
              </w:rPr>
            </w:pPr>
            <w:r>
              <w:rPr>
                <w:color w:val="000000"/>
                <w:sz w:val="21"/>
                <w:szCs w:val="21"/>
              </w:rPr>
              <w:t>措施的执行效果及未采取措施的原因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Merge w:val="restart"/>
            <w:vAlign w:val="center"/>
          </w:tcPr>
          <w:p>
            <w:pPr>
              <w:spacing w:line="240" w:lineRule="auto"/>
              <w:ind w:firstLine="0" w:firstLineChars="0"/>
              <w:jc w:val="center"/>
              <w:rPr>
                <w:sz w:val="21"/>
                <w:szCs w:val="21"/>
              </w:rPr>
            </w:pPr>
            <w:r>
              <w:rPr>
                <w:rFonts w:hint="eastAsia"/>
                <w:sz w:val="21"/>
                <w:szCs w:val="21"/>
              </w:rPr>
              <w:t>废气</w:t>
            </w:r>
          </w:p>
        </w:tc>
        <w:tc>
          <w:tcPr>
            <w:tcW w:w="1814" w:type="dxa"/>
            <w:vAlign w:val="center"/>
          </w:tcPr>
          <w:p>
            <w:pPr>
              <w:spacing w:line="240" w:lineRule="auto"/>
              <w:ind w:firstLine="0" w:firstLineChars="0"/>
              <w:jc w:val="center"/>
              <w:rPr>
                <w:sz w:val="21"/>
                <w:szCs w:val="21"/>
              </w:rPr>
            </w:pPr>
            <w:r>
              <w:rPr>
                <w:rFonts w:hint="eastAsia"/>
                <w:sz w:val="21"/>
                <w:szCs w:val="21"/>
              </w:rPr>
              <w:t>无组织颗粒物</w:t>
            </w:r>
          </w:p>
        </w:tc>
        <w:tc>
          <w:tcPr>
            <w:tcW w:w="1932" w:type="dxa"/>
            <w:vAlign w:val="center"/>
          </w:tcPr>
          <w:p>
            <w:pPr>
              <w:spacing w:line="240" w:lineRule="auto"/>
              <w:ind w:firstLine="0" w:firstLineChars="0"/>
              <w:jc w:val="center"/>
              <w:rPr>
                <w:sz w:val="21"/>
                <w:szCs w:val="21"/>
              </w:rPr>
            </w:pPr>
            <w:r>
              <w:rPr>
                <w:rFonts w:hint="eastAsia"/>
                <w:sz w:val="21"/>
                <w:szCs w:val="21"/>
              </w:rPr>
              <w:t>配套安装抽吸装置，将粉尘废气收集后通过布袋除尘器处理后无组织排放，车间加强机械通风</w:t>
            </w:r>
          </w:p>
        </w:tc>
        <w:tc>
          <w:tcPr>
            <w:tcW w:w="1985" w:type="dxa"/>
            <w:vAlign w:val="center"/>
          </w:tcPr>
          <w:p>
            <w:pPr>
              <w:spacing w:line="240" w:lineRule="auto"/>
              <w:ind w:firstLine="0" w:firstLineChars="0"/>
              <w:jc w:val="center"/>
              <w:rPr>
                <w:sz w:val="21"/>
                <w:szCs w:val="21"/>
              </w:rPr>
            </w:pPr>
            <w:r>
              <w:rPr>
                <w:rFonts w:hint="eastAsia"/>
                <w:sz w:val="21"/>
                <w:szCs w:val="21"/>
              </w:rPr>
              <w:t>配套安装抽吸装置，将粉尘废气收集后通过布袋除尘器处理后无组织排放，车间加强机械通风</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Merge w:val="continue"/>
            <w:vAlign w:val="center"/>
          </w:tcPr>
          <w:p>
            <w:pPr>
              <w:spacing w:line="240" w:lineRule="auto"/>
              <w:ind w:firstLine="0" w:firstLineChars="0"/>
              <w:jc w:val="center"/>
              <w:rPr>
                <w:sz w:val="21"/>
                <w:szCs w:val="21"/>
              </w:rPr>
            </w:pPr>
          </w:p>
        </w:tc>
        <w:tc>
          <w:tcPr>
            <w:tcW w:w="1814" w:type="dxa"/>
            <w:vAlign w:val="center"/>
          </w:tcPr>
          <w:p>
            <w:pPr>
              <w:spacing w:line="240" w:lineRule="auto"/>
              <w:ind w:firstLine="0" w:firstLineChars="0"/>
              <w:jc w:val="center"/>
              <w:rPr>
                <w:sz w:val="21"/>
                <w:szCs w:val="21"/>
              </w:rPr>
            </w:pPr>
            <w:r>
              <w:rPr>
                <w:rFonts w:hint="eastAsia"/>
                <w:sz w:val="21"/>
                <w:szCs w:val="21"/>
              </w:rPr>
              <w:t>有机废气</w:t>
            </w:r>
          </w:p>
        </w:tc>
        <w:tc>
          <w:tcPr>
            <w:tcW w:w="1932" w:type="dxa"/>
            <w:vAlign w:val="center"/>
          </w:tcPr>
          <w:p>
            <w:pPr>
              <w:spacing w:line="240" w:lineRule="auto"/>
              <w:ind w:firstLine="0" w:firstLineChars="0"/>
              <w:jc w:val="center"/>
              <w:rPr>
                <w:sz w:val="21"/>
                <w:szCs w:val="21"/>
              </w:rPr>
            </w:pPr>
            <w:r>
              <w:rPr>
                <w:rFonts w:hint="eastAsia"/>
                <w:sz w:val="21"/>
                <w:szCs w:val="21"/>
              </w:rPr>
              <w:t>利用管道统一收集后通过UV光解</w:t>
            </w:r>
            <w:r>
              <w:rPr>
                <w:sz w:val="21"/>
                <w:szCs w:val="21"/>
              </w:rPr>
              <w:t>装置</w:t>
            </w:r>
            <w:r>
              <w:rPr>
                <w:rFonts w:hint="eastAsia"/>
                <w:sz w:val="21"/>
                <w:szCs w:val="21"/>
              </w:rPr>
              <w:t>处理后通过15m排气筒高空排放</w:t>
            </w:r>
          </w:p>
        </w:tc>
        <w:tc>
          <w:tcPr>
            <w:tcW w:w="1985" w:type="dxa"/>
            <w:vAlign w:val="center"/>
          </w:tcPr>
          <w:p>
            <w:pPr>
              <w:spacing w:line="240" w:lineRule="auto"/>
              <w:ind w:firstLine="0" w:firstLineChars="0"/>
              <w:jc w:val="center"/>
              <w:rPr>
                <w:sz w:val="21"/>
                <w:szCs w:val="21"/>
              </w:rPr>
            </w:pPr>
            <w:r>
              <w:rPr>
                <w:rFonts w:hint="eastAsia"/>
                <w:sz w:val="21"/>
                <w:szCs w:val="21"/>
              </w:rPr>
              <w:t>利用管道统一收集后通过UV光解</w:t>
            </w:r>
            <w:r>
              <w:rPr>
                <w:sz w:val="21"/>
                <w:szCs w:val="21"/>
              </w:rPr>
              <w:t>装置</w:t>
            </w:r>
            <w:r>
              <w:rPr>
                <w:rFonts w:hint="eastAsia"/>
                <w:sz w:val="21"/>
                <w:szCs w:val="21"/>
              </w:rPr>
              <w:t>处理后通过15m排气筒高空排放</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1" w:hRule="atLeast"/>
          <w:jc w:val="center"/>
        </w:trPr>
        <w:tc>
          <w:tcPr>
            <w:tcW w:w="653" w:type="dxa"/>
            <w:vMerge w:val="restart"/>
            <w:vAlign w:val="center"/>
          </w:tcPr>
          <w:p>
            <w:pPr>
              <w:spacing w:line="240" w:lineRule="auto"/>
              <w:ind w:firstLine="0" w:firstLineChars="0"/>
              <w:jc w:val="center"/>
              <w:rPr>
                <w:sz w:val="21"/>
                <w:szCs w:val="21"/>
              </w:rPr>
            </w:pPr>
            <w:r>
              <w:rPr>
                <w:rFonts w:hint="eastAsia"/>
                <w:sz w:val="21"/>
                <w:szCs w:val="21"/>
              </w:rPr>
              <w:t>废水</w:t>
            </w:r>
          </w:p>
        </w:tc>
        <w:tc>
          <w:tcPr>
            <w:tcW w:w="1814" w:type="dxa"/>
            <w:vAlign w:val="center"/>
          </w:tcPr>
          <w:p>
            <w:pPr>
              <w:spacing w:line="240" w:lineRule="auto"/>
              <w:ind w:firstLine="0" w:firstLineChars="0"/>
              <w:jc w:val="center"/>
              <w:rPr>
                <w:sz w:val="21"/>
                <w:szCs w:val="21"/>
              </w:rPr>
            </w:pPr>
            <w:r>
              <w:rPr>
                <w:rFonts w:hint="eastAsia"/>
                <w:sz w:val="21"/>
                <w:szCs w:val="21"/>
              </w:rPr>
              <w:t>生活污水</w:t>
            </w:r>
          </w:p>
        </w:tc>
        <w:tc>
          <w:tcPr>
            <w:tcW w:w="1932" w:type="dxa"/>
            <w:vAlign w:val="center"/>
          </w:tcPr>
          <w:p>
            <w:pPr>
              <w:spacing w:line="240" w:lineRule="auto"/>
              <w:ind w:firstLine="0" w:firstLineChars="0"/>
              <w:jc w:val="center"/>
              <w:rPr>
                <w:sz w:val="21"/>
                <w:szCs w:val="21"/>
              </w:rPr>
            </w:pPr>
            <w:r>
              <w:rPr>
                <w:rFonts w:hint="eastAsia"/>
                <w:sz w:val="21"/>
                <w:szCs w:val="21"/>
              </w:rPr>
              <w:t>生活污水经</w:t>
            </w:r>
            <w:r>
              <w:rPr>
                <w:sz w:val="21"/>
                <w:szCs w:val="21"/>
              </w:rPr>
              <w:t>三级化粪池处理</w:t>
            </w:r>
            <w:r>
              <w:rPr>
                <w:rFonts w:hint="eastAsia"/>
                <w:sz w:val="21"/>
                <w:szCs w:val="21"/>
              </w:rPr>
              <w:t>后定期由吸污车吸走</w:t>
            </w:r>
          </w:p>
        </w:tc>
        <w:tc>
          <w:tcPr>
            <w:tcW w:w="1985" w:type="dxa"/>
            <w:vAlign w:val="center"/>
          </w:tcPr>
          <w:p>
            <w:pPr>
              <w:spacing w:line="240" w:lineRule="auto"/>
              <w:ind w:firstLine="0" w:firstLineChars="0"/>
              <w:jc w:val="center"/>
              <w:rPr>
                <w:sz w:val="21"/>
                <w:szCs w:val="21"/>
              </w:rPr>
            </w:pPr>
            <w:r>
              <w:rPr>
                <w:rFonts w:hint="eastAsia"/>
                <w:sz w:val="21"/>
                <w:szCs w:val="21"/>
              </w:rPr>
              <w:t>生活污水经</w:t>
            </w:r>
            <w:r>
              <w:rPr>
                <w:sz w:val="21"/>
                <w:szCs w:val="21"/>
              </w:rPr>
              <w:t>三级化粪池处理</w:t>
            </w:r>
            <w:r>
              <w:rPr>
                <w:rFonts w:hint="eastAsia"/>
                <w:sz w:val="21"/>
                <w:szCs w:val="21"/>
              </w:rPr>
              <w:t>后定期由吸污车吸走</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1" w:hRule="atLeast"/>
          <w:jc w:val="center"/>
        </w:trPr>
        <w:tc>
          <w:tcPr>
            <w:tcW w:w="653" w:type="dxa"/>
            <w:vMerge w:val="continue"/>
            <w:vAlign w:val="center"/>
          </w:tcPr>
          <w:p>
            <w:pPr>
              <w:spacing w:line="240" w:lineRule="auto"/>
              <w:ind w:firstLine="0" w:firstLineChars="0"/>
              <w:jc w:val="center"/>
              <w:rPr>
                <w:sz w:val="21"/>
                <w:szCs w:val="21"/>
              </w:rPr>
            </w:pPr>
          </w:p>
        </w:tc>
        <w:tc>
          <w:tcPr>
            <w:tcW w:w="1814" w:type="dxa"/>
            <w:vAlign w:val="center"/>
          </w:tcPr>
          <w:p>
            <w:pPr>
              <w:spacing w:line="240" w:lineRule="auto"/>
              <w:ind w:firstLine="0" w:firstLineChars="0"/>
              <w:jc w:val="center"/>
              <w:rPr>
                <w:sz w:val="21"/>
                <w:szCs w:val="21"/>
              </w:rPr>
            </w:pPr>
            <w:r>
              <w:rPr>
                <w:rFonts w:hint="eastAsia"/>
                <w:sz w:val="21"/>
                <w:szCs w:val="21"/>
              </w:rPr>
              <w:t>机械冷却用水</w:t>
            </w:r>
          </w:p>
        </w:tc>
        <w:tc>
          <w:tcPr>
            <w:tcW w:w="1932" w:type="dxa"/>
            <w:vAlign w:val="center"/>
          </w:tcPr>
          <w:p>
            <w:pPr>
              <w:spacing w:line="240" w:lineRule="auto"/>
              <w:ind w:firstLine="0" w:firstLineChars="0"/>
              <w:jc w:val="center"/>
              <w:rPr>
                <w:sz w:val="21"/>
                <w:szCs w:val="21"/>
              </w:rPr>
            </w:pPr>
            <w:r>
              <w:rPr>
                <w:sz w:val="21"/>
                <w:szCs w:val="21"/>
              </w:rPr>
              <w:t>循环使用，</w:t>
            </w:r>
            <w:r>
              <w:rPr>
                <w:rFonts w:hint="eastAsia"/>
                <w:sz w:val="21"/>
                <w:szCs w:val="21"/>
              </w:rPr>
              <w:t>定期补充新鲜水</w:t>
            </w:r>
            <w:r>
              <w:rPr>
                <w:sz w:val="21"/>
                <w:szCs w:val="21"/>
              </w:rPr>
              <w:t>，不外排</w:t>
            </w:r>
          </w:p>
        </w:tc>
        <w:tc>
          <w:tcPr>
            <w:tcW w:w="1985" w:type="dxa"/>
            <w:vAlign w:val="center"/>
          </w:tcPr>
          <w:p>
            <w:pPr>
              <w:spacing w:line="240" w:lineRule="auto"/>
              <w:ind w:firstLine="0" w:firstLineChars="0"/>
              <w:jc w:val="center"/>
              <w:rPr>
                <w:sz w:val="21"/>
                <w:szCs w:val="21"/>
              </w:rPr>
            </w:pPr>
            <w:r>
              <w:rPr>
                <w:sz w:val="21"/>
                <w:szCs w:val="21"/>
              </w:rPr>
              <w:t>循环使用，</w:t>
            </w:r>
            <w:r>
              <w:rPr>
                <w:rFonts w:hint="eastAsia"/>
                <w:sz w:val="21"/>
                <w:szCs w:val="21"/>
              </w:rPr>
              <w:t>定期补充新鲜水</w:t>
            </w:r>
            <w:r>
              <w:rPr>
                <w:sz w:val="21"/>
                <w:szCs w:val="21"/>
              </w:rPr>
              <w:t>，不外排</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Align w:val="center"/>
          </w:tcPr>
          <w:p>
            <w:pPr>
              <w:spacing w:line="240" w:lineRule="auto"/>
              <w:ind w:firstLine="0" w:firstLineChars="0"/>
              <w:jc w:val="center"/>
              <w:rPr>
                <w:sz w:val="21"/>
                <w:szCs w:val="21"/>
              </w:rPr>
            </w:pPr>
            <w:r>
              <w:rPr>
                <w:rFonts w:hint="eastAsia"/>
                <w:sz w:val="21"/>
                <w:szCs w:val="21"/>
              </w:rPr>
              <w:t>噪声</w:t>
            </w:r>
          </w:p>
        </w:tc>
        <w:tc>
          <w:tcPr>
            <w:tcW w:w="1814" w:type="dxa"/>
            <w:vAlign w:val="center"/>
          </w:tcPr>
          <w:p>
            <w:pPr>
              <w:spacing w:line="240" w:lineRule="auto"/>
              <w:ind w:firstLine="0" w:firstLineChars="0"/>
              <w:jc w:val="center"/>
              <w:rPr>
                <w:sz w:val="21"/>
                <w:szCs w:val="21"/>
              </w:rPr>
            </w:pPr>
            <w:r>
              <w:rPr>
                <w:rFonts w:hint="eastAsia"/>
                <w:sz w:val="21"/>
                <w:szCs w:val="21"/>
              </w:rPr>
              <w:t>生产设备</w:t>
            </w:r>
          </w:p>
        </w:tc>
        <w:tc>
          <w:tcPr>
            <w:tcW w:w="1932" w:type="dxa"/>
            <w:vAlign w:val="center"/>
          </w:tcPr>
          <w:p>
            <w:pPr>
              <w:spacing w:line="240" w:lineRule="auto"/>
              <w:ind w:firstLine="0" w:firstLineChars="0"/>
              <w:jc w:val="center"/>
              <w:rPr>
                <w:sz w:val="21"/>
                <w:szCs w:val="21"/>
              </w:rPr>
            </w:pPr>
            <w:r>
              <w:rPr>
                <w:rFonts w:hint="eastAsia"/>
                <w:sz w:val="21"/>
                <w:szCs w:val="21"/>
              </w:rPr>
              <w:t>隔声、距离衰减</w:t>
            </w:r>
          </w:p>
        </w:tc>
        <w:tc>
          <w:tcPr>
            <w:tcW w:w="1985" w:type="dxa"/>
            <w:vAlign w:val="center"/>
          </w:tcPr>
          <w:p>
            <w:pPr>
              <w:spacing w:line="240" w:lineRule="auto"/>
              <w:ind w:firstLine="0" w:firstLineChars="0"/>
              <w:jc w:val="center"/>
              <w:rPr>
                <w:sz w:val="21"/>
                <w:szCs w:val="21"/>
              </w:rPr>
            </w:pPr>
            <w:r>
              <w:rPr>
                <w:rFonts w:hint="eastAsia"/>
                <w:sz w:val="21"/>
                <w:szCs w:val="21"/>
              </w:rPr>
              <w:t>隔声、距离衰减</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Merge w:val="restart"/>
            <w:vAlign w:val="center"/>
          </w:tcPr>
          <w:p>
            <w:pPr>
              <w:spacing w:line="240" w:lineRule="auto"/>
              <w:ind w:firstLine="0" w:firstLineChars="0"/>
              <w:jc w:val="center"/>
              <w:rPr>
                <w:sz w:val="21"/>
                <w:szCs w:val="21"/>
              </w:rPr>
            </w:pPr>
            <w:r>
              <w:rPr>
                <w:rFonts w:hint="eastAsia"/>
                <w:sz w:val="21"/>
                <w:szCs w:val="21"/>
              </w:rPr>
              <w:t>固废</w:t>
            </w:r>
          </w:p>
        </w:tc>
        <w:tc>
          <w:tcPr>
            <w:tcW w:w="1814" w:type="dxa"/>
            <w:vAlign w:val="center"/>
          </w:tcPr>
          <w:p>
            <w:pPr>
              <w:spacing w:line="240" w:lineRule="auto"/>
              <w:ind w:firstLine="0" w:firstLineChars="0"/>
              <w:jc w:val="center"/>
              <w:rPr>
                <w:sz w:val="21"/>
                <w:szCs w:val="21"/>
              </w:rPr>
            </w:pPr>
            <w:r>
              <w:rPr>
                <w:rFonts w:hint="eastAsia"/>
                <w:sz w:val="21"/>
                <w:szCs w:val="21"/>
              </w:rPr>
              <w:t>生活垃圾</w:t>
            </w:r>
          </w:p>
        </w:tc>
        <w:tc>
          <w:tcPr>
            <w:tcW w:w="1932" w:type="dxa"/>
            <w:vMerge w:val="restart"/>
            <w:vAlign w:val="center"/>
          </w:tcPr>
          <w:p>
            <w:pPr>
              <w:spacing w:line="240" w:lineRule="auto"/>
              <w:ind w:firstLine="0" w:firstLineChars="0"/>
              <w:jc w:val="center"/>
              <w:rPr>
                <w:sz w:val="21"/>
                <w:szCs w:val="21"/>
              </w:rPr>
            </w:pPr>
            <w:r>
              <w:rPr>
                <w:sz w:val="21"/>
                <w:szCs w:val="21"/>
              </w:rPr>
              <w:t>收集后由环卫部门定期清运处理</w:t>
            </w:r>
          </w:p>
        </w:tc>
        <w:tc>
          <w:tcPr>
            <w:tcW w:w="1985" w:type="dxa"/>
            <w:vMerge w:val="restart"/>
            <w:vAlign w:val="center"/>
          </w:tcPr>
          <w:p>
            <w:pPr>
              <w:spacing w:line="240" w:lineRule="auto"/>
              <w:ind w:firstLine="0" w:firstLineChars="0"/>
              <w:jc w:val="center"/>
              <w:rPr>
                <w:sz w:val="21"/>
                <w:szCs w:val="21"/>
              </w:rPr>
            </w:pPr>
            <w:r>
              <w:rPr>
                <w:sz w:val="21"/>
                <w:szCs w:val="21"/>
              </w:rPr>
              <w:t>收集后由环卫部门定期清运处理</w:t>
            </w:r>
          </w:p>
        </w:tc>
        <w:tc>
          <w:tcPr>
            <w:tcW w:w="1940" w:type="dxa"/>
            <w:vMerge w:val="restart"/>
            <w:vAlign w:val="center"/>
          </w:tcPr>
          <w:p>
            <w:pPr>
              <w:spacing w:line="240" w:lineRule="auto"/>
              <w:ind w:firstLine="0" w:firstLineChars="0"/>
              <w:jc w:val="center"/>
              <w:rPr>
                <w:sz w:val="21"/>
                <w:szCs w:val="21"/>
              </w:rPr>
            </w:pPr>
            <w:r>
              <w:rPr>
                <w:rFonts w:hint="eastAsia"/>
                <w:sz w:val="21"/>
                <w:szCs w:val="21"/>
              </w:rPr>
              <w:t>已按要求执行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Merge w:val="continue"/>
            <w:vAlign w:val="center"/>
          </w:tcPr>
          <w:p>
            <w:pPr>
              <w:spacing w:line="240" w:lineRule="auto"/>
              <w:ind w:firstLine="0" w:firstLineChars="0"/>
              <w:jc w:val="center"/>
              <w:rPr>
                <w:sz w:val="21"/>
                <w:szCs w:val="21"/>
              </w:rPr>
            </w:pPr>
          </w:p>
        </w:tc>
        <w:tc>
          <w:tcPr>
            <w:tcW w:w="1814" w:type="dxa"/>
            <w:vAlign w:val="center"/>
          </w:tcPr>
          <w:p>
            <w:pPr>
              <w:spacing w:line="240" w:lineRule="auto"/>
              <w:ind w:firstLine="0" w:firstLineChars="0"/>
              <w:jc w:val="center"/>
              <w:rPr>
                <w:sz w:val="21"/>
                <w:szCs w:val="21"/>
              </w:rPr>
            </w:pPr>
            <w:r>
              <w:rPr>
                <w:sz w:val="21"/>
                <w:szCs w:val="21"/>
              </w:rPr>
              <w:t>废原料包装袋</w:t>
            </w:r>
          </w:p>
        </w:tc>
        <w:tc>
          <w:tcPr>
            <w:tcW w:w="1932"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1940" w:type="dxa"/>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3" w:type="dxa"/>
            <w:vMerge w:val="continue"/>
            <w:vAlign w:val="center"/>
          </w:tcPr>
          <w:p>
            <w:pPr>
              <w:spacing w:line="240" w:lineRule="auto"/>
              <w:ind w:firstLine="0" w:firstLineChars="0"/>
              <w:jc w:val="center"/>
              <w:rPr>
                <w:sz w:val="21"/>
                <w:szCs w:val="21"/>
              </w:rPr>
            </w:pPr>
          </w:p>
        </w:tc>
        <w:tc>
          <w:tcPr>
            <w:tcW w:w="1814" w:type="dxa"/>
            <w:vAlign w:val="center"/>
          </w:tcPr>
          <w:p>
            <w:pPr>
              <w:spacing w:line="240" w:lineRule="auto"/>
              <w:ind w:firstLine="0" w:firstLineChars="0"/>
              <w:jc w:val="center"/>
              <w:rPr>
                <w:sz w:val="21"/>
                <w:szCs w:val="21"/>
              </w:rPr>
            </w:pPr>
            <w:r>
              <w:rPr>
                <w:sz w:val="21"/>
                <w:szCs w:val="21"/>
              </w:rPr>
              <w:t>切割工序的边角料</w:t>
            </w:r>
          </w:p>
        </w:tc>
        <w:tc>
          <w:tcPr>
            <w:tcW w:w="1932" w:type="dxa"/>
            <w:vAlign w:val="center"/>
          </w:tcPr>
          <w:p>
            <w:pPr>
              <w:spacing w:line="240" w:lineRule="auto"/>
              <w:ind w:firstLine="0" w:firstLineChars="0"/>
              <w:jc w:val="center"/>
              <w:rPr>
                <w:sz w:val="21"/>
                <w:szCs w:val="21"/>
              </w:rPr>
            </w:pPr>
            <w:r>
              <w:rPr>
                <w:rFonts w:hint="eastAsia"/>
                <w:sz w:val="21"/>
                <w:szCs w:val="21"/>
              </w:rPr>
              <w:t>收集后回用于原料混合工序生产</w:t>
            </w:r>
          </w:p>
        </w:tc>
        <w:tc>
          <w:tcPr>
            <w:tcW w:w="1985" w:type="dxa"/>
            <w:vAlign w:val="center"/>
          </w:tcPr>
          <w:p>
            <w:pPr>
              <w:spacing w:line="240" w:lineRule="auto"/>
              <w:ind w:firstLine="0" w:firstLineChars="0"/>
              <w:jc w:val="center"/>
              <w:rPr>
                <w:sz w:val="21"/>
                <w:szCs w:val="21"/>
              </w:rPr>
            </w:pPr>
            <w:r>
              <w:rPr>
                <w:rFonts w:hint="eastAsia"/>
                <w:sz w:val="21"/>
                <w:szCs w:val="21"/>
              </w:rPr>
              <w:t>收集后回用于原料混合工序生产</w:t>
            </w:r>
          </w:p>
        </w:tc>
        <w:tc>
          <w:tcPr>
            <w:tcW w:w="1940" w:type="dxa"/>
            <w:vAlign w:val="center"/>
          </w:tcPr>
          <w:p>
            <w:pPr>
              <w:spacing w:line="240" w:lineRule="auto"/>
              <w:ind w:firstLine="0" w:firstLineChars="0"/>
              <w:jc w:val="center"/>
              <w:rPr>
                <w:sz w:val="21"/>
                <w:szCs w:val="21"/>
              </w:rPr>
            </w:pPr>
            <w:r>
              <w:rPr>
                <w:rFonts w:hint="eastAsia"/>
                <w:sz w:val="21"/>
                <w:szCs w:val="21"/>
              </w:rPr>
              <w:t>已按要求执行</w:t>
            </w:r>
          </w:p>
        </w:tc>
      </w:tr>
      <w:bookmarkEnd w:id="42"/>
    </w:tbl>
    <w:p>
      <w:pPr>
        <w:ind w:firstLine="480"/>
        <w:sectPr>
          <w:pgSz w:w="11906" w:h="16838"/>
          <w:pgMar w:top="1440" w:right="1800" w:bottom="1440" w:left="1800" w:header="851" w:footer="850" w:gutter="0"/>
          <w:cols w:space="425" w:num="1"/>
          <w:docGrid w:type="lines" w:linePitch="326" w:charSpace="0"/>
        </w:sectPr>
      </w:pPr>
    </w:p>
    <w:p>
      <w:pPr>
        <w:pStyle w:val="3"/>
        <w:rPr>
          <w:szCs w:val="21"/>
        </w:rPr>
      </w:pPr>
      <w:bookmarkStart w:id="43" w:name="_Toc72396079"/>
      <w:r>
        <w:t>4.</w:t>
      </w:r>
      <w:r>
        <w:rPr>
          <w:rFonts w:hint="eastAsia"/>
        </w:rPr>
        <w:t>2</w:t>
      </w:r>
      <w:r>
        <w:t>环保</w:t>
      </w:r>
      <w:r>
        <w:rPr>
          <w:rFonts w:asciiTheme="minorEastAsia" w:hAnsiTheme="minorEastAsia" w:eastAsiaTheme="minorEastAsia"/>
        </w:rPr>
        <w:t>“三同时”</w:t>
      </w:r>
      <w:r>
        <w:t>落实情况</w:t>
      </w:r>
      <w:bookmarkEnd w:id="43"/>
    </w:p>
    <w:p>
      <w:pPr>
        <w:ind w:firstLine="480"/>
      </w:pPr>
      <w:r>
        <w:rPr>
          <w:rFonts w:hint="eastAsia"/>
        </w:rPr>
        <w:t>本项目环保“三同时”落实情况详见下表。</w:t>
      </w:r>
    </w:p>
    <w:p>
      <w:pPr>
        <w:ind w:firstLine="0" w:firstLineChars="0"/>
        <w:jc w:val="center"/>
        <w:rPr>
          <w:b/>
        </w:rPr>
      </w:pPr>
      <w:r>
        <w:rPr>
          <w:rFonts w:hint="eastAsia"/>
          <w:b/>
        </w:rPr>
        <w:t>表4.2-1  本项目环保“三同时”落实情况一览表</w:t>
      </w:r>
    </w:p>
    <w:tbl>
      <w:tblPr>
        <w:tblStyle w:val="26"/>
        <w:tblW w:w="9105"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4"/>
        <w:gridCol w:w="461"/>
        <w:gridCol w:w="567"/>
        <w:gridCol w:w="1134"/>
        <w:gridCol w:w="2552"/>
        <w:gridCol w:w="2551"/>
        <w:gridCol w:w="12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76" w:hRule="atLeast"/>
          <w:jc w:val="center"/>
        </w:trPr>
        <w:tc>
          <w:tcPr>
            <w:tcW w:w="1592" w:type="dxa"/>
            <w:gridSpan w:val="3"/>
            <w:vAlign w:val="center"/>
          </w:tcPr>
          <w:p>
            <w:pPr>
              <w:spacing w:line="240" w:lineRule="auto"/>
              <w:ind w:firstLine="0" w:firstLineChars="0"/>
              <w:jc w:val="center"/>
              <w:rPr>
                <w:sz w:val="21"/>
                <w:szCs w:val="21"/>
              </w:rPr>
            </w:pPr>
            <w:bookmarkStart w:id="44" w:name="_Toc531082159"/>
            <w:r>
              <w:rPr>
                <w:rFonts w:hint="eastAsia"/>
                <w:sz w:val="21"/>
                <w:szCs w:val="21"/>
              </w:rPr>
              <w:t>类型</w:t>
            </w:r>
          </w:p>
        </w:tc>
        <w:tc>
          <w:tcPr>
            <w:tcW w:w="1134" w:type="dxa"/>
            <w:vAlign w:val="center"/>
          </w:tcPr>
          <w:p>
            <w:pPr>
              <w:spacing w:line="240" w:lineRule="auto"/>
              <w:ind w:firstLine="0" w:firstLineChars="0"/>
              <w:jc w:val="center"/>
              <w:rPr>
                <w:sz w:val="21"/>
                <w:szCs w:val="21"/>
              </w:rPr>
            </w:pPr>
            <w:r>
              <w:rPr>
                <w:rFonts w:hint="eastAsia"/>
                <w:sz w:val="21"/>
                <w:szCs w:val="21"/>
              </w:rPr>
              <w:t>产污环节</w:t>
            </w:r>
          </w:p>
        </w:tc>
        <w:tc>
          <w:tcPr>
            <w:tcW w:w="2552" w:type="dxa"/>
            <w:vAlign w:val="center"/>
          </w:tcPr>
          <w:p>
            <w:pPr>
              <w:spacing w:line="240" w:lineRule="auto"/>
              <w:ind w:firstLine="0" w:firstLineChars="0"/>
              <w:jc w:val="center"/>
              <w:rPr>
                <w:sz w:val="21"/>
                <w:szCs w:val="21"/>
              </w:rPr>
            </w:pPr>
            <w:r>
              <w:rPr>
                <w:rFonts w:hint="eastAsia"/>
                <w:sz w:val="21"/>
                <w:szCs w:val="21"/>
              </w:rPr>
              <w:t>治理措施</w:t>
            </w:r>
          </w:p>
        </w:tc>
        <w:tc>
          <w:tcPr>
            <w:tcW w:w="2551" w:type="dxa"/>
            <w:vAlign w:val="center"/>
          </w:tcPr>
          <w:p>
            <w:pPr>
              <w:spacing w:line="240" w:lineRule="auto"/>
              <w:ind w:firstLine="0" w:firstLineChars="0"/>
              <w:jc w:val="center"/>
              <w:rPr>
                <w:sz w:val="21"/>
                <w:szCs w:val="21"/>
              </w:rPr>
            </w:pPr>
            <w:r>
              <w:rPr>
                <w:rFonts w:hint="eastAsia"/>
                <w:sz w:val="21"/>
                <w:szCs w:val="21"/>
              </w:rPr>
              <w:t>执行标准</w:t>
            </w:r>
          </w:p>
        </w:tc>
        <w:tc>
          <w:tcPr>
            <w:tcW w:w="1276" w:type="dxa"/>
            <w:vAlign w:val="center"/>
          </w:tcPr>
          <w:p>
            <w:pPr>
              <w:spacing w:line="240" w:lineRule="auto"/>
              <w:ind w:firstLine="0" w:firstLineChars="0"/>
              <w:jc w:val="center"/>
              <w:rPr>
                <w:sz w:val="21"/>
                <w:szCs w:val="21"/>
              </w:rPr>
            </w:pPr>
            <w:r>
              <w:rPr>
                <w:rFonts w:hint="eastAsia"/>
                <w:sz w:val="21"/>
                <w:szCs w:val="21"/>
              </w:rPr>
              <w:t>落实情况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92" w:hRule="atLeast"/>
          <w:jc w:val="center"/>
        </w:trPr>
        <w:tc>
          <w:tcPr>
            <w:tcW w:w="564" w:type="dxa"/>
            <w:vMerge w:val="restart"/>
            <w:vAlign w:val="center"/>
          </w:tcPr>
          <w:p>
            <w:pPr>
              <w:spacing w:line="240" w:lineRule="auto"/>
              <w:ind w:firstLine="0" w:firstLineChars="0"/>
              <w:jc w:val="center"/>
              <w:rPr>
                <w:color w:val="000000"/>
                <w:sz w:val="21"/>
                <w:szCs w:val="21"/>
              </w:rPr>
            </w:pPr>
            <w:r>
              <w:rPr>
                <w:rFonts w:hint="eastAsia"/>
                <w:color w:val="000000"/>
                <w:sz w:val="21"/>
                <w:szCs w:val="21"/>
              </w:rPr>
              <w:t>废气</w:t>
            </w:r>
          </w:p>
        </w:tc>
        <w:tc>
          <w:tcPr>
            <w:tcW w:w="1028" w:type="dxa"/>
            <w:gridSpan w:val="2"/>
            <w:vAlign w:val="center"/>
          </w:tcPr>
          <w:p>
            <w:pPr>
              <w:spacing w:line="240" w:lineRule="auto"/>
              <w:ind w:firstLine="0" w:firstLineChars="0"/>
              <w:jc w:val="center"/>
              <w:rPr>
                <w:color w:val="000000"/>
                <w:sz w:val="21"/>
                <w:szCs w:val="21"/>
              </w:rPr>
            </w:pPr>
            <w:r>
              <w:rPr>
                <w:rFonts w:hint="eastAsia"/>
                <w:sz w:val="21"/>
                <w:szCs w:val="21"/>
              </w:rPr>
              <w:t>无组织颗粒物</w:t>
            </w:r>
          </w:p>
        </w:tc>
        <w:tc>
          <w:tcPr>
            <w:tcW w:w="1134" w:type="dxa"/>
            <w:vAlign w:val="center"/>
          </w:tcPr>
          <w:p>
            <w:pPr>
              <w:spacing w:line="240" w:lineRule="auto"/>
              <w:ind w:firstLine="0" w:firstLineChars="0"/>
              <w:jc w:val="center"/>
              <w:rPr>
                <w:sz w:val="21"/>
                <w:szCs w:val="21"/>
              </w:rPr>
            </w:pPr>
            <w:r>
              <w:rPr>
                <w:rFonts w:hint="eastAsia"/>
                <w:sz w:val="21"/>
                <w:szCs w:val="21"/>
              </w:rPr>
              <w:t>混合、切割、破碎工序</w:t>
            </w:r>
          </w:p>
        </w:tc>
        <w:tc>
          <w:tcPr>
            <w:tcW w:w="2552" w:type="dxa"/>
            <w:vAlign w:val="center"/>
          </w:tcPr>
          <w:p>
            <w:pPr>
              <w:spacing w:line="240" w:lineRule="auto"/>
              <w:ind w:firstLine="0" w:firstLineChars="0"/>
              <w:jc w:val="center"/>
              <w:rPr>
                <w:sz w:val="21"/>
                <w:szCs w:val="21"/>
              </w:rPr>
            </w:pPr>
            <w:r>
              <w:rPr>
                <w:rFonts w:hint="eastAsia"/>
                <w:sz w:val="21"/>
                <w:szCs w:val="21"/>
              </w:rPr>
              <w:t>配套安装抽吸装置，将粉尘废气收集后通过布袋除尘器处理后无组织排放，车间加强机械通风</w:t>
            </w:r>
          </w:p>
        </w:tc>
        <w:tc>
          <w:tcPr>
            <w:tcW w:w="2551" w:type="dxa"/>
            <w:vAlign w:val="center"/>
          </w:tcPr>
          <w:p>
            <w:pPr>
              <w:spacing w:line="240" w:lineRule="auto"/>
              <w:ind w:firstLine="0" w:firstLineChars="0"/>
              <w:jc w:val="center"/>
              <w:rPr>
                <w:sz w:val="21"/>
                <w:szCs w:val="21"/>
              </w:rPr>
            </w:pPr>
            <w:r>
              <w:rPr>
                <w:rFonts w:hint="eastAsia"/>
                <w:sz w:val="21"/>
                <w:szCs w:val="21"/>
              </w:rPr>
              <w:t>执行广东省地方标准《大气污染物排放限值》（DB44/27-2001）第二时段无组织标准</w:t>
            </w:r>
          </w:p>
        </w:tc>
        <w:tc>
          <w:tcPr>
            <w:tcW w:w="1276"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75" w:hRule="atLeast"/>
          <w:jc w:val="center"/>
        </w:trPr>
        <w:tc>
          <w:tcPr>
            <w:tcW w:w="564" w:type="dxa"/>
            <w:vMerge w:val="continue"/>
            <w:vAlign w:val="center"/>
          </w:tcPr>
          <w:p>
            <w:pPr>
              <w:spacing w:line="240" w:lineRule="auto"/>
              <w:ind w:firstLine="0" w:firstLineChars="0"/>
              <w:jc w:val="center"/>
              <w:rPr>
                <w:color w:val="000000"/>
                <w:sz w:val="21"/>
                <w:szCs w:val="21"/>
              </w:rPr>
            </w:pPr>
          </w:p>
        </w:tc>
        <w:tc>
          <w:tcPr>
            <w:tcW w:w="461" w:type="dxa"/>
            <w:vMerge w:val="restart"/>
            <w:vAlign w:val="center"/>
          </w:tcPr>
          <w:p>
            <w:pPr>
              <w:spacing w:line="240" w:lineRule="auto"/>
              <w:ind w:firstLine="0" w:firstLineChars="0"/>
              <w:jc w:val="center"/>
              <w:rPr>
                <w:sz w:val="21"/>
                <w:szCs w:val="21"/>
              </w:rPr>
            </w:pPr>
            <w:r>
              <w:rPr>
                <w:rFonts w:hint="eastAsia"/>
                <w:sz w:val="21"/>
                <w:szCs w:val="21"/>
              </w:rPr>
              <w:t>有机废气</w:t>
            </w:r>
          </w:p>
        </w:tc>
        <w:tc>
          <w:tcPr>
            <w:tcW w:w="567" w:type="dxa"/>
            <w:vAlign w:val="center"/>
          </w:tcPr>
          <w:p>
            <w:pPr>
              <w:spacing w:line="240" w:lineRule="auto"/>
              <w:ind w:firstLine="0" w:firstLineChars="0"/>
              <w:jc w:val="center"/>
              <w:rPr>
                <w:sz w:val="21"/>
                <w:szCs w:val="21"/>
              </w:rPr>
            </w:pPr>
            <w:r>
              <w:rPr>
                <w:rFonts w:hint="eastAsia"/>
                <w:sz w:val="21"/>
                <w:szCs w:val="21"/>
              </w:rPr>
              <w:t>有组织</w:t>
            </w:r>
          </w:p>
        </w:tc>
        <w:tc>
          <w:tcPr>
            <w:tcW w:w="1134" w:type="dxa"/>
            <w:vMerge w:val="restart"/>
            <w:vAlign w:val="center"/>
          </w:tcPr>
          <w:p>
            <w:pPr>
              <w:spacing w:line="240" w:lineRule="auto"/>
              <w:ind w:firstLine="0" w:firstLineChars="0"/>
              <w:jc w:val="center"/>
              <w:rPr>
                <w:sz w:val="21"/>
                <w:szCs w:val="21"/>
              </w:rPr>
            </w:pPr>
            <w:r>
              <w:rPr>
                <w:rFonts w:hint="eastAsia"/>
                <w:sz w:val="21"/>
                <w:szCs w:val="21"/>
              </w:rPr>
              <w:t>加热、挤出、冷却、成型工序</w:t>
            </w:r>
          </w:p>
        </w:tc>
        <w:tc>
          <w:tcPr>
            <w:tcW w:w="2552" w:type="dxa"/>
            <w:vMerge w:val="restart"/>
            <w:vAlign w:val="center"/>
          </w:tcPr>
          <w:p>
            <w:pPr>
              <w:spacing w:line="240" w:lineRule="auto"/>
              <w:ind w:firstLine="0" w:firstLineChars="0"/>
              <w:jc w:val="center"/>
              <w:rPr>
                <w:sz w:val="21"/>
                <w:szCs w:val="21"/>
              </w:rPr>
            </w:pPr>
            <w:r>
              <w:rPr>
                <w:rFonts w:hint="eastAsia"/>
                <w:sz w:val="21"/>
                <w:szCs w:val="21"/>
              </w:rPr>
              <w:t>利用管道统一收集后通过UV光解</w:t>
            </w:r>
            <w:r>
              <w:rPr>
                <w:sz w:val="21"/>
                <w:szCs w:val="21"/>
              </w:rPr>
              <w:t>装置</w:t>
            </w:r>
            <w:r>
              <w:rPr>
                <w:rFonts w:hint="eastAsia"/>
                <w:sz w:val="21"/>
                <w:szCs w:val="21"/>
              </w:rPr>
              <w:t>处理后通过15m排气筒高空排放</w:t>
            </w:r>
          </w:p>
        </w:tc>
        <w:tc>
          <w:tcPr>
            <w:tcW w:w="2551" w:type="dxa"/>
            <w:vAlign w:val="center"/>
          </w:tcPr>
          <w:p>
            <w:pPr>
              <w:spacing w:line="240" w:lineRule="auto"/>
              <w:ind w:firstLine="0" w:firstLineChars="0"/>
              <w:jc w:val="center"/>
              <w:rPr>
                <w:sz w:val="21"/>
                <w:szCs w:val="21"/>
              </w:rPr>
            </w:pPr>
            <w:r>
              <w:rPr>
                <w:rFonts w:hint="eastAsia"/>
                <w:sz w:val="21"/>
                <w:szCs w:val="21"/>
              </w:rPr>
              <w:t>执行</w:t>
            </w:r>
            <w:r>
              <w:rPr>
                <w:sz w:val="21"/>
                <w:szCs w:val="21"/>
              </w:rPr>
              <w:t>《家具制造行业挥发性有机化合物排放标准》（DB44/814-2010）表</w:t>
            </w:r>
            <w:r>
              <w:rPr>
                <w:rFonts w:hint="eastAsia"/>
                <w:sz w:val="21"/>
                <w:szCs w:val="21"/>
              </w:rPr>
              <w:t>1</w:t>
            </w:r>
            <w:r>
              <w:rPr>
                <w:sz w:val="21"/>
                <w:szCs w:val="21"/>
              </w:rPr>
              <w:t>中</w:t>
            </w:r>
            <w:r>
              <w:rPr>
                <w:rFonts w:hint="eastAsia"/>
                <w:sz w:val="21"/>
                <w:szCs w:val="21"/>
              </w:rPr>
              <w:t>第Ⅱ时段排放监控限值</w:t>
            </w:r>
          </w:p>
        </w:tc>
        <w:tc>
          <w:tcPr>
            <w:tcW w:w="1276" w:type="dxa"/>
            <w:vMerge w:val="restart"/>
            <w:vAlign w:val="center"/>
          </w:tcPr>
          <w:p>
            <w:pPr>
              <w:spacing w:line="240" w:lineRule="auto"/>
              <w:ind w:firstLine="0" w:firstLineChars="0"/>
              <w:jc w:val="center"/>
              <w:rPr>
                <w:sz w:val="21"/>
                <w:szCs w:val="21"/>
              </w:rPr>
            </w:pPr>
            <w:r>
              <w:rPr>
                <w:rFonts w:hint="eastAsia"/>
                <w:sz w:val="21"/>
                <w:szCs w:val="21"/>
              </w:rPr>
              <w:t>已落实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75" w:hRule="atLeast"/>
          <w:jc w:val="center"/>
        </w:trPr>
        <w:tc>
          <w:tcPr>
            <w:tcW w:w="564" w:type="dxa"/>
            <w:vMerge w:val="continue"/>
            <w:vAlign w:val="center"/>
          </w:tcPr>
          <w:p>
            <w:pPr>
              <w:spacing w:line="240" w:lineRule="auto"/>
              <w:ind w:firstLine="0" w:firstLineChars="0"/>
              <w:jc w:val="center"/>
              <w:rPr>
                <w:color w:val="000000"/>
                <w:sz w:val="21"/>
                <w:szCs w:val="21"/>
              </w:rPr>
            </w:pPr>
          </w:p>
        </w:tc>
        <w:tc>
          <w:tcPr>
            <w:tcW w:w="461" w:type="dxa"/>
            <w:vMerge w:val="continue"/>
            <w:vAlign w:val="center"/>
          </w:tcPr>
          <w:p>
            <w:pPr>
              <w:spacing w:line="240" w:lineRule="auto"/>
              <w:ind w:firstLine="0" w:firstLineChars="0"/>
              <w:jc w:val="center"/>
              <w:rPr>
                <w:sz w:val="21"/>
                <w:szCs w:val="21"/>
              </w:rPr>
            </w:pPr>
          </w:p>
        </w:tc>
        <w:tc>
          <w:tcPr>
            <w:tcW w:w="567" w:type="dxa"/>
            <w:vAlign w:val="center"/>
          </w:tcPr>
          <w:p>
            <w:pPr>
              <w:spacing w:line="240" w:lineRule="auto"/>
              <w:ind w:firstLine="0" w:firstLineChars="0"/>
              <w:jc w:val="center"/>
              <w:rPr>
                <w:sz w:val="21"/>
                <w:szCs w:val="21"/>
              </w:rPr>
            </w:pPr>
            <w:r>
              <w:rPr>
                <w:rFonts w:hint="eastAsia"/>
                <w:sz w:val="21"/>
                <w:szCs w:val="21"/>
              </w:rPr>
              <w:t>无组织</w:t>
            </w:r>
          </w:p>
        </w:tc>
        <w:tc>
          <w:tcPr>
            <w:tcW w:w="1134" w:type="dxa"/>
            <w:vMerge w:val="continue"/>
            <w:vAlign w:val="center"/>
          </w:tcPr>
          <w:p>
            <w:pPr>
              <w:spacing w:line="240" w:lineRule="auto"/>
              <w:ind w:firstLine="0" w:firstLineChars="0"/>
              <w:jc w:val="center"/>
              <w:rPr>
                <w:sz w:val="21"/>
                <w:szCs w:val="21"/>
              </w:rPr>
            </w:pPr>
          </w:p>
        </w:tc>
        <w:tc>
          <w:tcPr>
            <w:tcW w:w="2552" w:type="dxa"/>
            <w:vMerge w:val="continue"/>
            <w:vAlign w:val="center"/>
          </w:tcPr>
          <w:p>
            <w:pPr>
              <w:spacing w:line="240" w:lineRule="auto"/>
              <w:ind w:firstLine="0" w:firstLineChars="0"/>
              <w:jc w:val="center"/>
              <w:rPr>
                <w:sz w:val="21"/>
                <w:szCs w:val="21"/>
              </w:rPr>
            </w:pPr>
          </w:p>
        </w:tc>
        <w:tc>
          <w:tcPr>
            <w:tcW w:w="2551" w:type="dxa"/>
            <w:vAlign w:val="center"/>
          </w:tcPr>
          <w:p>
            <w:pPr>
              <w:spacing w:line="240" w:lineRule="auto"/>
              <w:ind w:firstLine="0" w:firstLineChars="0"/>
              <w:jc w:val="center"/>
              <w:rPr>
                <w:sz w:val="21"/>
                <w:szCs w:val="21"/>
              </w:rPr>
            </w:pPr>
            <w:r>
              <w:rPr>
                <w:rFonts w:hint="eastAsia"/>
                <w:sz w:val="21"/>
                <w:szCs w:val="21"/>
              </w:rPr>
              <w:t>执行</w:t>
            </w:r>
            <w:r>
              <w:rPr>
                <w:sz w:val="21"/>
                <w:szCs w:val="21"/>
              </w:rPr>
              <w:t>广东省地方标准《家具制造行业挥发性有机化合物排放标准》（DB44/814-2010）表</w:t>
            </w:r>
            <w:r>
              <w:rPr>
                <w:rFonts w:hint="eastAsia"/>
                <w:sz w:val="21"/>
                <w:szCs w:val="21"/>
              </w:rPr>
              <w:t>2</w:t>
            </w:r>
            <w:r>
              <w:rPr>
                <w:sz w:val="21"/>
                <w:szCs w:val="21"/>
              </w:rPr>
              <w:t>无组织排放要求</w:t>
            </w:r>
          </w:p>
        </w:tc>
        <w:tc>
          <w:tcPr>
            <w:tcW w:w="1276" w:type="dxa"/>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9" w:hRule="atLeast"/>
          <w:jc w:val="center"/>
        </w:trPr>
        <w:tc>
          <w:tcPr>
            <w:tcW w:w="564" w:type="dxa"/>
            <w:vMerge w:val="restart"/>
            <w:vAlign w:val="center"/>
          </w:tcPr>
          <w:p>
            <w:pPr>
              <w:spacing w:line="240" w:lineRule="auto"/>
              <w:ind w:firstLine="0" w:firstLineChars="0"/>
              <w:jc w:val="center"/>
              <w:rPr>
                <w:sz w:val="21"/>
                <w:szCs w:val="21"/>
              </w:rPr>
            </w:pPr>
            <w:r>
              <w:rPr>
                <w:rFonts w:hint="eastAsia"/>
                <w:sz w:val="21"/>
                <w:szCs w:val="21"/>
              </w:rPr>
              <w:t>废水</w:t>
            </w:r>
          </w:p>
        </w:tc>
        <w:tc>
          <w:tcPr>
            <w:tcW w:w="1028" w:type="dxa"/>
            <w:gridSpan w:val="2"/>
            <w:vAlign w:val="center"/>
          </w:tcPr>
          <w:p>
            <w:pPr>
              <w:spacing w:line="240" w:lineRule="auto"/>
              <w:ind w:firstLine="0" w:firstLineChars="0"/>
              <w:jc w:val="center"/>
              <w:rPr>
                <w:sz w:val="21"/>
                <w:szCs w:val="21"/>
              </w:rPr>
            </w:pPr>
            <w:r>
              <w:rPr>
                <w:rFonts w:hint="eastAsia"/>
                <w:sz w:val="21"/>
                <w:szCs w:val="21"/>
              </w:rPr>
              <w:t>生活</w:t>
            </w:r>
          </w:p>
          <w:p>
            <w:pPr>
              <w:spacing w:line="240" w:lineRule="auto"/>
              <w:ind w:firstLine="0" w:firstLineChars="0"/>
              <w:jc w:val="center"/>
              <w:rPr>
                <w:sz w:val="21"/>
                <w:szCs w:val="21"/>
              </w:rPr>
            </w:pPr>
            <w:r>
              <w:rPr>
                <w:rFonts w:hint="eastAsia"/>
                <w:sz w:val="21"/>
                <w:szCs w:val="21"/>
              </w:rPr>
              <w:t>污水</w:t>
            </w:r>
          </w:p>
        </w:tc>
        <w:tc>
          <w:tcPr>
            <w:tcW w:w="1134" w:type="dxa"/>
            <w:vAlign w:val="center"/>
          </w:tcPr>
          <w:p>
            <w:pPr>
              <w:spacing w:line="240" w:lineRule="auto"/>
              <w:ind w:firstLine="0" w:firstLineChars="0"/>
              <w:jc w:val="center"/>
              <w:rPr>
                <w:sz w:val="21"/>
                <w:szCs w:val="21"/>
              </w:rPr>
            </w:pPr>
            <w:r>
              <w:rPr>
                <w:rFonts w:hint="eastAsia"/>
                <w:sz w:val="21"/>
                <w:szCs w:val="21"/>
              </w:rPr>
              <w:t>生活污水</w:t>
            </w:r>
          </w:p>
        </w:tc>
        <w:tc>
          <w:tcPr>
            <w:tcW w:w="2552" w:type="dxa"/>
            <w:vAlign w:val="center"/>
          </w:tcPr>
          <w:p>
            <w:pPr>
              <w:spacing w:line="240" w:lineRule="auto"/>
              <w:ind w:firstLine="0" w:firstLineChars="0"/>
              <w:jc w:val="center"/>
              <w:rPr>
                <w:sz w:val="21"/>
                <w:szCs w:val="21"/>
              </w:rPr>
            </w:pPr>
            <w:r>
              <w:rPr>
                <w:rFonts w:hint="eastAsia"/>
                <w:sz w:val="21"/>
                <w:szCs w:val="21"/>
              </w:rPr>
              <w:t>生活污水经</w:t>
            </w:r>
            <w:r>
              <w:rPr>
                <w:sz w:val="21"/>
                <w:szCs w:val="21"/>
              </w:rPr>
              <w:t>三级化粪池处理</w:t>
            </w:r>
            <w:r>
              <w:rPr>
                <w:rFonts w:hint="eastAsia"/>
                <w:sz w:val="21"/>
                <w:szCs w:val="21"/>
              </w:rPr>
              <w:t>后定期由吸污车吸走</w:t>
            </w:r>
          </w:p>
        </w:tc>
        <w:tc>
          <w:tcPr>
            <w:tcW w:w="2551" w:type="dxa"/>
            <w:vAlign w:val="center"/>
          </w:tcPr>
          <w:p>
            <w:pPr>
              <w:spacing w:line="240" w:lineRule="auto"/>
              <w:ind w:firstLine="0" w:firstLineChars="0"/>
              <w:jc w:val="center"/>
              <w:rPr>
                <w:sz w:val="21"/>
                <w:szCs w:val="21"/>
              </w:rPr>
            </w:pPr>
            <w:r>
              <w:rPr>
                <w:rFonts w:hint="eastAsia"/>
                <w:sz w:val="21"/>
                <w:szCs w:val="21"/>
              </w:rPr>
              <w:t>执行《农田灌溉水质标准》（GB5084-2005）中旱作标准</w:t>
            </w:r>
          </w:p>
        </w:tc>
        <w:tc>
          <w:tcPr>
            <w:tcW w:w="1276"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64" w:type="dxa"/>
            <w:vMerge w:val="continue"/>
            <w:vAlign w:val="center"/>
          </w:tcPr>
          <w:p>
            <w:pPr>
              <w:spacing w:line="240" w:lineRule="auto"/>
              <w:ind w:firstLine="0" w:firstLineChars="0"/>
              <w:jc w:val="center"/>
              <w:rPr>
                <w:sz w:val="21"/>
                <w:szCs w:val="21"/>
              </w:rPr>
            </w:pPr>
          </w:p>
        </w:tc>
        <w:tc>
          <w:tcPr>
            <w:tcW w:w="1028" w:type="dxa"/>
            <w:gridSpan w:val="2"/>
            <w:vAlign w:val="center"/>
          </w:tcPr>
          <w:p>
            <w:pPr>
              <w:spacing w:line="240" w:lineRule="auto"/>
              <w:ind w:firstLine="0" w:firstLineChars="0"/>
              <w:jc w:val="center"/>
              <w:rPr>
                <w:sz w:val="21"/>
                <w:szCs w:val="21"/>
              </w:rPr>
            </w:pPr>
            <w:r>
              <w:rPr>
                <w:rFonts w:hint="eastAsia"/>
                <w:sz w:val="21"/>
                <w:szCs w:val="21"/>
              </w:rPr>
              <w:t>机械冷却用水</w:t>
            </w:r>
          </w:p>
        </w:tc>
        <w:tc>
          <w:tcPr>
            <w:tcW w:w="1134" w:type="dxa"/>
            <w:vAlign w:val="center"/>
          </w:tcPr>
          <w:p>
            <w:pPr>
              <w:spacing w:line="240" w:lineRule="auto"/>
              <w:ind w:firstLine="0" w:firstLineChars="0"/>
              <w:jc w:val="center"/>
              <w:rPr>
                <w:sz w:val="21"/>
                <w:szCs w:val="21"/>
              </w:rPr>
            </w:pPr>
            <w:r>
              <w:rPr>
                <w:rFonts w:hint="eastAsia"/>
                <w:sz w:val="21"/>
                <w:szCs w:val="21"/>
              </w:rPr>
              <w:t>机械冷却</w:t>
            </w:r>
          </w:p>
        </w:tc>
        <w:tc>
          <w:tcPr>
            <w:tcW w:w="2552" w:type="dxa"/>
            <w:vAlign w:val="center"/>
          </w:tcPr>
          <w:p>
            <w:pPr>
              <w:spacing w:line="240" w:lineRule="auto"/>
              <w:ind w:firstLine="0" w:firstLineChars="0"/>
              <w:jc w:val="center"/>
              <w:rPr>
                <w:sz w:val="21"/>
                <w:szCs w:val="21"/>
              </w:rPr>
            </w:pPr>
            <w:r>
              <w:rPr>
                <w:sz w:val="21"/>
                <w:szCs w:val="21"/>
              </w:rPr>
              <w:t>循环使用，</w:t>
            </w:r>
            <w:r>
              <w:rPr>
                <w:rFonts w:hint="eastAsia"/>
                <w:sz w:val="21"/>
                <w:szCs w:val="21"/>
              </w:rPr>
              <w:t>定期补充新鲜水</w:t>
            </w:r>
            <w:r>
              <w:rPr>
                <w:sz w:val="21"/>
                <w:szCs w:val="21"/>
              </w:rPr>
              <w:t>，不外排</w:t>
            </w:r>
          </w:p>
        </w:tc>
        <w:tc>
          <w:tcPr>
            <w:tcW w:w="2551" w:type="dxa"/>
            <w:vAlign w:val="center"/>
          </w:tcPr>
          <w:p>
            <w:pPr>
              <w:spacing w:line="240" w:lineRule="auto"/>
              <w:ind w:firstLine="0" w:firstLineChars="0"/>
              <w:jc w:val="center"/>
              <w:rPr>
                <w:sz w:val="21"/>
                <w:szCs w:val="21"/>
              </w:rPr>
            </w:pPr>
            <w:r>
              <w:rPr>
                <w:rFonts w:hint="eastAsia"/>
                <w:sz w:val="21"/>
                <w:szCs w:val="21"/>
              </w:rPr>
              <w:t>——</w:t>
            </w:r>
          </w:p>
        </w:tc>
        <w:tc>
          <w:tcPr>
            <w:tcW w:w="1276"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08" w:hRule="atLeast"/>
          <w:jc w:val="center"/>
        </w:trPr>
        <w:tc>
          <w:tcPr>
            <w:tcW w:w="1592" w:type="dxa"/>
            <w:gridSpan w:val="3"/>
            <w:vAlign w:val="center"/>
          </w:tcPr>
          <w:p>
            <w:pPr>
              <w:spacing w:line="240" w:lineRule="auto"/>
              <w:ind w:firstLine="0" w:firstLineChars="0"/>
              <w:jc w:val="center"/>
              <w:rPr>
                <w:sz w:val="21"/>
                <w:szCs w:val="21"/>
              </w:rPr>
            </w:pPr>
            <w:r>
              <w:rPr>
                <w:rFonts w:hint="eastAsia"/>
                <w:sz w:val="21"/>
                <w:szCs w:val="21"/>
              </w:rPr>
              <w:t>噪声</w:t>
            </w:r>
          </w:p>
        </w:tc>
        <w:tc>
          <w:tcPr>
            <w:tcW w:w="1134" w:type="dxa"/>
            <w:vAlign w:val="center"/>
          </w:tcPr>
          <w:p>
            <w:pPr>
              <w:spacing w:line="240" w:lineRule="auto"/>
              <w:ind w:firstLine="0" w:firstLineChars="0"/>
              <w:jc w:val="center"/>
              <w:rPr>
                <w:sz w:val="21"/>
                <w:szCs w:val="21"/>
              </w:rPr>
            </w:pPr>
            <w:r>
              <w:rPr>
                <w:rFonts w:hint="eastAsia"/>
                <w:sz w:val="21"/>
                <w:szCs w:val="21"/>
              </w:rPr>
              <w:t>生产设备</w:t>
            </w:r>
          </w:p>
        </w:tc>
        <w:tc>
          <w:tcPr>
            <w:tcW w:w="2552" w:type="dxa"/>
            <w:vAlign w:val="center"/>
          </w:tcPr>
          <w:p>
            <w:pPr>
              <w:adjustRightInd w:val="0"/>
              <w:snapToGrid w:val="0"/>
              <w:spacing w:line="240" w:lineRule="auto"/>
              <w:ind w:firstLine="0" w:firstLineChars="0"/>
              <w:rPr>
                <w:sz w:val="21"/>
                <w:szCs w:val="21"/>
              </w:rPr>
            </w:pPr>
            <w:r>
              <w:rPr>
                <w:sz w:val="21"/>
                <w:szCs w:val="21"/>
              </w:rPr>
              <w:t>采取选用低噪设备、设备减振、隔声降噪、距离衰减、合理布局等措施</w:t>
            </w:r>
          </w:p>
        </w:tc>
        <w:tc>
          <w:tcPr>
            <w:tcW w:w="2551" w:type="dxa"/>
            <w:vAlign w:val="center"/>
          </w:tcPr>
          <w:p>
            <w:pPr>
              <w:spacing w:line="240" w:lineRule="auto"/>
              <w:ind w:firstLine="0" w:firstLineChars="0"/>
              <w:jc w:val="center"/>
              <w:rPr>
                <w:sz w:val="21"/>
                <w:szCs w:val="21"/>
              </w:rPr>
            </w:pPr>
            <w:r>
              <w:rPr>
                <w:rFonts w:hint="eastAsia"/>
                <w:sz w:val="21"/>
                <w:szCs w:val="21"/>
              </w:rPr>
              <w:t>《工业企业厂界环境噪声排放标准》（GB12348-2008）2类、4类标准限值</w:t>
            </w:r>
          </w:p>
        </w:tc>
        <w:tc>
          <w:tcPr>
            <w:tcW w:w="1276" w:type="dxa"/>
            <w:vAlign w:val="center"/>
          </w:tcPr>
          <w:p>
            <w:pPr>
              <w:spacing w:line="240" w:lineRule="auto"/>
              <w:ind w:firstLine="0" w:firstLineChars="0"/>
              <w:jc w:val="center"/>
              <w:rPr>
                <w:sz w:val="21"/>
                <w:szCs w:val="21"/>
              </w:rPr>
            </w:pPr>
            <w:r>
              <w:rPr>
                <w:rFonts w:hint="eastAsia"/>
                <w:sz w:val="21"/>
                <w:szCs w:val="21"/>
              </w:rPr>
              <w:t>已落实</w:t>
            </w:r>
          </w:p>
        </w:tc>
      </w:tr>
      <w:bookmarkEnd w:id="44"/>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2" w:hRule="atLeast"/>
          <w:jc w:val="center"/>
        </w:trPr>
        <w:tc>
          <w:tcPr>
            <w:tcW w:w="564" w:type="dxa"/>
            <w:vMerge w:val="restart"/>
            <w:vAlign w:val="center"/>
          </w:tcPr>
          <w:p>
            <w:pPr>
              <w:spacing w:line="240" w:lineRule="auto"/>
              <w:ind w:firstLine="0" w:firstLineChars="0"/>
              <w:jc w:val="center"/>
              <w:rPr>
                <w:sz w:val="21"/>
                <w:szCs w:val="21"/>
              </w:rPr>
            </w:pPr>
            <w:r>
              <w:rPr>
                <w:rFonts w:hint="eastAsia"/>
                <w:sz w:val="21"/>
                <w:szCs w:val="21"/>
              </w:rPr>
              <w:t>固废</w:t>
            </w:r>
          </w:p>
        </w:tc>
        <w:tc>
          <w:tcPr>
            <w:tcW w:w="1028" w:type="dxa"/>
            <w:gridSpan w:val="2"/>
            <w:vMerge w:val="restart"/>
            <w:vAlign w:val="center"/>
          </w:tcPr>
          <w:p>
            <w:pPr>
              <w:spacing w:line="240" w:lineRule="auto"/>
              <w:ind w:firstLine="0" w:firstLineChars="0"/>
              <w:jc w:val="center"/>
              <w:rPr>
                <w:sz w:val="21"/>
                <w:szCs w:val="21"/>
              </w:rPr>
            </w:pPr>
            <w:r>
              <w:rPr>
                <w:rFonts w:hint="eastAsia"/>
                <w:sz w:val="21"/>
                <w:szCs w:val="21"/>
              </w:rPr>
              <w:t>一般固废</w:t>
            </w:r>
          </w:p>
        </w:tc>
        <w:tc>
          <w:tcPr>
            <w:tcW w:w="1134" w:type="dxa"/>
            <w:vAlign w:val="center"/>
          </w:tcPr>
          <w:p>
            <w:pPr>
              <w:spacing w:line="240" w:lineRule="auto"/>
              <w:ind w:firstLine="0" w:firstLineChars="0"/>
              <w:jc w:val="center"/>
              <w:rPr>
                <w:sz w:val="21"/>
                <w:szCs w:val="21"/>
              </w:rPr>
            </w:pPr>
            <w:r>
              <w:rPr>
                <w:rFonts w:hint="eastAsia"/>
                <w:sz w:val="21"/>
                <w:szCs w:val="21"/>
              </w:rPr>
              <w:t>生活垃圾</w:t>
            </w:r>
          </w:p>
        </w:tc>
        <w:tc>
          <w:tcPr>
            <w:tcW w:w="2552" w:type="dxa"/>
            <w:vMerge w:val="restart"/>
            <w:vAlign w:val="center"/>
          </w:tcPr>
          <w:p>
            <w:pPr>
              <w:spacing w:line="240" w:lineRule="auto"/>
              <w:ind w:firstLine="0" w:firstLineChars="0"/>
              <w:jc w:val="center"/>
              <w:rPr>
                <w:sz w:val="21"/>
                <w:szCs w:val="21"/>
              </w:rPr>
            </w:pPr>
            <w:r>
              <w:rPr>
                <w:sz w:val="21"/>
                <w:szCs w:val="21"/>
              </w:rPr>
              <w:t>收集后由环卫部门定期清运处理</w:t>
            </w:r>
          </w:p>
        </w:tc>
        <w:tc>
          <w:tcPr>
            <w:tcW w:w="2551" w:type="dxa"/>
            <w:vMerge w:val="restart"/>
            <w:vAlign w:val="center"/>
          </w:tcPr>
          <w:p>
            <w:pPr>
              <w:spacing w:line="240" w:lineRule="auto"/>
              <w:ind w:firstLine="0" w:firstLineChars="0"/>
              <w:jc w:val="center"/>
              <w:rPr>
                <w:sz w:val="21"/>
                <w:szCs w:val="21"/>
              </w:rPr>
            </w:pPr>
            <w:r>
              <w:rPr>
                <w:sz w:val="21"/>
                <w:szCs w:val="21"/>
              </w:rPr>
              <w:t>《一般工业固体废物贮存、处置场污染控制标准》(GB18599-2001)</w:t>
            </w:r>
            <w:r>
              <w:rPr>
                <w:rFonts w:hint="eastAsia"/>
                <w:sz w:val="21"/>
                <w:szCs w:val="21"/>
              </w:rPr>
              <w:t xml:space="preserve"> </w:t>
            </w:r>
            <w:r>
              <w:rPr>
                <w:sz w:val="21"/>
                <w:szCs w:val="21"/>
              </w:rPr>
              <w:t>及其2013年修改单相关要求</w:t>
            </w:r>
          </w:p>
        </w:tc>
        <w:tc>
          <w:tcPr>
            <w:tcW w:w="1276" w:type="dxa"/>
            <w:vMerge w:val="restart"/>
            <w:vAlign w:val="center"/>
          </w:tcPr>
          <w:p>
            <w:pPr>
              <w:spacing w:line="240" w:lineRule="auto"/>
              <w:ind w:firstLine="0" w:firstLineChars="0"/>
              <w:jc w:val="center"/>
              <w:rPr>
                <w:sz w:val="21"/>
                <w:szCs w:val="21"/>
              </w:rPr>
            </w:pPr>
            <w:r>
              <w:rPr>
                <w:rFonts w:hint="eastAsia"/>
                <w:sz w:val="21"/>
                <w:szCs w:val="21"/>
              </w:rPr>
              <w:t>已落实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 w:hRule="atLeast"/>
          <w:jc w:val="center"/>
        </w:trPr>
        <w:tc>
          <w:tcPr>
            <w:tcW w:w="564" w:type="dxa"/>
            <w:vMerge w:val="continue"/>
            <w:vAlign w:val="center"/>
          </w:tcPr>
          <w:p>
            <w:pPr>
              <w:spacing w:line="240" w:lineRule="auto"/>
              <w:ind w:firstLine="0" w:firstLineChars="0"/>
              <w:jc w:val="center"/>
              <w:rPr>
                <w:sz w:val="21"/>
                <w:szCs w:val="21"/>
              </w:rPr>
            </w:pPr>
          </w:p>
        </w:tc>
        <w:tc>
          <w:tcPr>
            <w:tcW w:w="1028" w:type="dxa"/>
            <w:gridSpan w:val="2"/>
            <w:vMerge w:val="continue"/>
            <w:vAlign w:val="center"/>
          </w:tcPr>
          <w:p>
            <w:pPr>
              <w:spacing w:line="240" w:lineRule="auto"/>
              <w:ind w:firstLine="0" w:firstLineChars="0"/>
              <w:jc w:val="center"/>
              <w:rPr>
                <w:sz w:val="21"/>
                <w:szCs w:val="21"/>
              </w:rPr>
            </w:pPr>
          </w:p>
        </w:tc>
        <w:tc>
          <w:tcPr>
            <w:tcW w:w="1134" w:type="dxa"/>
            <w:vAlign w:val="center"/>
          </w:tcPr>
          <w:p>
            <w:pPr>
              <w:spacing w:line="240" w:lineRule="auto"/>
              <w:ind w:firstLine="0" w:firstLineChars="0"/>
              <w:jc w:val="center"/>
              <w:rPr>
                <w:sz w:val="21"/>
                <w:szCs w:val="21"/>
              </w:rPr>
            </w:pPr>
            <w:r>
              <w:rPr>
                <w:sz w:val="21"/>
                <w:szCs w:val="21"/>
              </w:rPr>
              <w:t>废原料包装袋</w:t>
            </w:r>
          </w:p>
        </w:tc>
        <w:tc>
          <w:tcPr>
            <w:tcW w:w="2552" w:type="dxa"/>
            <w:vMerge w:val="continue"/>
            <w:vAlign w:val="center"/>
          </w:tcPr>
          <w:p>
            <w:pPr>
              <w:spacing w:line="240" w:lineRule="auto"/>
              <w:ind w:firstLine="0" w:firstLineChars="0"/>
              <w:jc w:val="center"/>
              <w:rPr>
                <w:sz w:val="21"/>
                <w:szCs w:val="21"/>
              </w:rPr>
            </w:pPr>
          </w:p>
        </w:tc>
        <w:tc>
          <w:tcPr>
            <w:tcW w:w="2551" w:type="dxa"/>
            <w:vMerge w:val="continue"/>
            <w:vAlign w:val="center"/>
          </w:tcPr>
          <w:p>
            <w:pPr>
              <w:spacing w:line="240" w:lineRule="auto"/>
              <w:ind w:firstLine="0" w:firstLineChars="0"/>
              <w:jc w:val="center"/>
              <w:rPr>
                <w:sz w:val="21"/>
                <w:szCs w:val="21"/>
              </w:rPr>
            </w:pPr>
          </w:p>
        </w:tc>
        <w:tc>
          <w:tcPr>
            <w:tcW w:w="1276" w:type="dxa"/>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 w:hRule="atLeast"/>
          <w:jc w:val="center"/>
        </w:trPr>
        <w:tc>
          <w:tcPr>
            <w:tcW w:w="564" w:type="dxa"/>
            <w:vMerge w:val="continue"/>
            <w:vAlign w:val="center"/>
          </w:tcPr>
          <w:p>
            <w:pPr>
              <w:spacing w:line="240" w:lineRule="auto"/>
              <w:ind w:firstLine="0" w:firstLineChars="0"/>
              <w:jc w:val="center"/>
              <w:rPr>
                <w:sz w:val="21"/>
                <w:szCs w:val="21"/>
              </w:rPr>
            </w:pPr>
          </w:p>
        </w:tc>
        <w:tc>
          <w:tcPr>
            <w:tcW w:w="1028" w:type="dxa"/>
            <w:gridSpan w:val="2"/>
            <w:vMerge w:val="continue"/>
            <w:vAlign w:val="center"/>
          </w:tcPr>
          <w:p>
            <w:pPr>
              <w:spacing w:line="240" w:lineRule="auto"/>
              <w:ind w:firstLine="0" w:firstLineChars="0"/>
              <w:jc w:val="center"/>
              <w:rPr>
                <w:sz w:val="21"/>
                <w:szCs w:val="21"/>
              </w:rPr>
            </w:pPr>
          </w:p>
        </w:tc>
        <w:tc>
          <w:tcPr>
            <w:tcW w:w="1134" w:type="dxa"/>
            <w:vAlign w:val="center"/>
          </w:tcPr>
          <w:p>
            <w:pPr>
              <w:spacing w:line="240" w:lineRule="auto"/>
              <w:ind w:firstLine="0" w:firstLineChars="0"/>
              <w:jc w:val="center"/>
              <w:rPr>
                <w:sz w:val="21"/>
                <w:szCs w:val="21"/>
              </w:rPr>
            </w:pPr>
            <w:r>
              <w:rPr>
                <w:sz w:val="21"/>
                <w:szCs w:val="21"/>
              </w:rPr>
              <w:t>切割工序的边角料</w:t>
            </w:r>
          </w:p>
        </w:tc>
        <w:tc>
          <w:tcPr>
            <w:tcW w:w="2552" w:type="dxa"/>
            <w:vAlign w:val="center"/>
          </w:tcPr>
          <w:p>
            <w:pPr>
              <w:spacing w:line="240" w:lineRule="auto"/>
              <w:ind w:firstLine="0" w:firstLineChars="0"/>
              <w:jc w:val="center"/>
              <w:rPr>
                <w:sz w:val="21"/>
                <w:szCs w:val="21"/>
              </w:rPr>
            </w:pPr>
            <w:r>
              <w:rPr>
                <w:rFonts w:hint="eastAsia"/>
                <w:sz w:val="21"/>
                <w:szCs w:val="21"/>
              </w:rPr>
              <w:t>收集后回用于原料混合工序生产</w:t>
            </w:r>
          </w:p>
        </w:tc>
        <w:tc>
          <w:tcPr>
            <w:tcW w:w="2551" w:type="dxa"/>
            <w:vMerge w:val="continue"/>
            <w:vAlign w:val="center"/>
          </w:tcPr>
          <w:p>
            <w:pPr>
              <w:spacing w:line="240" w:lineRule="auto"/>
              <w:ind w:firstLine="0" w:firstLineChars="0"/>
              <w:jc w:val="center"/>
              <w:rPr>
                <w:sz w:val="21"/>
                <w:szCs w:val="21"/>
              </w:rPr>
            </w:pPr>
          </w:p>
        </w:tc>
        <w:tc>
          <w:tcPr>
            <w:tcW w:w="1276" w:type="dxa"/>
            <w:vMerge w:val="continue"/>
            <w:vAlign w:val="center"/>
          </w:tcPr>
          <w:p>
            <w:pPr>
              <w:spacing w:line="240" w:lineRule="auto"/>
              <w:ind w:firstLine="0" w:firstLineChars="0"/>
              <w:jc w:val="center"/>
              <w:rPr>
                <w:sz w:val="21"/>
                <w:szCs w:val="21"/>
              </w:rPr>
            </w:pPr>
          </w:p>
        </w:tc>
      </w:tr>
    </w:tbl>
    <w:p>
      <w:pPr>
        <w:ind w:firstLine="0" w:firstLineChars="0"/>
        <w:sectPr>
          <w:pgSz w:w="11906" w:h="16838"/>
          <w:pgMar w:top="1440" w:right="1800" w:bottom="1440" w:left="1800" w:header="851" w:footer="850" w:gutter="0"/>
          <w:cols w:space="425" w:num="1"/>
          <w:docGrid w:type="lines" w:linePitch="326" w:charSpace="0"/>
        </w:sectPr>
      </w:pPr>
      <w:bookmarkStart w:id="45" w:name="_Toc531082162"/>
    </w:p>
    <w:p>
      <w:pPr>
        <w:pStyle w:val="2"/>
        <w:jc w:val="both"/>
      </w:pPr>
      <w:bookmarkStart w:id="46" w:name="_Toc72396080"/>
      <w:r>
        <w:t>5环境影响报告表主要结论与建议及其审批部门审批决定</w:t>
      </w:r>
      <w:bookmarkEnd w:id="46"/>
    </w:p>
    <w:p>
      <w:pPr>
        <w:pStyle w:val="3"/>
      </w:pPr>
      <w:bookmarkStart w:id="47" w:name="_Toc531082160"/>
      <w:bookmarkStart w:id="48" w:name="_Toc72396081"/>
      <w:r>
        <w:t>5.1环境影响报告表主要结论与建议</w:t>
      </w:r>
      <w:bookmarkEnd w:id="47"/>
      <w:bookmarkEnd w:id="48"/>
    </w:p>
    <w:p>
      <w:pPr>
        <w:pStyle w:val="4"/>
      </w:pPr>
      <w:bookmarkStart w:id="49" w:name="_Toc72396082"/>
      <w:bookmarkStart w:id="50" w:name="_Toc531082161"/>
      <w:r>
        <w:rPr>
          <w:rFonts w:hint="eastAsia"/>
        </w:rPr>
        <w:t>5.1.1环境质量现状结论</w:t>
      </w:r>
      <w:bookmarkEnd w:id="49"/>
      <w:bookmarkEnd w:id="50"/>
    </w:p>
    <w:p>
      <w:pPr>
        <w:ind w:firstLine="480"/>
        <w:rPr>
          <w:rFonts w:cs="Times New Roman"/>
          <w:bCs/>
          <w:szCs w:val="24"/>
        </w:rPr>
      </w:pPr>
      <w:r>
        <w:rPr>
          <w:rFonts w:hint="eastAsia" w:cs="Times New Roman"/>
          <w:bCs/>
          <w:szCs w:val="24"/>
        </w:rPr>
        <w:t>（1）</w:t>
      </w:r>
      <w:r>
        <w:rPr>
          <w:rFonts w:cs="Times New Roman"/>
          <w:bCs/>
          <w:szCs w:val="24"/>
        </w:rPr>
        <w:t>水环境质量现状</w:t>
      </w:r>
    </w:p>
    <w:p>
      <w:pPr>
        <w:ind w:firstLine="480"/>
      </w:pPr>
      <w:r>
        <w:rPr>
          <w:rFonts w:hint="eastAsia" w:hAnsi="宋体"/>
        </w:rPr>
        <w:t>项目附近石窟河</w:t>
      </w:r>
      <w:r>
        <w:t>水质指标均达到《地表水环境质量标准》</w:t>
      </w:r>
      <w:r>
        <w:rPr>
          <w:rFonts w:cs="Times New Roman"/>
        </w:rPr>
        <w:t>（GB3838-2002）Ⅱ</w:t>
      </w:r>
      <w:r>
        <w:rPr>
          <w:rFonts w:hAnsi="宋体"/>
        </w:rPr>
        <w:t>类</w:t>
      </w:r>
      <w:r>
        <w:t>标准，水环境质量良好。</w:t>
      </w:r>
    </w:p>
    <w:p>
      <w:pPr>
        <w:ind w:firstLine="480"/>
        <w:rPr>
          <w:rFonts w:cs="Times New Roman"/>
          <w:bCs/>
        </w:rPr>
      </w:pPr>
      <w:r>
        <w:rPr>
          <w:rFonts w:hint="eastAsia" w:cs="Times New Roman"/>
          <w:bCs/>
          <w:szCs w:val="24"/>
        </w:rPr>
        <w:t>（2）</w:t>
      </w:r>
      <w:r>
        <w:rPr>
          <w:rFonts w:cs="Times New Roman"/>
          <w:bCs/>
          <w:szCs w:val="24"/>
        </w:rPr>
        <w:t>环境空气质量现状</w:t>
      </w:r>
    </w:p>
    <w:p>
      <w:pPr>
        <w:ind w:firstLine="480"/>
      </w:pPr>
      <w:r>
        <w:t>项目所在地环境空气</w:t>
      </w:r>
      <w:r>
        <w:rPr>
          <w:szCs w:val="24"/>
        </w:rPr>
        <w:t>各项指标均达到</w:t>
      </w:r>
      <w:r>
        <w:rPr>
          <w:rFonts w:hAnsi="宋体"/>
          <w:bCs/>
        </w:rPr>
        <w:t>《环境空气质量标准》</w:t>
      </w:r>
      <w:r>
        <w:rPr>
          <w:rFonts w:cs="Times New Roman"/>
          <w:bCs/>
        </w:rPr>
        <w:t>(GB3095-2012)</w:t>
      </w:r>
      <w:r>
        <w:rPr>
          <w:rFonts w:hint="eastAsia" w:hAnsi="宋体" w:cs="Times New Roman"/>
          <w:bCs/>
          <w:szCs w:val="24"/>
        </w:rPr>
        <w:t>及其2018年修改单中二级标准</w:t>
      </w:r>
      <w:r>
        <w:rPr>
          <w:rFonts w:hint="eastAsia" w:hAnsi="宋体"/>
          <w:bCs/>
        </w:rPr>
        <w:t>，大气环境质量良好</w:t>
      </w:r>
      <w:r>
        <w:rPr>
          <w:rFonts w:hint="eastAsia" w:ascii="宋体" w:hAnsi="宋体"/>
        </w:rPr>
        <w:t>。</w:t>
      </w:r>
    </w:p>
    <w:p>
      <w:pPr>
        <w:ind w:firstLine="480"/>
        <w:rPr>
          <w:rFonts w:cs="Times New Roman"/>
          <w:bCs/>
          <w:szCs w:val="24"/>
        </w:rPr>
      </w:pPr>
      <w:r>
        <w:rPr>
          <w:rFonts w:hint="eastAsia" w:cs="Times New Roman"/>
          <w:bCs/>
          <w:szCs w:val="24"/>
        </w:rPr>
        <w:t>（3）</w:t>
      </w:r>
      <w:r>
        <w:rPr>
          <w:rFonts w:cs="Times New Roman"/>
          <w:bCs/>
          <w:szCs w:val="24"/>
        </w:rPr>
        <w:t>声环境质量现状</w:t>
      </w:r>
    </w:p>
    <w:p>
      <w:pPr>
        <w:ind w:firstLine="480"/>
        <w:rPr>
          <w:rFonts w:cs="Times New Roman"/>
          <w:szCs w:val="24"/>
        </w:rPr>
      </w:pPr>
      <w:r>
        <w:t>环境噪声昼夜间各测点均符合《声环境质量标准》</w:t>
      </w:r>
      <w:r>
        <w:rPr>
          <w:rFonts w:cs="Times New Roman"/>
        </w:rPr>
        <w:t>（GB3096-2008）2</w:t>
      </w:r>
      <w:r>
        <w:t>类</w:t>
      </w:r>
      <w:r>
        <w:rPr>
          <w:rFonts w:hint="eastAsia"/>
        </w:rPr>
        <w:t>、</w:t>
      </w:r>
      <w:r>
        <w:rPr>
          <w:rFonts w:cs="Times New Roman"/>
        </w:rPr>
        <w:t>4a</w:t>
      </w:r>
      <w:r>
        <w:t>标准，声环境质量良好。</w:t>
      </w:r>
    </w:p>
    <w:p>
      <w:pPr>
        <w:pStyle w:val="4"/>
      </w:pPr>
      <w:bookmarkStart w:id="51" w:name="_Toc72396083"/>
      <w:r>
        <w:rPr>
          <w:rFonts w:hint="eastAsia"/>
        </w:rPr>
        <w:t>5.1.2环境影响评价结论</w:t>
      </w:r>
      <w:bookmarkEnd w:id="45"/>
      <w:bookmarkEnd w:id="51"/>
    </w:p>
    <w:p>
      <w:pPr>
        <w:ind w:firstLine="480"/>
        <w:jc w:val="left"/>
        <w:rPr>
          <w:color w:val="000000"/>
          <w:szCs w:val="24"/>
        </w:rPr>
      </w:pPr>
      <w:bookmarkStart w:id="52" w:name="_Toc531082163"/>
      <w:r>
        <w:rPr>
          <w:color w:val="000000"/>
          <w:szCs w:val="24"/>
        </w:rPr>
        <w:t xml:space="preserve">本项目营运期主要污染物是废水、废气、噪声和固体废物。 </w:t>
      </w:r>
    </w:p>
    <w:p>
      <w:pPr>
        <w:ind w:firstLine="480"/>
        <w:rPr>
          <w:rFonts w:cs="Times New Roman"/>
          <w:szCs w:val="28"/>
        </w:rPr>
      </w:pPr>
      <w:r>
        <w:rPr>
          <w:rFonts w:hint="eastAsia" w:cs="Times New Roman"/>
          <w:szCs w:val="28"/>
        </w:rPr>
        <w:t>（1）大气环境影响评价结论</w:t>
      </w:r>
    </w:p>
    <w:p>
      <w:pPr>
        <w:ind w:firstLine="480"/>
        <w:rPr>
          <w:rFonts w:hAnsi="宋体" w:cs="Times New Roman"/>
        </w:rPr>
      </w:pPr>
      <w:r>
        <w:rPr>
          <w:rFonts w:hint="eastAsia" w:cs="Times New Roman"/>
          <w:szCs w:val="28"/>
        </w:rPr>
        <w:t>本项目混合以及切割工序中产生的粉尘通过配套除尘装置处理后无组织排放；破碎工序中产生的粉尘</w:t>
      </w:r>
      <w:r>
        <w:rPr>
          <w:rFonts w:hint="eastAsia"/>
        </w:rPr>
        <w:t>通过加强机械通风</w:t>
      </w:r>
      <w:r>
        <w:rPr>
          <w:rFonts w:hint="eastAsia" w:cs="Times New Roman"/>
        </w:rPr>
        <w:t>呈无组织排放；</w:t>
      </w:r>
      <w:r>
        <w:rPr>
          <w:rFonts w:hint="eastAsia" w:cs="Times New Roman"/>
          <w:szCs w:val="28"/>
        </w:rPr>
        <w:t>项目粉尘污染因子的排放可达</w:t>
      </w:r>
      <w:r>
        <w:rPr>
          <w:rFonts w:hAnsi="宋体" w:cs="Times New Roman"/>
        </w:rPr>
        <w:t>广东省地方标准《大气污染物排放限值》（</w:t>
      </w:r>
      <w:r>
        <w:rPr>
          <w:rFonts w:cs="Times New Roman"/>
        </w:rPr>
        <w:t>DB44/27-2001</w:t>
      </w:r>
      <w:r>
        <w:rPr>
          <w:rFonts w:hAnsi="宋体" w:cs="Times New Roman"/>
        </w:rPr>
        <w:t>）第二时段</w:t>
      </w:r>
      <w:r>
        <w:rPr>
          <w:rFonts w:hint="eastAsia" w:hAnsi="宋体" w:cs="Times New Roman"/>
        </w:rPr>
        <w:t>中的相关要求；</w:t>
      </w:r>
      <w:r>
        <w:rPr>
          <w:rFonts w:hint="eastAsia" w:cs="Times New Roman"/>
        </w:rPr>
        <w:t>总VOCs利用管道统一收集后通过UV光解</w:t>
      </w:r>
      <w:r>
        <w:rPr>
          <w:rFonts w:cs="Times New Roman"/>
        </w:rPr>
        <w:t>装置</w:t>
      </w:r>
      <w:r>
        <w:rPr>
          <w:rFonts w:hint="eastAsia" w:cs="Times New Roman"/>
        </w:rPr>
        <w:t>处理后通过15m排气筒高空排放，总VOCs污染因子排放浓度达到</w:t>
      </w:r>
      <w:r>
        <w:rPr>
          <w:rFonts w:hAnsi="宋体" w:cs="Times New Roman"/>
        </w:rPr>
        <w:t>《家具制造行业挥发性有机化合物排放标准》（</w:t>
      </w:r>
      <w:r>
        <w:rPr>
          <w:rFonts w:cs="Times New Roman"/>
        </w:rPr>
        <w:t>DB44/814-2010</w:t>
      </w:r>
      <w:r>
        <w:rPr>
          <w:rFonts w:hAnsi="宋体" w:cs="Times New Roman"/>
        </w:rPr>
        <w:t>）表</w:t>
      </w:r>
      <w:r>
        <w:rPr>
          <w:rFonts w:hint="eastAsia" w:cs="Times New Roman"/>
        </w:rPr>
        <w:t>1</w:t>
      </w:r>
      <w:r>
        <w:rPr>
          <w:rFonts w:hAnsi="宋体" w:cs="Times New Roman"/>
        </w:rPr>
        <w:t>中</w:t>
      </w:r>
      <w:r>
        <w:rPr>
          <w:rFonts w:hint="eastAsia" w:hAnsi="宋体" w:cs="Times New Roman"/>
        </w:rPr>
        <w:t>VOCs的第</w:t>
      </w:r>
      <w:r>
        <w:rPr>
          <w:rFonts w:hint="eastAsia" w:ascii="宋体" w:hAnsi="宋体" w:cs="Times New Roman"/>
        </w:rPr>
        <w:t>Ⅱ</w:t>
      </w:r>
      <w:r>
        <w:rPr>
          <w:rFonts w:hint="eastAsia" w:hAnsi="宋体" w:cs="Times New Roman"/>
        </w:rPr>
        <w:t>时段排放监控限值对周围大气环境影响不大。</w:t>
      </w:r>
    </w:p>
    <w:p>
      <w:pPr>
        <w:ind w:firstLine="480"/>
        <w:rPr>
          <w:rFonts w:cs="Times New Roman" w:hAnsiTheme="minorEastAsia"/>
          <w:szCs w:val="28"/>
        </w:rPr>
      </w:pPr>
      <w:r>
        <w:rPr>
          <w:rFonts w:hint="eastAsia" w:hAnsi="宋体" w:cs="Times New Roman"/>
        </w:rPr>
        <w:t>（</w:t>
      </w:r>
      <w:r>
        <w:rPr>
          <w:rFonts w:hint="eastAsia" w:cs="Times New Roman" w:hAnsiTheme="minorEastAsia"/>
          <w:szCs w:val="28"/>
        </w:rPr>
        <w:t>2）水环境影响评价结论</w:t>
      </w:r>
    </w:p>
    <w:p>
      <w:pPr>
        <w:ind w:firstLine="480"/>
        <w:rPr>
          <w:rFonts w:hAnsi="宋体" w:cs="Times New Roman"/>
          <w:szCs w:val="24"/>
        </w:rPr>
      </w:pPr>
      <w:r>
        <w:rPr>
          <w:rFonts w:hint="eastAsia" w:cs="Times New Roman" w:hAnsiTheme="minorEastAsia"/>
          <w:szCs w:val="28"/>
        </w:rPr>
        <w:t>本项目产生的废水为机械冷却水和生活废水，机械冷却用水循环使用；生活污水经</w:t>
      </w:r>
      <w:r>
        <w:rPr>
          <w:rFonts w:cs="Times New Roman" w:hAnsiTheme="minorEastAsia"/>
          <w:szCs w:val="28"/>
        </w:rPr>
        <w:t>经三级化粪池处理</w:t>
      </w:r>
      <w:r>
        <w:rPr>
          <w:rFonts w:hint="eastAsia" w:hAnsi="宋体" w:cs="Times New Roman"/>
          <w:bCs/>
          <w:szCs w:val="28"/>
        </w:rPr>
        <w:t>后由吸污车吸走</w:t>
      </w:r>
      <w:r>
        <w:rPr>
          <w:rFonts w:hint="eastAsia" w:cs="Times New Roman" w:hAnsiTheme="minorEastAsia"/>
          <w:szCs w:val="28"/>
        </w:rPr>
        <w:t>。对周围水环境影响较</w:t>
      </w:r>
      <w:r>
        <w:rPr>
          <w:rFonts w:hint="eastAsia" w:hAnsi="宋体" w:cs="Times New Roman"/>
          <w:szCs w:val="24"/>
        </w:rPr>
        <w:t>小。</w:t>
      </w:r>
    </w:p>
    <w:p>
      <w:pPr>
        <w:ind w:firstLine="480"/>
        <w:rPr>
          <w:rFonts w:hAnsi="宋体" w:cs="Times New Roman"/>
          <w:szCs w:val="24"/>
        </w:rPr>
      </w:pPr>
      <w:r>
        <w:rPr>
          <w:rFonts w:hint="eastAsia" w:hAnsi="宋体" w:cs="Times New Roman"/>
          <w:szCs w:val="24"/>
        </w:rPr>
        <w:t>（3）声环境影响评价结论</w:t>
      </w:r>
    </w:p>
    <w:p>
      <w:pPr>
        <w:ind w:firstLine="480"/>
        <w:rPr>
          <w:rFonts w:hAnsi="宋体" w:cs="Times New Roman"/>
        </w:rPr>
      </w:pPr>
      <w:r>
        <w:rPr>
          <w:rFonts w:hint="eastAsia" w:hAnsi="宋体" w:cs="Times New Roman"/>
          <w:szCs w:val="24"/>
        </w:rPr>
        <w:t>建设单位采取对</w:t>
      </w:r>
      <w:r>
        <w:rPr>
          <w:rFonts w:hAnsi="宋体" w:cs="Times New Roman"/>
          <w:szCs w:val="24"/>
        </w:rPr>
        <w:t>设备进行隔音、吸音、减振处理</w:t>
      </w:r>
      <w:r>
        <w:rPr>
          <w:rFonts w:hint="eastAsia" w:hAnsi="宋体" w:cs="Times New Roman"/>
          <w:szCs w:val="24"/>
        </w:rPr>
        <w:t>，合理设计布局等综合措施处理，厂界噪音可</w:t>
      </w:r>
      <w:r>
        <w:rPr>
          <w:rFonts w:hint="eastAsia" w:cs="Times New Roman"/>
        </w:rPr>
        <w:t>达到</w:t>
      </w:r>
      <w:r>
        <w:rPr>
          <w:rFonts w:hAnsi="宋体" w:cs="Times New Roman"/>
        </w:rPr>
        <w:t>《工业企业厂界环境噪声排放标准》</w:t>
      </w:r>
      <w:r>
        <w:rPr>
          <w:rFonts w:hint="eastAsia" w:ascii="宋体" w:hAnsi="宋体" w:cs="宋体"/>
        </w:rPr>
        <w:t>(</w:t>
      </w:r>
      <w:r>
        <w:rPr>
          <w:rFonts w:cs="Times New Roman"/>
        </w:rPr>
        <w:t>GB12348-2008</w:t>
      </w:r>
      <w:r>
        <w:rPr>
          <w:rFonts w:hint="eastAsia" w:ascii="宋体" w:hAnsi="宋体" w:cs="宋体"/>
        </w:rPr>
        <w:t>)</w:t>
      </w:r>
      <w:r>
        <w:rPr>
          <w:rFonts w:cs="Times New Roman"/>
        </w:rPr>
        <w:t>2</w:t>
      </w:r>
      <w:r>
        <w:rPr>
          <w:rFonts w:hAnsi="宋体" w:cs="Times New Roman"/>
        </w:rPr>
        <w:t>类</w:t>
      </w:r>
      <w:r>
        <w:rPr>
          <w:rFonts w:hint="eastAsia" w:hAnsi="宋体" w:cs="Times New Roman"/>
        </w:rPr>
        <w:t>、4类</w:t>
      </w:r>
      <w:r>
        <w:rPr>
          <w:rFonts w:hAnsi="宋体" w:cs="Times New Roman"/>
        </w:rPr>
        <w:t>标准</w:t>
      </w:r>
      <w:r>
        <w:rPr>
          <w:rFonts w:hint="eastAsia" w:hAnsi="宋体" w:cs="Times New Roman"/>
        </w:rPr>
        <w:t>，对周围声环境影响不大。</w:t>
      </w:r>
    </w:p>
    <w:p>
      <w:pPr>
        <w:ind w:firstLine="480"/>
        <w:rPr>
          <w:rFonts w:hAnsi="宋体" w:cs="Times New Roman"/>
        </w:rPr>
      </w:pPr>
      <w:r>
        <w:rPr>
          <w:rFonts w:hint="eastAsia" w:hAnsi="宋体" w:cs="Times New Roman"/>
        </w:rPr>
        <w:t>（4）固体废物影响评价结论</w:t>
      </w:r>
    </w:p>
    <w:p>
      <w:pPr>
        <w:ind w:firstLine="480"/>
        <w:rPr>
          <w:rFonts w:cs="Times New Roman"/>
          <w:szCs w:val="24"/>
        </w:rPr>
      </w:pPr>
      <w:r>
        <w:rPr>
          <w:rFonts w:hint="eastAsia" w:cs="Times New Roman" w:hAnsiTheme="minorEastAsia"/>
          <w:szCs w:val="28"/>
        </w:rPr>
        <w:t>一般工业固体废物：主要是切割工序的边角料以及废原料包装袋等，废边角料</w:t>
      </w:r>
      <w:r>
        <w:rPr>
          <w:rFonts w:hint="eastAsia" w:cs="Times New Roman"/>
          <w:szCs w:val="24"/>
        </w:rPr>
        <w:t>收集后回用于原料混合工序生产；</w:t>
      </w:r>
      <w:r>
        <w:rPr>
          <w:rFonts w:hint="eastAsia" w:cs="Times New Roman" w:hAnsiTheme="minorEastAsia"/>
          <w:szCs w:val="28"/>
        </w:rPr>
        <w:t>废原料包装袋和</w:t>
      </w:r>
      <w:r>
        <w:rPr>
          <w:rFonts w:hint="eastAsia" w:cs="Times New Roman"/>
          <w:szCs w:val="24"/>
        </w:rPr>
        <w:t>员工生活垃圾交由环卫部门处理；员工生活垃圾交由环卫部门处理。</w:t>
      </w:r>
    </w:p>
    <w:p>
      <w:pPr>
        <w:ind w:firstLine="480"/>
        <w:rPr>
          <w:rFonts w:hAnsi="宋体" w:cs="Times New Roman"/>
          <w:szCs w:val="24"/>
        </w:rPr>
      </w:pPr>
      <w:r>
        <w:rPr>
          <w:rFonts w:hint="eastAsia" w:cs="Times New Roman"/>
          <w:szCs w:val="24"/>
        </w:rPr>
        <w:t>经过上述措施处理后，项目产生的固体废物不对周围环境产生直接影响。</w:t>
      </w:r>
    </w:p>
    <w:p>
      <w:pPr>
        <w:pStyle w:val="4"/>
        <w:rPr>
          <w:sz w:val="24"/>
        </w:rPr>
      </w:pPr>
      <w:bookmarkStart w:id="53" w:name="_Toc72396084"/>
      <w:r>
        <w:rPr>
          <w:rFonts w:hint="eastAsia"/>
        </w:rPr>
        <w:t>5.1.3环评综合结论</w:t>
      </w:r>
      <w:bookmarkEnd w:id="52"/>
      <w:bookmarkEnd w:id="53"/>
    </w:p>
    <w:p>
      <w:pPr>
        <w:ind w:firstLine="480"/>
        <w:rPr>
          <w:rFonts w:cs="Times New Roman"/>
          <w:szCs w:val="24"/>
        </w:rPr>
      </w:pPr>
      <w:bookmarkStart w:id="54" w:name="_Toc531082164"/>
      <w:r>
        <w:rPr>
          <w:rFonts w:hint="eastAsia" w:cs="Times New Roman"/>
          <w:szCs w:val="24"/>
        </w:rPr>
        <w:t>广东省玉塑管道有限公司年产5000吨PVC管材建设项目</w:t>
      </w:r>
      <w:r>
        <w:rPr>
          <w:rFonts w:cs="Times New Roman"/>
          <w:szCs w:val="24"/>
        </w:rPr>
        <w:t>位于广东省</w:t>
      </w:r>
      <w:r>
        <w:rPr>
          <w:rFonts w:hint="eastAsia" w:cs="Times New Roman"/>
          <w:szCs w:val="24"/>
        </w:rPr>
        <w:t>梅州市梅县区白渡镇沙坪村三丫塘A栋1号，符合环境功能区划；其工艺及产品符合国家的产业政策；通过工程分析和环境影响分析，该项目产生的污染物（源），可以通过污染防治措施进行消减，达到排放标准的要求，对环境产生不良影响的可能性较小；且通过加强环境管理，落实好相关的环境保护和治理措施，确保污染物达标排放，污染物排放总量控制在允许排放总量范围内，则项目在正常运营状况下不会对周边环境产生大的污染影响。从环境保护角度分析，项目的建设是可行的</w:t>
      </w:r>
      <w:r>
        <w:rPr>
          <w:rFonts w:cs="Times New Roman"/>
          <w:szCs w:val="24"/>
        </w:rPr>
        <w:t>。</w:t>
      </w:r>
    </w:p>
    <w:p>
      <w:pPr>
        <w:pStyle w:val="3"/>
        <w:rPr>
          <w:szCs w:val="21"/>
        </w:rPr>
      </w:pPr>
      <w:bookmarkStart w:id="55" w:name="_Toc72396085"/>
      <w:r>
        <w:t>5.2审批部门审批决定</w:t>
      </w:r>
      <w:bookmarkEnd w:id="54"/>
      <w:bookmarkEnd w:id="55"/>
    </w:p>
    <w:p>
      <w:pPr>
        <w:ind w:firstLine="480"/>
      </w:pPr>
      <w:r>
        <w:rPr>
          <w:rFonts w:hint="eastAsia"/>
          <w:color w:val="000000"/>
          <w:szCs w:val="24"/>
        </w:rPr>
        <w:t>广东玉塑管道有限公司</w:t>
      </w:r>
      <w:r>
        <w:rPr>
          <w:rFonts w:hint="eastAsia"/>
        </w:rPr>
        <w:t>《</w:t>
      </w:r>
      <w:r>
        <w:rPr>
          <w:rFonts w:hint="eastAsia"/>
          <w:color w:val="000000"/>
          <w:szCs w:val="24"/>
        </w:rPr>
        <w:t>广东玉塑管道有限公司年产5000吨PVC管材建设项目</w:t>
      </w:r>
      <w:r>
        <w:rPr>
          <w:rFonts w:hint="eastAsia"/>
        </w:rPr>
        <w:t>环境影响报告表》</w:t>
      </w:r>
      <w:r>
        <w:rPr>
          <w:rFonts w:hint="eastAsia" w:ascii="宋体"/>
        </w:rPr>
        <w:t>于</w:t>
      </w:r>
      <w:r>
        <w:rPr>
          <w:rFonts w:cs="Times New Roman"/>
        </w:rPr>
        <w:t>20</w:t>
      </w:r>
      <w:r>
        <w:rPr>
          <w:rFonts w:hint="eastAsia" w:cs="Times New Roman"/>
        </w:rPr>
        <w:t>20</w:t>
      </w:r>
      <w:r>
        <w:rPr>
          <w:rFonts w:cs="Times New Roman"/>
        </w:rPr>
        <w:t>年</w:t>
      </w:r>
      <w:r>
        <w:rPr>
          <w:rFonts w:hint="eastAsia" w:cs="Times New Roman"/>
        </w:rPr>
        <w:t>9</w:t>
      </w:r>
      <w:r>
        <w:rPr>
          <w:rFonts w:cs="Times New Roman"/>
        </w:rPr>
        <w:t>月</w:t>
      </w:r>
      <w:r>
        <w:rPr>
          <w:rFonts w:hint="eastAsia" w:cs="Times New Roman"/>
        </w:rPr>
        <w:t>10</w:t>
      </w:r>
      <w:r>
        <w:rPr>
          <w:rFonts w:cs="Times New Roman"/>
        </w:rPr>
        <w:t>日取</w:t>
      </w:r>
      <w:r>
        <w:rPr>
          <w:rFonts w:hint="eastAsia" w:ascii="宋体"/>
        </w:rPr>
        <w:t>得了梅州市生态环境局梅县分局的批复意见</w:t>
      </w:r>
      <w:r>
        <w:rPr>
          <w:rFonts w:hint="eastAsia"/>
        </w:rPr>
        <w:t>，原文如下：</w:t>
      </w:r>
    </w:p>
    <w:p>
      <w:pPr>
        <w:ind w:firstLine="482"/>
        <w:rPr>
          <w:b/>
        </w:rPr>
      </w:pPr>
      <w:r>
        <w:rPr>
          <w:rFonts w:hint="eastAsia"/>
          <w:b/>
        </w:rPr>
        <w:t>一、</w:t>
      </w:r>
      <w:r>
        <w:rPr>
          <w:rFonts w:hint="eastAsia"/>
          <w:b/>
          <w:color w:val="000000"/>
          <w:szCs w:val="24"/>
        </w:rPr>
        <w:t>广东玉塑管道有限公司年产5000吨PVC管材建设项目</w:t>
      </w:r>
      <w:r>
        <w:rPr>
          <w:rFonts w:hint="eastAsia"/>
          <w:b/>
        </w:rPr>
        <w:t>位于</w:t>
      </w:r>
      <w:r>
        <w:rPr>
          <w:rFonts w:cs="Times New Roman"/>
          <w:b/>
          <w:szCs w:val="24"/>
        </w:rPr>
        <w:t>广东省</w:t>
      </w:r>
      <w:r>
        <w:rPr>
          <w:rFonts w:hint="eastAsia" w:cs="Times New Roman"/>
          <w:b/>
          <w:szCs w:val="24"/>
        </w:rPr>
        <w:t>梅州市梅县区白渡镇沙坪村三丫塘A栋1号</w:t>
      </w:r>
      <w:r>
        <w:rPr>
          <w:rFonts w:hint="eastAsia"/>
          <w:b/>
        </w:rPr>
        <w:t>。</w:t>
      </w:r>
      <w:r>
        <w:rPr>
          <w:rFonts w:hint="eastAsia" w:cs="Times New Roman"/>
          <w:b/>
          <w:bCs/>
        </w:rPr>
        <w:t>项目占地面积3000平方米，建筑面积3000平方米，建设内容包括原料区、生产区、产品区、配件区以及办公区。项目建成后</w:t>
      </w:r>
      <w:r>
        <w:rPr>
          <w:rFonts w:hint="eastAsia"/>
          <w:b/>
          <w:color w:val="000000"/>
          <w:szCs w:val="24"/>
        </w:rPr>
        <w:t>年产5000吨PVC管材</w:t>
      </w:r>
      <w:r>
        <w:rPr>
          <w:rFonts w:hint="eastAsia"/>
          <w:b/>
          <w:bCs/>
        </w:rPr>
        <w:t>。</w:t>
      </w:r>
    </w:p>
    <w:p>
      <w:pPr>
        <w:ind w:firstLine="482"/>
        <w:rPr>
          <w:b/>
        </w:rPr>
      </w:pPr>
      <w:r>
        <w:rPr>
          <w:rFonts w:hint="eastAsia"/>
          <w:b/>
        </w:rPr>
        <w:t>二、根据报告表的评价结论，在项目按照报告表中所列的性质、规模、地点进行建设，全面落实报告表提出的各项污染防治和环境风险防范措施，并确保污染物排放稳定达标和符合总量控制要求的前提下，其建设从环境保护角度可行。</w:t>
      </w:r>
    </w:p>
    <w:p>
      <w:pPr>
        <w:ind w:firstLine="482"/>
        <w:rPr>
          <w:b/>
        </w:rPr>
      </w:pPr>
      <w:r>
        <w:rPr>
          <w:rFonts w:hint="eastAsia"/>
          <w:b/>
        </w:rPr>
        <w:t>三、项目应重点做好如下环境保护工作:</w:t>
      </w:r>
    </w:p>
    <w:p>
      <w:pPr>
        <w:ind w:firstLine="482"/>
        <w:rPr>
          <w:b/>
        </w:rPr>
      </w:pPr>
      <w:r>
        <w:rPr>
          <w:rFonts w:hint="eastAsia"/>
          <w:b/>
        </w:rPr>
        <w:t>（一）项目生产过程中在冷却、成型工序冷却水循环使用，不外排；生活废水经三级化粪池处理后，定期委托吸粪车外运处理。</w:t>
      </w:r>
    </w:p>
    <w:p>
      <w:pPr>
        <w:ind w:firstLine="482"/>
        <w:rPr>
          <w:b/>
        </w:rPr>
      </w:pPr>
      <w:r>
        <w:rPr>
          <w:rFonts w:hint="eastAsia"/>
          <w:b/>
        </w:rPr>
        <w:t>（二）项目生产在原料混合、切割工序产生的粉尘，经布袋除尘器处理后无组织排放；加热、挤出、冷却、成型工序产生的有机废气，经UV光解设施处理达标后，由不低于15米排气筒排放；采取有效措施减少无组织排放粉尘、有机废气对周围环境的影响。VOCs排放执行</w:t>
      </w:r>
      <w:r>
        <w:rPr>
          <w:rFonts w:hAnsi="宋体" w:cs="Times New Roman"/>
          <w:b/>
        </w:rPr>
        <w:t>《家具制造行业挥发性有机化合物排放标准》（</w:t>
      </w:r>
      <w:r>
        <w:rPr>
          <w:rFonts w:cs="Times New Roman"/>
          <w:b/>
        </w:rPr>
        <w:t>DB44/814-2010</w:t>
      </w:r>
      <w:r>
        <w:rPr>
          <w:rFonts w:hAnsi="宋体" w:cs="Times New Roman"/>
          <w:b/>
        </w:rPr>
        <w:t>）</w:t>
      </w:r>
      <w:r>
        <w:rPr>
          <w:rFonts w:hint="eastAsia" w:hAnsi="宋体" w:cs="Times New Roman"/>
          <w:b/>
        </w:rPr>
        <w:t>第</w:t>
      </w:r>
      <w:r>
        <w:rPr>
          <w:rFonts w:hint="eastAsia" w:ascii="宋体" w:hAnsi="宋体" w:cs="Times New Roman"/>
          <w:b/>
        </w:rPr>
        <w:t>Ⅱ</w:t>
      </w:r>
      <w:r>
        <w:rPr>
          <w:rFonts w:hint="eastAsia" w:hAnsi="宋体" w:cs="Times New Roman"/>
          <w:b/>
        </w:rPr>
        <w:t>时段标准；粉尘排放执行广东省地方标准</w:t>
      </w:r>
      <w:r>
        <w:rPr>
          <w:rFonts w:hint="eastAsia"/>
          <w:b/>
        </w:rPr>
        <w:t>《大气污染物排放限值》(DB44/27-2001)相关标准要求。</w:t>
      </w:r>
    </w:p>
    <w:p>
      <w:pPr>
        <w:ind w:firstLine="482"/>
        <w:rPr>
          <w:b/>
        </w:rPr>
      </w:pPr>
      <w:r>
        <w:rPr>
          <w:rFonts w:hint="eastAsia"/>
          <w:b/>
        </w:rPr>
        <w:t>（三）选用低噪声设备，合理布局噪声源，对主要噪声源采取隔音、消声、减震等降噪措施，确保噪声排放符合《工业企业厂界环境噪声排放标准》（GB12348-2008）2、4类标准要求。</w:t>
      </w:r>
    </w:p>
    <w:p>
      <w:pPr>
        <w:ind w:firstLine="482"/>
        <w:rPr>
          <w:b/>
        </w:rPr>
      </w:pPr>
      <w:r>
        <w:rPr>
          <w:rFonts w:hint="eastAsia"/>
          <w:b/>
        </w:rPr>
        <w:t>（四）落实固体废弃物的综合利用和处理处置措施，防止造成二次污染。废边角料回用于生产；废包装材料、生活垃圾统一收集后交由环卫部门处理。</w:t>
      </w:r>
    </w:p>
    <w:p>
      <w:pPr>
        <w:ind w:firstLine="482"/>
        <w:rPr>
          <w:b/>
        </w:rPr>
      </w:pPr>
      <w:r>
        <w:rPr>
          <w:rFonts w:hint="eastAsia"/>
          <w:b/>
        </w:rPr>
        <w:t>四、项目环保投资应纳入工程投资预算并予以落实。</w:t>
      </w:r>
    </w:p>
    <w:p>
      <w:pPr>
        <w:ind w:firstLine="482"/>
        <w:rPr>
          <w:b/>
        </w:rPr>
      </w:pPr>
      <w:r>
        <w:rPr>
          <w:rFonts w:hint="eastAsia"/>
          <w:b/>
        </w:rPr>
        <w:t>五、报告表经批准后，若项目的性质、规模、地点、采用的生产工艺或者防治污染、防止生态破坏的措施发生重大变动，建设单位应当重新报批建设项目环境影响评价文件。</w:t>
      </w:r>
    </w:p>
    <w:p>
      <w:pPr>
        <w:ind w:firstLine="482"/>
        <w:rPr>
          <w:b/>
        </w:rPr>
      </w:pPr>
      <w:r>
        <w:rPr>
          <w:rFonts w:hint="eastAsia"/>
          <w:b/>
        </w:rPr>
        <w:t>六、项目建设应严格执行配套建设的环境保护设施与主体工程同时设计、同时施工、同时投入使用的环境保护“三同时”制度。</w:t>
      </w:r>
    </w:p>
    <w:p>
      <w:pPr>
        <w:ind w:firstLine="480"/>
      </w:pPr>
      <w:r>
        <w:rPr>
          <w:rFonts w:hint="eastAsia"/>
        </w:rPr>
        <w:t>批复意见原件见附件4。</w:t>
      </w:r>
    </w:p>
    <w:p>
      <w:pPr>
        <w:ind w:firstLine="480"/>
        <w:sectPr>
          <w:pgSz w:w="11906" w:h="16838"/>
          <w:pgMar w:top="1440" w:right="1800" w:bottom="1440" w:left="1800" w:header="851" w:footer="850" w:gutter="0"/>
          <w:cols w:space="425" w:num="1"/>
          <w:docGrid w:type="lines" w:linePitch="326" w:charSpace="0"/>
        </w:sectPr>
      </w:pPr>
    </w:p>
    <w:p>
      <w:pPr>
        <w:pStyle w:val="2"/>
        <w:rPr>
          <w:szCs w:val="21"/>
        </w:rPr>
      </w:pPr>
      <w:bookmarkStart w:id="56" w:name="_Toc72396086"/>
      <w:bookmarkStart w:id="57" w:name="_Toc531082165"/>
      <w:r>
        <w:t>6验收执行标准</w:t>
      </w:r>
      <w:bookmarkEnd w:id="56"/>
      <w:bookmarkEnd w:id="57"/>
    </w:p>
    <w:p>
      <w:pPr>
        <w:pStyle w:val="3"/>
      </w:pPr>
      <w:bookmarkStart w:id="58" w:name="_Toc72396087"/>
      <w:bookmarkStart w:id="59" w:name="_Toc531082166"/>
      <w:bookmarkStart w:id="60" w:name="_Toc874263"/>
      <w:r>
        <w:rPr>
          <w:rFonts w:hint="eastAsia"/>
        </w:rPr>
        <w:t>6.1废气</w:t>
      </w:r>
      <w:bookmarkEnd w:id="58"/>
      <w:bookmarkEnd w:id="59"/>
      <w:bookmarkEnd w:id="60"/>
    </w:p>
    <w:p>
      <w:pPr>
        <w:ind w:firstLine="480"/>
        <w:rPr>
          <w:rFonts w:hAnsi="宋体" w:cs="Times New Roman"/>
          <w:szCs w:val="28"/>
        </w:rPr>
      </w:pPr>
      <w:bookmarkStart w:id="61" w:name="_Toc531082167"/>
      <w:bookmarkStart w:id="62" w:name="_Toc874264"/>
      <w:r>
        <w:rPr>
          <w:rFonts w:hint="eastAsia" w:cs="Times New Roman"/>
          <w:szCs w:val="28"/>
        </w:rPr>
        <w:t>本项</w:t>
      </w:r>
      <w:r>
        <w:rPr>
          <w:rFonts w:hint="eastAsia" w:hAnsi="宋体" w:cs="Times New Roman"/>
          <w:szCs w:val="28"/>
        </w:rPr>
        <w:t>目产生的废气主要是原材料在原料混合、切割、破碎工序中产生的粉尘，以及加热、挤出、冷却、成型工序产生的有机废气。</w:t>
      </w:r>
    </w:p>
    <w:p>
      <w:pPr>
        <w:ind w:firstLine="480"/>
        <w:rPr>
          <w:rFonts w:hAnsi="宋体" w:cs="Times New Roman"/>
          <w:szCs w:val="28"/>
        </w:rPr>
      </w:pPr>
      <w:r>
        <w:rPr>
          <w:rFonts w:hint="eastAsia" w:hAnsi="宋体" w:cs="Times New Roman"/>
          <w:szCs w:val="28"/>
        </w:rPr>
        <w:t>（1）混合、切割、破碎工序中产生的粉尘</w:t>
      </w:r>
    </w:p>
    <w:p>
      <w:pPr>
        <w:ind w:firstLine="480"/>
        <w:rPr>
          <w:rFonts w:hAnsi="宋体" w:cs="Times New Roman"/>
          <w:szCs w:val="28"/>
        </w:rPr>
      </w:pPr>
      <w:r>
        <w:rPr>
          <w:rFonts w:hint="eastAsia" w:hAnsi="宋体" w:cs="Times New Roman"/>
          <w:szCs w:val="28"/>
        </w:rPr>
        <w:t>建设单位配套安装抽吸装置，将粉尘废气收集后通过布袋除尘器处理后无组织排放，车间加强机械通风，</w:t>
      </w:r>
      <w:r>
        <w:rPr>
          <w:rFonts w:hAnsi="宋体" w:cs="Times New Roman"/>
          <w:szCs w:val="28"/>
        </w:rPr>
        <w:t>无组织</w:t>
      </w:r>
      <w:r>
        <w:rPr>
          <w:rFonts w:hint="eastAsia" w:hAnsi="宋体" w:cs="Times New Roman"/>
          <w:szCs w:val="28"/>
        </w:rPr>
        <w:t>颗粒物执行</w:t>
      </w:r>
      <w:r>
        <w:rPr>
          <w:rFonts w:hAnsi="宋体" w:cs="Times New Roman"/>
          <w:szCs w:val="28"/>
        </w:rPr>
        <w:t>广东省地方标准《大气污染物排放限值》（GB44/27-2001）第二时段无组织排放限值，对周围大气环境影响较小。</w:t>
      </w:r>
    </w:p>
    <w:p>
      <w:pPr>
        <w:ind w:firstLine="480"/>
        <w:rPr>
          <w:rFonts w:hAnsi="宋体" w:cs="Times New Roman"/>
          <w:szCs w:val="28"/>
        </w:rPr>
      </w:pPr>
      <w:r>
        <w:rPr>
          <w:rFonts w:hint="eastAsia" w:hAnsi="宋体" w:cs="Times New Roman"/>
          <w:szCs w:val="28"/>
        </w:rPr>
        <w:t>（2）有机废气</w:t>
      </w:r>
    </w:p>
    <w:p>
      <w:pPr>
        <w:ind w:firstLine="480"/>
        <w:rPr>
          <w:rFonts w:hAnsi="宋体" w:cs="Times New Roman"/>
          <w:szCs w:val="28"/>
        </w:rPr>
      </w:pPr>
      <w:r>
        <w:rPr>
          <w:rFonts w:hint="eastAsia" w:hAnsi="宋体" w:cs="Times New Roman"/>
          <w:szCs w:val="28"/>
        </w:rPr>
        <w:t>项目有机废气利用管道统一收集后通过UV光解</w:t>
      </w:r>
      <w:r>
        <w:rPr>
          <w:rFonts w:hAnsi="宋体" w:cs="Times New Roman"/>
          <w:szCs w:val="28"/>
        </w:rPr>
        <w:t>装置</w:t>
      </w:r>
      <w:r>
        <w:rPr>
          <w:rFonts w:hint="eastAsia" w:hAnsi="宋体" w:cs="Times New Roman"/>
          <w:szCs w:val="28"/>
        </w:rPr>
        <w:t>处理后通过15m排气筒高空排放，执行</w:t>
      </w:r>
      <w:r>
        <w:rPr>
          <w:rFonts w:hAnsi="宋体" w:cs="Times New Roman"/>
          <w:szCs w:val="28"/>
        </w:rPr>
        <w:t>《家具制造行业挥发性有机化合物排放标准》（DB44/814-2010）表</w:t>
      </w:r>
      <w:r>
        <w:rPr>
          <w:rFonts w:hint="eastAsia" w:hAnsi="宋体" w:cs="Times New Roman"/>
          <w:szCs w:val="28"/>
        </w:rPr>
        <w:t>1</w:t>
      </w:r>
      <w:r>
        <w:rPr>
          <w:rFonts w:hAnsi="宋体" w:cs="Times New Roman"/>
          <w:szCs w:val="28"/>
        </w:rPr>
        <w:t>中</w:t>
      </w:r>
      <w:r>
        <w:rPr>
          <w:rFonts w:hint="eastAsia" w:hAnsi="宋体" w:cs="Times New Roman"/>
          <w:szCs w:val="28"/>
        </w:rPr>
        <w:t>第Ⅱ时段排放监控限值。</w:t>
      </w:r>
      <w:r>
        <w:rPr>
          <w:rFonts w:hint="eastAsia"/>
        </w:rPr>
        <w:t>未被收集的有机废气执行</w:t>
      </w:r>
      <w:r>
        <w:t>广东省地方标准《家具制造行业挥发性有机化合物排放标准》（DB44/814-2010）表</w:t>
      </w:r>
      <w:r>
        <w:rPr>
          <w:rFonts w:hint="eastAsia"/>
        </w:rPr>
        <w:t>2</w:t>
      </w:r>
      <w:r>
        <w:t>无组织排放要求</w:t>
      </w:r>
      <w:r>
        <w:rPr>
          <w:rFonts w:hint="eastAsia"/>
        </w:rPr>
        <w:t>。</w:t>
      </w:r>
      <w:r>
        <w:rPr>
          <w:rFonts w:hint="eastAsia" w:hAnsi="宋体" w:cs="Times New Roman"/>
          <w:szCs w:val="28"/>
        </w:rPr>
        <w:t>对周围大气环境影响不大。</w:t>
      </w:r>
    </w:p>
    <w:p>
      <w:pPr>
        <w:ind w:firstLine="0" w:firstLineChars="0"/>
        <w:jc w:val="center"/>
        <w:rPr>
          <w:rFonts w:hAnsi="宋体" w:eastAsia="宋体" w:cs="Times New Roman"/>
          <w:b/>
        </w:rPr>
      </w:pPr>
      <w:r>
        <w:rPr>
          <w:rFonts w:hAnsi="宋体" w:eastAsia="宋体" w:cs="Times New Roman"/>
          <w:b/>
        </w:rPr>
        <w:t>表</w:t>
      </w:r>
      <w:r>
        <w:rPr>
          <w:rFonts w:eastAsia="宋体" w:cs="Times New Roman"/>
          <w:b/>
        </w:rPr>
        <w:t>6.1-1</w:t>
      </w:r>
      <w:r>
        <w:rPr>
          <w:rFonts w:hint="eastAsia"/>
          <w:b/>
          <w:snapToGrid w:val="0"/>
          <w:szCs w:val="21"/>
          <w:lang w:val="zh-CN"/>
        </w:rPr>
        <w:t>大气污染物排放限值</w:t>
      </w:r>
      <w:r>
        <w:rPr>
          <w:rFonts w:hAnsi="宋体" w:eastAsia="宋体" w:cs="Times New Roman"/>
          <w:b/>
        </w:rPr>
        <w:t>表</w:t>
      </w:r>
    </w:p>
    <w:tbl>
      <w:tblPr>
        <w:tblStyle w:val="25"/>
        <w:tblW w:w="8511" w:type="dxa"/>
        <w:jc w:val="center"/>
        <w:tblInd w:w="-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276"/>
        <w:gridCol w:w="1677"/>
        <w:gridCol w:w="1480"/>
        <w:gridCol w:w="198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954" w:type="dxa"/>
            <w:vMerge w:val="restart"/>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污染物</w:t>
            </w:r>
          </w:p>
        </w:tc>
        <w:tc>
          <w:tcPr>
            <w:tcW w:w="1276" w:type="dxa"/>
            <w:vMerge w:val="restart"/>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最高允许排放浓度</w:t>
            </w:r>
          </w:p>
        </w:tc>
        <w:tc>
          <w:tcPr>
            <w:tcW w:w="3157" w:type="dxa"/>
            <w:gridSpan w:val="2"/>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有组织排放监控浓度限值</w:t>
            </w:r>
          </w:p>
        </w:tc>
        <w:tc>
          <w:tcPr>
            <w:tcW w:w="3124" w:type="dxa"/>
            <w:gridSpan w:val="2"/>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954" w:type="dxa"/>
            <w:vMerge w:val="continue"/>
            <w:vAlign w:val="center"/>
          </w:tcPr>
          <w:p>
            <w:pPr>
              <w:pStyle w:val="45"/>
              <w:spacing w:line="240" w:lineRule="auto"/>
              <w:ind w:firstLine="480"/>
              <w:jc w:val="center"/>
              <w:rPr>
                <w:rFonts w:ascii="Times New Roman" w:hAnsi="Times New Roman" w:eastAsia="宋体" w:cs="Times New Roman"/>
                <w:szCs w:val="21"/>
              </w:rPr>
            </w:pPr>
          </w:p>
        </w:tc>
        <w:tc>
          <w:tcPr>
            <w:tcW w:w="1276" w:type="dxa"/>
            <w:vMerge w:val="continue"/>
            <w:vAlign w:val="center"/>
          </w:tcPr>
          <w:p>
            <w:pPr>
              <w:pStyle w:val="45"/>
              <w:spacing w:line="240" w:lineRule="auto"/>
              <w:ind w:firstLine="480"/>
              <w:jc w:val="center"/>
              <w:rPr>
                <w:rFonts w:ascii="Times New Roman" w:hAnsi="Times New Roman" w:eastAsia="宋体" w:cs="Times New Roman"/>
                <w:szCs w:val="21"/>
              </w:rPr>
            </w:pPr>
          </w:p>
        </w:tc>
        <w:tc>
          <w:tcPr>
            <w:tcW w:w="1677"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排气筒高度</w:t>
            </w:r>
          </w:p>
        </w:tc>
        <w:tc>
          <w:tcPr>
            <w:tcW w:w="1480"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1985"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监控点</w:t>
            </w:r>
          </w:p>
        </w:tc>
        <w:tc>
          <w:tcPr>
            <w:tcW w:w="1139"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54"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276"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120mg/m</w:t>
            </w:r>
            <w:r>
              <w:rPr>
                <w:rFonts w:hint="eastAsia" w:ascii="Times New Roman" w:hAnsi="Times New Roman" w:eastAsia="宋体" w:cs="Times New Roman"/>
                <w:szCs w:val="21"/>
                <w:vertAlign w:val="superscript"/>
              </w:rPr>
              <w:t>3</w:t>
            </w:r>
          </w:p>
        </w:tc>
        <w:tc>
          <w:tcPr>
            <w:tcW w:w="1677"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15m</w:t>
            </w:r>
          </w:p>
        </w:tc>
        <w:tc>
          <w:tcPr>
            <w:tcW w:w="1480"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2.9kg/h</w:t>
            </w:r>
          </w:p>
        </w:tc>
        <w:tc>
          <w:tcPr>
            <w:tcW w:w="1985"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周界外浓度最高点</w:t>
            </w:r>
          </w:p>
        </w:tc>
        <w:tc>
          <w:tcPr>
            <w:tcW w:w="1139"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1.0mg/m</w:t>
            </w:r>
            <w:r>
              <w:rPr>
                <w:rFonts w:hint="eastAsia"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954"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污染物</w:t>
            </w:r>
          </w:p>
        </w:tc>
        <w:tc>
          <w:tcPr>
            <w:tcW w:w="1276"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排气筒高度</w:t>
            </w:r>
          </w:p>
        </w:tc>
        <w:tc>
          <w:tcPr>
            <w:tcW w:w="1677"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最高允许排放浓度</w:t>
            </w:r>
          </w:p>
        </w:tc>
        <w:tc>
          <w:tcPr>
            <w:tcW w:w="1480"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最高允许排放速率</w:t>
            </w:r>
          </w:p>
        </w:tc>
        <w:tc>
          <w:tcPr>
            <w:tcW w:w="3124" w:type="dxa"/>
            <w:gridSpan w:val="2"/>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954"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VOCs</w:t>
            </w:r>
          </w:p>
        </w:tc>
        <w:tc>
          <w:tcPr>
            <w:tcW w:w="1276"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15m</w:t>
            </w:r>
          </w:p>
        </w:tc>
        <w:tc>
          <w:tcPr>
            <w:tcW w:w="1677"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30mg/m</w:t>
            </w:r>
            <w:r>
              <w:rPr>
                <w:rFonts w:hint="eastAsia" w:ascii="Times New Roman" w:hAnsi="Times New Roman" w:eastAsia="宋体" w:cs="Times New Roman"/>
                <w:szCs w:val="21"/>
                <w:vertAlign w:val="superscript"/>
              </w:rPr>
              <w:t>3</w:t>
            </w:r>
          </w:p>
        </w:tc>
        <w:tc>
          <w:tcPr>
            <w:tcW w:w="1480" w:type="dxa"/>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2.9kg/h</w:t>
            </w:r>
          </w:p>
        </w:tc>
        <w:tc>
          <w:tcPr>
            <w:tcW w:w="3124" w:type="dxa"/>
            <w:gridSpan w:val="2"/>
            <w:vAlign w:val="center"/>
          </w:tcPr>
          <w:p>
            <w:pPr>
              <w:pStyle w:val="45"/>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2.0 mg/m</w:t>
            </w:r>
            <w:r>
              <w:rPr>
                <w:rFonts w:hint="eastAsia" w:ascii="Times New Roman" w:hAnsi="Times New Roman" w:eastAsia="宋体" w:cs="Times New Roman"/>
                <w:szCs w:val="21"/>
                <w:vertAlign w:val="superscript"/>
              </w:rPr>
              <w:t>3</w:t>
            </w:r>
          </w:p>
        </w:tc>
      </w:tr>
    </w:tbl>
    <w:p>
      <w:pPr>
        <w:pStyle w:val="3"/>
      </w:pPr>
      <w:bookmarkStart w:id="63" w:name="_Toc72396088"/>
      <w:r>
        <w:rPr>
          <w:rFonts w:hint="eastAsia"/>
        </w:rPr>
        <w:t>6.2废水</w:t>
      </w:r>
      <w:bookmarkEnd w:id="61"/>
      <w:bookmarkEnd w:id="62"/>
      <w:bookmarkEnd w:id="63"/>
    </w:p>
    <w:p>
      <w:pPr>
        <w:ind w:firstLine="480"/>
        <w:rPr>
          <w:rFonts w:cs="Times New Roman" w:hAnsiTheme="minorEastAsia"/>
          <w:szCs w:val="28"/>
        </w:rPr>
      </w:pPr>
      <w:bookmarkStart w:id="64" w:name="_Toc531082168"/>
      <w:bookmarkStart w:id="65" w:name="_Toc874265"/>
      <w:r>
        <w:rPr>
          <w:rFonts w:hint="eastAsia" w:cs="Times New Roman" w:hAnsiTheme="minorEastAsia"/>
          <w:szCs w:val="28"/>
        </w:rPr>
        <w:t>本项目产生的废水为机械冷却水和生活废水。</w:t>
      </w:r>
    </w:p>
    <w:p>
      <w:pPr>
        <w:ind w:firstLine="480"/>
        <w:rPr>
          <w:rFonts w:cs="Times New Roman" w:hAnsiTheme="minorEastAsia"/>
          <w:szCs w:val="28"/>
        </w:rPr>
      </w:pPr>
      <w:r>
        <w:rPr>
          <w:rFonts w:hint="eastAsia" w:cs="Times New Roman" w:hAnsiTheme="minorEastAsia"/>
          <w:szCs w:val="28"/>
        </w:rPr>
        <w:t>（1）本项目</w:t>
      </w:r>
      <w:r>
        <w:rPr>
          <w:rFonts w:hAnsi="宋体" w:cs="Times New Roman"/>
          <w:szCs w:val="28"/>
        </w:rPr>
        <w:t>在</w:t>
      </w:r>
      <w:r>
        <w:rPr>
          <w:rFonts w:hint="eastAsia" w:hAnsi="宋体" w:cs="Times New Roman"/>
          <w:szCs w:val="28"/>
        </w:rPr>
        <w:t>冷却、成型工序</w:t>
      </w:r>
      <w:r>
        <w:rPr>
          <w:rFonts w:hAnsi="宋体" w:cs="Times New Roman"/>
          <w:szCs w:val="28"/>
        </w:rPr>
        <w:t>中需要</w:t>
      </w:r>
      <w:r>
        <w:rPr>
          <w:rFonts w:hint="eastAsia" w:hAnsi="宋体" w:cs="Times New Roman"/>
          <w:szCs w:val="28"/>
        </w:rPr>
        <w:t>用到冷却水</w:t>
      </w:r>
      <w:r>
        <w:rPr>
          <w:rFonts w:hAnsi="宋体" w:cs="Times New Roman"/>
          <w:szCs w:val="28"/>
        </w:rPr>
        <w:t>，该部分水会在</w:t>
      </w:r>
      <w:r>
        <w:rPr>
          <w:rFonts w:hint="eastAsia" w:hAnsi="宋体" w:cs="Times New Roman"/>
          <w:szCs w:val="28"/>
        </w:rPr>
        <w:t>生产</w:t>
      </w:r>
      <w:r>
        <w:rPr>
          <w:rFonts w:hAnsi="宋体" w:cs="Times New Roman"/>
          <w:szCs w:val="28"/>
        </w:rPr>
        <w:t>过程中循环使用，</w:t>
      </w:r>
      <w:r>
        <w:rPr>
          <w:rFonts w:hint="eastAsia" w:hAnsi="宋体" w:cs="Times New Roman"/>
          <w:szCs w:val="28"/>
        </w:rPr>
        <w:t>定期补充新鲜水，</w:t>
      </w:r>
      <w:r>
        <w:rPr>
          <w:rFonts w:hAnsi="宋体" w:cs="Times New Roman"/>
          <w:szCs w:val="28"/>
        </w:rPr>
        <w:t>无废水排放。</w:t>
      </w:r>
    </w:p>
    <w:p>
      <w:pPr>
        <w:ind w:firstLine="0" w:firstLineChars="0"/>
        <w:jc w:val="left"/>
        <w:rPr>
          <w:rFonts w:hAnsi="宋体" w:cs="Times New Roman"/>
          <w:szCs w:val="24"/>
        </w:rPr>
      </w:pPr>
      <w:r>
        <w:rPr>
          <w:rFonts w:hint="eastAsia" w:cs="Times New Roman" w:hAnsiTheme="minorEastAsia"/>
          <w:szCs w:val="28"/>
        </w:rPr>
        <w:t xml:space="preserve">    （2）生活污水经</w:t>
      </w:r>
      <w:r>
        <w:rPr>
          <w:rFonts w:cs="Times New Roman" w:hAnsiTheme="minorEastAsia"/>
          <w:szCs w:val="28"/>
        </w:rPr>
        <w:t>三级化粪池处理</w:t>
      </w:r>
      <w:r>
        <w:rPr>
          <w:rFonts w:hint="eastAsia" w:hAnsi="宋体" w:cs="Times New Roman"/>
          <w:bCs/>
          <w:szCs w:val="28"/>
        </w:rPr>
        <w:t>后定期由吸污车吸走</w:t>
      </w:r>
      <w:r>
        <w:rPr>
          <w:rFonts w:hint="eastAsia" w:cs="Times New Roman" w:hAnsiTheme="minorEastAsia"/>
          <w:szCs w:val="28"/>
        </w:rPr>
        <w:t>，</w:t>
      </w:r>
      <w:r>
        <w:rPr>
          <w:rFonts w:hint="eastAsia" w:eastAsia="宋体"/>
          <w:szCs w:val="24"/>
        </w:rPr>
        <w:t>用于果树园林灌溉，执行《农田灌溉水质标准》（GB5084-2005）中旱作标准</w:t>
      </w:r>
      <w:r>
        <w:rPr>
          <w:rFonts w:hint="eastAsia" w:hAnsi="宋体" w:eastAsia="宋体" w:cs="Times New Roman"/>
          <w:szCs w:val="24"/>
        </w:rPr>
        <w:t>。</w:t>
      </w:r>
      <w:r>
        <w:rPr>
          <w:rFonts w:hint="eastAsia" w:cs="Times New Roman" w:hAnsiTheme="minorEastAsia"/>
          <w:szCs w:val="28"/>
        </w:rPr>
        <w:t>对周围水环境影响较</w:t>
      </w:r>
      <w:r>
        <w:rPr>
          <w:rFonts w:hint="eastAsia" w:hAnsi="宋体" w:cs="Times New Roman"/>
          <w:szCs w:val="24"/>
        </w:rPr>
        <w:t>小。</w:t>
      </w:r>
    </w:p>
    <w:p>
      <w:pPr>
        <w:ind w:firstLine="0" w:firstLineChars="0"/>
        <w:jc w:val="center"/>
        <w:rPr>
          <w:rFonts w:eastAsia="宋体"/>
          <w:b/>
        </w:rPr>
      </w:pPr>
      <w:r>
        <w:rPr>
          <w:rFonts w:hint="eastAsia" w:eastAsia="宋体"/>
          <w:b/>
        </w:rPr>
        <w:t>表6.2-1 水污染物排放限值一览表</w:t>
      </w:r>
    </w:p>
    <w:tbl>
      <w:tblPr>
        <w:tblStyle w:val="25"/>
        <w:tblW w:w="7990" w:type="dxa"/>
        <w:jc w:val="center"/>
        <w:tblInd w:w="7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3"/>
        <w:gridCol w:w="851"/>
        <w:gridCol w:w="708"/>
        <w:gridCol w:w="851"/>
        <w:gridCol w:w="850"/>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953" w:type="dxa"/>
            <w:vMerge w:val="restart"/>
            <w:vAlign w:val="center"/>
          </w:tcPr>
          <w:p>
            <w:pPr>
              <w:pStyle w:val="45"/>
              <w:spacing w:line="240" w:lineRule="auto"/>
              <w:jc w:val="center"/>
              <w:rPr>
                <w:rFonts w:ascii="Times New Roman" w:hAnsi="Times New Roman" w:eastAsia="宋体" w:cs="Times New Roman"/>
                <w:szCs w:val="21"/>
              </w:rPr>
            </w:pPr>
            <w:r>
              <w:rPr>
                <w:rFonts w:ascii="Times New Roman" w:hAnsi="Times New Roman" w:eastAsia="宋体" w:cs="Times New Roman"/>
                <w:szCs w:val="21"/>
              </w:rPr>
              <w:t>标准限值</w:t>
            </w:r>
          </w:p>
        </w:tc>
        <w:tc>
          <w:tcPr>
            <w:tcW w:w="4037" w:type="dxa"/>
            <w:gridSpan w:val="5"/>
            <w:vAlign w:val="center"/>
          </w:tcPr>
          <w:p>
            <w:pPr>
              <w:pStyle w:val="45"/>
              <w:spacing w:line="240" w:lineRule="auto"/>
              <w:jc w:val="center"/>
              <w:rPr>
                <w:rFonts w:ascii="Times New Roman" w:hAnsi="Times New Roman" w:cs="Times New Roman"/>
                <w:szCs w:val="21"/>
              </w:rPr>
            </w:pPr>
            <w:r>
              <w:rPr>
                <w:rFonts w:ascii="Times New Roman" w:hAnsi="Times New Roman" w:eastAsia="宋体" w:cs="Times New Roman"/>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953" w:type="dxa"/>
            <w:vMerge w:val="continue"/>
            <w:vAlign w:val="center"/>
          </w:tcPr>
          <w:p>
            <w:pPr>
              <w:pStyle w:val="45"/>
              <w:spacing w:line="240" w:lineRule="auto"/>
              <w:jc w:val="center"/>
              <w:rPr>
                <w:rFonts w:ascii="Times New Roman" w:hAnsi="Times New Roman" w:eastAsia="宋体" w:cs="Times New Roman"/>
                <w:szCs w:val="21"/>
              </w:rPr>
            </w:pPr>
          </w:p>
        </w:tc>
        <w:tc>
          <w:tcPr>
            <w:tcW w:w="851" w:type="dxa"/>
            <w:vAlign w:val="center"/>
          </w:tcPr>
          <w:p>
            <w:pPr>
              <w:pStyle w:val="45"/>
              <w:spacing w:line="240" w:lineRule="auto"/>
              <w:jc w:val="center"/>
              <w:rPr>
                <w:rFonts w:ascii="Times New Roman" w:hAnsi="Times New Roman" w:cs="Times New Roman"/>
                <w:szCs w:val="21"/>
              </w:rPr>
            </w:pPr>
            <w:r>
              <w:rPr>
                <w:rFonts w:ascii="Times New Roman" w:hAnsi="Times New Roman" w:cs="Times New Roman"/>
                <w:szCs w:val="21"/>
              </w:rPr>
              <w:t>PH</w:t>
            </w:r>
          </w:p>
        </w:tc>
        <w:tc>
          <w:tcPr>
            <w:tcW w:w="708" w:type="dxa"/>
            <w:vAlign w:val="center"/>
          </w:tcPr>
          <w:p>
            <w:pPr>
              <w:pStyle w:val="45"/>
              <w:spacing w:line="240" w:lineRule="auto"/>
              <w:jc w:val="center"/>
              <w:rPr>
                <w:rFonts w:ascii="Times New Roman" w:hAnsi="Times New Roman" w:cs="Times New Roman"/>
                <w:szCs w:val="21"/>
              </w:rPr>
            </w:pPr>
            <w:r>
              <w:rPr>
                <w:rFonts w:ascii="Times New Roman" w:hAnsi="Times New Roman" w:cs="Times New Roman"/>
                <w:szCs w:val="21"/>
              </w:rPr>
              <w:t>COD</w:t>
            </w:r>
          </w:p>
        </w:tc>
        <w:tc>
          <w:tcPr>
            <w:tcW w:w="851" w:type="dxa"/>
            <w:vAlign w:val="center"/>
          </w:tcPr>
          <w:p>
            <w:pPr>
              <w:pStyle w:val="45"/>
              <w:spacing w:line="240" w:lineRule="auto"/>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850" w:type="dxa"/>
            <w:vAlign w:val="center"/>
          </w:tcPr>
          <w:p>
            <w:pPr>
              <w:pStyle w:val="45"/>
              <w:spacing w:line="240" w:lineRule="auto"/>
              <w:jc w:val="center"/>
              <w:rPr>
                <w:rFonts w:ascii="Times New Roman" w:hAnsi="Times New Roman" w:cs="Times New Roman"/>
                <w:szCs w:val="21"/>
              </w:rPr>
            </w:pPr>
            <w:r>
              <w:rPr>
                <w:rFonts w:ascii="Times New Roman" w:hAnsi="Times New Roman" w:cs="Times New Roman"/>
                <w:szCs w:val="21"/>
              </w:rPr>
              <w:t>SS</w:t>
            </w:r>
          </w:p>
        </w:tc>
        <w:tc>
          <w:tcPr>
            <w:tcW w:w="777" w:type="dxa"/>
            <w:vAlign w:val="center"/>
          </w:tcPr>
          <w:p>
            <w:pPr>
              <w:pStyle w:val="45"/>
              <w:spacing w:line="240" w:lineRule="auto"/>
              <w:jc w:val="center"/>
              <w:rPr>
                <w:rFonts w:ascii="Times New Roman" w:hAnsi="Times New Roman" w:cs="Times New Roman"/>
                <w:szCs w:val="21"/>
              </w:rPr>
            </w:pPr>
            <w:r>
              <w:rPr>
                <w:rFonts w:ascii="Times New Roman" w:hAnsi="Times New Roman" w:cs="Times New Roman"/>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953" w:type="dxa"/>
            <w:vAlign w:val="center"/>
          </w:tcPr>
          <w:p>
            <w:pPr>
              <w:pStyle w:val="45"/>
              <w:spacing w:line="240" w:lineRule="auto"/>
              <w:jc w:val="center"/>
              <w:rPr>
                <w:rFonts w:ascii="Times New Roman" w:hAnsi="Times New Roman" w:eastAsia="宋体" w:cs="Times New Roman"/>
                <w:szCs w:val="21"/>
              </w:rPr>
            </w:pPr>
            <w:r>
              <w:rPr>
                <w:rFonts w:ascii="Times New Roman" w:cs="Times New Roman"/>
                <w:szCs w:val="21"/>
              </w:rPr>
              <w:t>《农田灌溉水质标准》（</w:t>
            </w:r>
            <w:r>
              <w:rPr>
                <w:rFonts w:ascii="Times New Roman" w:hAnsi="Times New Roman" w:cs="Times New Roman"/>
                <w:szCs w:val="21"/>
              </w:rPr>
              <w:t>GB5084-2005</w:t>
            </w:r>
            <w:r>
              <w:rPr>
                <w:rFonts w:ascii="Times New Roman" w:cs="Times New Roman"/>
                <w:szCs w:val="21"/>
              </w:rPr>
              <w:t>）旱作标准</w:t>
            </w:r>
          </w:p>
        </w:tc>
        <w:tc>
          <w:tcPr>
            <w:tcW w:w="851" w:type="dxa"/>
            <w:vAlign w:val="center"/>
          </w:tcPr>
          <w:p>
            <w:pPr>
              <w:pStyle w:val="45"/>
              <w:spacing w:line="240" w:lineRule="auto"/>
              <w:jc w:val="center"/>
              <w:rPr>
                <w:rFonts w:ascii="Times New Roman" w:hAnsi="Times New Roman" w:cs="Times New Roman"/>
                <w:szCs w:val="21"/>
              </w:rPr>
            </w:pPr>
            <w:r>
              <w:rPr>
                <w:rFonts w:hint="eastAsia" w:ascii="Times New Roman" w:hAnsi="Times New Roman" w:cs="Times New Roman"/>
                <w:szCs w:val="21"/>
              </w:rPr>
              <w:t>5.5-8.5</w:t>
            </w:r>
          </w:p>
        </w:tc>
        <w:tc>
          <w:tcPr>
            <w:tcW w:w="708" w:type="dxa"/>
            <w:vAlign w:val="center"/>
          </w:tcPr>
          <w:p>
            <w:pPr>
              <w:pStyle w:val="45"/>
              <w:spacing w:line="240" w:lineRule="auto"/>
              <w:jc w:val="center"/>
              <w:rPr>
                <w:rFonts w:ascii="Times New Roman" w:hAnsi="Times New Roman" w:cs="Times New Roman"/>
                <w:szCs w:val="21"/>
              </w:rPr>
            </w:pPr>
            <w:r>
              <w:rPr>
                <w:rFonts w:hint="eastAsia" w:ascii="Times New Roman" w:hAnsi="Times New Roman" w:cs="Times New Roman"/>
                <w:szCs w:val="21"/>
              </w:rPr>
              <w:t>200</w:t>
            </w:r>
          </w:p>
        </w:tc>
        <w:tc>
          <w:tcPr>
            <w:tcW w:w="851" w:type="dxa"/>
            <w:vAlign w:val="center"/>
          </w:tcPr>
          <w:p>
            <w:pPr>
              <w:pStyle w:val="45"/>
              <w:spacing w:line="240" w:lineRule="auto"/>
              <w:jc w:val="center"/>
              <w:rPr>
                <w:rFonts w:ascii="Times New Roman" w:hAnsi="Times New Roman" w:cs="Times New Roman"/>
                <w:szCs w:val="21"/>
              </w:rPr>
            </w:pPr>
            <w:r>
              <w:rPr>
                <w:rFonts w:hint="eastAsia" w:ascii="Times New Roman" w:hAnsi="Times New Roman" w:cs="Times New Roman"/>
                <w:szCs w:val="21"/>
              </w:rPr>
              <w:t>100</w:t>
            </w:r>
          </w:p>
        </w:tc>
        <w:tc>
          <w:tcPr>
            <w:tcW w:w="850" w:type="dxa"/>
            <w:vAlign w:val="center"/>
          </w:tcPr>
          <w:p>
            <w:pPr>
              <w:pStyle w:val="45"/>
              <w:spacing w:line="240" w:lineRule="auto"/>
              <w:jc w:val="center"/>
              <w:rPr>
                <w:rFonts w:ascii="Times New Roman" w:hAnsi="Times New Roman" w:cs="Times New Roman"/>
                <w:szCs w:val="21"/>
              </w:rPr>
            </w:pPr>
            <w:r>
              <w:rPr>
                <w:rFonts w:hint="eastAsia" w:ascii="Times New Roman" w:hAnsi="Times New Roman" w:cs="Times New Roman"/>
                <w:szCs w:val="21"/>
              </w:rPr>
              <w:t>100</w:t>
            </w:r>
          </w:p>
        </w:tc>
        <w:tc>
          <w:tcPr>
            <w:tcW w:w="777" w:type="dxa"/>
            <w:vAlign w:val="center"/>
          </w:tcPr>
          <w:p>
            <w:pPr>
              <w:pStyle w:val="45"/>
              <w:spacing w:line="240" w:lineRule="auto"/>
              <w:jc w:val="center"/>
              <w:rPr>
                <w:rFonts w:ascii="Times New Roman" w:hAnsi="Times New Roman" w:cs="Times New Roman"/>
                <w:szCs w:val="21"/>
              </w:rPr>
            </w:pPr>
            <w:r>
              <w:rPr>
                <w:rFonts w:hint="eastAsia" w:ascii="Times New Roman" w:hAnsi="Times New Roman" w:cs="Times New Roman"/>
                <w:szCs w:val="21"/>
              </w:rPr>
              <w:t>——</w:t>
            </w:r>
          </w:p>
        </w:tc>
      </w:tr>
    </w:tbl>
    <w:p>
      <w:pPr>
        <w:pStyle w:val="3"/>
      </w:pPr>
      <w:bookmarkStart w:id="66" w:name="_Toc72396089"/>
      <w:r>
        <w:rPr>
          <w:rFonts w:hint="eastAsia"/>
        </w:rPr>
        <w:t>6.3噪声</w:t>
      </w:r>
      <w:bookmarkEnd w:id="64"/>
      <w:bookmarkEnd w:id="65"/>
      <w:bookmarkEnd w:id="66"/>
    </w:p>
    <w:p>
      <w:pPr>
        <w:adjustRightInd w:val="0"/>
        <w:spacing w:line="500" w:lineRule="exact"/>
        <w:ind w:firstLine="480"/>
        <w:rPr>
          <w:rFonts w:cs="Times New Roman"/>
        </w:rPr>
      </w:pPr>
      <w:bookmarkStart w:id="67" w:name="_Toc531082169"/>
      <w:bookmarkStart w:id="68" w:name="_Toc874266"/>
      <w:r>
        <w:rPr>
          <w:rFonts w:cs="Times New Roman"/>
        </w:rPr>
        <w:t>营运期</w:t>
      </w:r>
      <w:r>
        <w:rPr>
          <w:rFonts w:hint="eastAsia"/>
          <w:szCs w:val="21"/>
        </w:rPr>
        <w:t>项目厂界</w:t>
      </w:r>
      <w:r>
        <w:rPr>
          <w:szCs w:val="21"/>
        </w:rPr>
        <w:t>噪声</w:t>
      </w:r>
      <w:r>
        <w:rPr>
          <w:rFonts w:hint="eastAsia"/>
          <w:szCs w:val="21"/>
        </w:rPr>
        <w:t>执行</w:t>
      </w:r>
      <w:r>
        <w:rPr>
          <w:szCs w:val="21"/>
        </w:rPr>
        <w:t>《工业企业厂界环境噪声排放标准》</w:t>
      </w:r>
      <w:r>
        <w:rPr>
          <w:rFonts w:ascii="宋体" w:hAnsi="宋体"/>
          <w:szCs w:val="21"/>
        </w:rPr>
        <w:t>(</w:t>
      </w:r>
      <w:r>
        <w:rPr>
          <w:szCs w:val="21"/>
        </w:rPr>
        <w:t>GB12348-2008</w:t>
      </w:r>
      <w:r>
        <w:rPr>
          <w:rFonts w:ascii="宋体" w:hAnsi="宋体"/>
          <w:szCs w:val="21"/>
        </w:rPr>
        <w:t>)</w:t>
      </w:r>
      <w:r>
        <w:rPr>
          <w:rFonts w:hint="eastAsia"/>
          <w:szCs w:val="21"/>
        </w:rPr>
        <w:t>2类、4类</w:t>
      </w:r>
      <w:r>
        <w:rPr>
          <w:szCs w:val="21"/>
        </w:rPr>
        <w:t>标准</w:t>
      </w:r>
      <w:r>
        <w:rPr>
          <w:rFonts w:hint="eastAsia"/>
          <w:szCs w:val="21"/>
        </w:rPr>
        <w:t>。</w:t>
      </w:r>
    </w:p>
    <w:p>
      <w:pPr>
        <w:ind w:firstLine="0" w:firstLineChars="0"/>
        <w:jc w:val="center"/>
        <w:rPr>
          <w:rFonts w:cs="Times New Roman"/>
          <w:szCs w:val="24"/>
        </w:rPr>
      </w:pPr>
      <w:r>
        <w:rPr>
          <w:rFonts w:hAnsi="宋体" w:cs="Times New Roman"/>
          <w:b/>
          <w:szCs w:val="24"/>
        </w:rPr>
        <w:t>表</w:t>
      </w:r>
      <w:r>
        <w:rPr>
          <w:rFonts w:cs="Times New Roman"/>
          <w:b/>
          <w:szCs w:val="24"/>
        </w:rPr>
        <w:t>6.</w:t>
      </w:r>
      <w:r>
        <w:rPr>
          <w:rFonts w:hint="eastAsia" w:cs="Times New Roman"/>
          <w:b/>
          <w:szCs w:val="24"/>
        </w:rPr>
        <w:t>3</w:t>
      </w:r>
      <w:r>
        <w:rPr>
          <w:rFonts w:cs="Times New Roman"/>
          <w:b/>
          <w:szCs w:val="24"/>
        </w:rPr>
        <w:t>-</w:t>
      </w:r>
      <w:r>
        <w:rPr>
          <w:rFonts w:hint="eastAsia" w:cs="Times New Roman"/>
          <w:b/>
          <w:szCs w:val="24"/>
        </w:rPr>
        <w:t>1</w:t>
      </w:r>
      <w:r>
        <w:rPr>
          <w:rFonts w:hAnsi="宋体" w:cs="Times New Roman"/>
          <w:b/>
          <w:szCs w:val="24"/>
        </w:rPr>
        <w:t>工业企业厂界环境噪声排放标准</w:t>
      </w:r>
      <w:r>
        <w:rPr>
          <w:rFonts w:hint="eastAsia" w:hAnsi="宋体" w:cs="Times New Roman"/>
          <w:b/>
          <w:szCs w:val="24"/>
        </w:rPr>
        <w:t xml:space="preserve">   </w:t>
      </w:r>
      <w:r>
        <w:rPr>
          <w:rFonts w:hint="eastAsia" w:hAnsi="宋体" w:cs="Times New Roman"/>
          <w:b/>
          <w:sz w:val="18"/>
          <w:szCs w:val="18"/>
        </w:rPr>
        <w:t>单位：db</w:t>
      </w:r>
    </w:p>
    <w:tbl>
      <w:tblPr>
        <w:tblStyle w:val="25"/>
        <w:tblW w:w="822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62"/>
        <w:gridCol w:w="2231"/>
        <w:gridCol w:w="22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762" w:type="dxa"/>
            <w:tcBorders>
              <w:tl2br w:val="single" w:color="auto" w:sz="4" w:space="0"/>
            </w:tcBorders>
            <w:vAlign w:val="center"/>
          </w:tcPr>
          <w:p>
            <w:pPr>
              <w:pStyle w:val="49"/>
              <w:snapToGrid w:val="0"/>
              <w:spacing w:line="240" w:lineRule="auto"/>
              <w:jc w:val="right"/>
              <w:rPr>
                <w:sz w:val="21"/>
                <w:szCs w:val="21"/>
              </w:rPr>
            </w:pPr>
            <w:r>
              <w:rPr>
                <w:rFonts w:hint="eastAsia"/>
                <w:sz w:val="21"/>
                <w:szCs w:val="21"/>
              </w:rPr>
              <w:t>厂界外声环境功能区类别</w:t>
            </w:r>
          </w:p>
          <w:p>
            <w:pPr>
              <w:pStyle w:val="49"/>
              <w:snapToGrid w:val="0"/>
              <w:spacing w:line="240" w:lineRule="auto"/>
              <w:jc w:val="left"/>
              <w:rPr>
                <w:sz w:val="21"/>
                <w:szCs w:val="21"/>
              </w:rPr>
            </w:pPr>
            <w:r>
              <w:rPr>
                <w:rFonts w:hint="eastAsia"/>
                <w:sz w:val="21"/>
                <w:szCs w:val="21"/>
              </w:rPr>
              <w:t>限值</w:t>
            </w:r>
          </w:p>
        </w:tc>
        <w:tc>
          <w:tcPr>
            <w:tcW w:w="2231" w:type="dxa"/>
            <w:vAlign w:val="center"/>
          </w:tcPr>
          <w:p>
            <w:pPr>
              <w:pStyle w:val="49"/>
              <w:snapToGrid w:val="0"/>
              <w:spacing w:line="240" w:lineRule="auto"/>
              <w:rPr>
                <w:sz w:val="21"/>
                <w:szCs w:val="21"/>
              </w:rPr>
            </w:pPr>
            <w:r>
              <w:rPr>
                <w:sz w:val="21"/>
                <w:szCs w:val="21"/>
              </w:rPr>
              <w:t>昼间</w:t>
            </w:r>
          </w:p>
        </w:tc>
        <w:tc>
          <w:tcPr>
            <w:tcW w:w="2233" w:type="dxa"/>
            <w:vAlign w:val="center"/>
          </w:tcPr>
          <w:p>
            <w:pPr>
              <w:pStyle w:val="49"/>
              <w:snapToGrid w:val="0"/>
              <w:spacing w:line="240" w:lineRule="auto"/>
              <w:rPr>
                <w:sz w:val="21"/>
                <w:szCs w:val="21"/>
              </w:rPr>
            </w:pPr>
            <w:r>
              <w:rPr>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762" w:type="dxa"/>
            <w:vAlign w:val="center"/>
          </w:tcPr>
          <w:p>
            <w:pPr>
              <w:pStyle w:val="49"/>
              <w:snapToGrid w:val="0"/>
              <w:spacing w:line="240" w:lineRule="auto"/>
              <w:rPr>
                <w:rFonts w:ascii="Times New Roman" w:hAnsi="Times New Roman"/>
                <w:sz w:val="21"/>
                <w:szCs w:val="21"/>
              </w:rPr>
            </w:pPr>
            <w:r>
              <w:rPr>
                <w:sz w:val="21"/>
                <w:szCs w:val="21"/>
              </w:rPr>
              <w:t>《工业企业厂界环境噪声排放标准》</w:t>
            </w:r>
            <w:r>
              <w:rPr>
                <w:rFonts w:hAnsi="宋体"/>
                <w:sz w:val="21"/>
                <w:szCs w:val="21"/>
              </w:rPr>
              <w:t>(</w:t>
            </w:r>
            <w:r>
              <w:rPr>
                <w:rFonts w:ascii="Times New Roman" w:hAnsi="Times New Roman"/>
                <w:sz w:val="21"/>
                <w:szCs w:val="21"/>
              </w:rPr>
              <w:t>GB12348-2008</w:t>
            </w:r>
            <w:r>
              <w:rPr>
                <w:rFonts w:hAnsi="宋体"/>
                <w:sz w:val="21"/>
                <w:szCs w:val="21"/>
              </w:rPr>
              <w:t>)</w:t>
            </w:r>
            <w:r>
              <w:rPr>
                <w:rFonts w:hint="eastAsia" w:ascii="Times New Roman" w:hAnsi="Times New Roman"/>
                <w:sz w:val="21"/>
                <w:szCs w:val="21"/>
              </w:rPr>
              <w:t>2</w:t>
            </w:r>
            <w:r>
              <w:rPr>
                <w:rFonts w:hint="eastAsia"/>
                <w:sz w:val="21"/>
                <w:szCs w:val="21"/>
              </w:rPr>
              <w:t>类</w:t>
            </w:r>
          </w:p>
        </w:tc>
        <w:tc>
          <w:tcPr>
            <w:tcW w:w="2231" w:type="dxa"/>
            <w:vAlign w:val="center"/>
          </w:tcPr>
          <w:p>
            <w:pPr>
              <w:pStyle w:val="49"/>
              <w:snapToGrid w:val="0"/>
              <w:spacing w:line="240" w:lineRule="auto"/>
              <w:rPr>
                <w:rFonts w:ascii="Times New Roman" w:hAnsi="Times New Roman"/>
                <w:sz w:val="21"/>
                <w:szCs w:val="21"/>
              </w:rPr>
            </w:pPr>
            <w:r>
              <w:rPr>
                <w:rFonts w:hint="eastAsia" w:ascii="Times New Roman" w:hAnsi="Times New Roman"/>
                <w:sz w:val="21"/>
                <w:szCs w:val="21"/>
              </w:rPr>
              <w:t>60</w:t>
            </w:r>
          </w:p>
        </w:tc>
        <w:tc>
          <w:tcPr>
            <w:tcW w:w="2233" w:type="dxa"/>
            <w:vAlign w:val="center"/>
          </w:tcPr>
          <w:p>
            <w:pPr>
              <w:pStyle w:val="49"/>
              <w:snapToGrid w:val="0"/>
              <w:spacing w:line="240" w:lineRule="auto"/>
              <w:rPr>
                <w:rFonts w:ascii="Times New Roman" w:hAnsi="Times New Roman"/>
                <w:sz w:val="21"/>
                <w:szCs w:val="21"/>
              </w:rPr>
            </w:pPr>
            <w:r>
              <w:rPr>
                <w:rFonts w:hint="eastAsia" w:ascii="Times New Roman" w:hAnsi="Times New Roman"/>
                <w:sz w:val="21"/>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762" w:type="dxa"/>
            <w:vAlign w:val="center"/>
          </w:tcPr>
          <w:p>
            <w:pPr>
              <w:pStyle w:val="49"/>
              <w:snapToGrid w:val="0"/>
              <w:spacing w:line="240" w:lineRule="auto"/>
              <w:rPr>
                <w:sz w:val="21"/>
                <w:szCs w:val="21"/>
              </w:rPr>
            </w:pPr>
            <w:r>
              <w:rPr>
                <w:sz w:val="21"/>
                <w:szCs w:val="21"/>
              </w:rPr>
              <w:t>《工业企业厂界环境噪声排放标准》</w:t>
            </w:r>
            <w:r>
              <w:rPr>
                <w:rFonts w:hAnsi="宋体"/>
                <w:sz w:val="21"/>
                <w:szCs w:val="21"/>
              </w:rPr>
              <w:t>(</w:t>
            </w:r>
            <w:r>
              <w:rPr>
                <w:rFonts w:ascii="Times New Roman" w:hAnsi="Times New Roman"/>
                <w:sz w:val="21"/>
                <w:szCs w:val="21"/>
              </w:rPr>
              <w:t>GB12348-2008</w:t>
            </w:r>
            <w:r>
              <w:rPr>
                <w:rFonts w:hAnsi="宋体"/>
                <w:sz w:val="21"/>
                <w:szCs w:val="21"/>
              </w:rPr>
              <w:t>)</w:t>
            </w:r>
            <w:r>
              <w:rPr>
                <w:rFonts w:hint="eastAsia" w:ascii="Times New Roman" w:hAnsi="Times New Roman"/>
                <w:sz w:val="21"/>
                <w:szCs w:val="21"/>
              </w:rPr>
              <w:t>4</w:t>
            </w:r>
            <w:r>
              <w:rPr>
                <w:rFonts w:hint="eastAsia"/>
                <w:sz w:val="21"/>
                <w:szCs w:val="21"/>
              </w:rPr>
              <w:t>类</w:t>
            </w:r>
          </w:p>
        </w:tc>
        <w:tc>
          <w:tcPr>
            <w:tcW w:w="2231" w:type="dxa"/>
            <w:vAlign w:val="center"/>
          </w:tcPr>
          <w:p>
            <w:pPr>
              <w:pStyle w:val="49"/>
              <w:snapToGrid w:val="0"/>
              <w:spacing w:line="240" w:lineRule="auto"/>
              <w:rPr>
                <w:rFonts w:ascii="Times New Roman" w:hAnsi="Times New Roman"/>
                <w:sz w:val="21"/>
                <w:szCs w:val="21"/>
              </w:rPr>
            </w:pPr>
            <w:r>
              <w:rPr>
                <w:rFonts w:hint="eastAsia" w:ascii="Times New Roman" w:hAnsi="Times New Roman"/>
                <w:sz w:val="21"/>
                <w:szCs w:val="21"/>
              </w:rPr>
              <w:t>70</w:t>
            </w:r>
          </w:p>
        </w:tc>
        <w:tc>
          <w:tcPr>
            <w:tcW w:w="2233" w:type="dxa"/>
            <w:vAlign w:val="center"/>
          </w:tcPr>
          <w:p>
            <w:pPr>
              <w:pStyle w:val="49"/>
              <w:snapToGrid w:val="0"/>
              <w:spacing w:line="240" w:lineRule="auto"/>
              <w:rPr>
                <w:rFonts w:ascii="Times New Roman" w:hAnsi="Times New Roman"/>
                <w:sz w:val="21"/>
                <w:szCs w:val="21"/>
              </w:rPr>
            </w:pPr>
            <w:r>
              <w:rPr>
                <w:rFonts w:hint="eastAsia" w:ascii="Times New Roman" w:hAnsi="Times New Roman"/>
                <w:sz w:val="21"/>
                <w:szCs w:val="21"/>
              </w:rPr>
              <w:t>55</w:t>
            </w:r>
          </w:p>
        </w:tc>
      </w:tr>
    </w:tbl>
    <w:p>
      <w:pPr>
        <w:pStyle w:val="3"/>
      </w:pPr>
      <w:bookmarkStart w:id="69" w:name="_Toc72396090"/>
      <w:r>
        <w:rPr>
          <w:rFonts w:hint="eastAsia"/>
        </w:rPr>
        <w:t>6.4固体废物</w:t>
      </w:r>
      <w:bookmarkEnd w:id="67"/>
      <w:bookmarkEnd w:id="68"/>
      <w:bookmarkEnd w:id="69"/>
    </w:p>
    <w:p>
      <w:pPr>
        <w:ind w:firstLine="480"/>
        <w:rPr>
          <w:rFonts w:hAnsi="宋体" w:eastAsia="宋体" w:cs="Times New Roman"/>
        </w:rPr>
      </w:pPr>
      <w:r>
        <w:rPr>
          <w:rFonts w:hint="eastAsia" w:hAnsi="宋体" w:eastAsia="宋体" w:cs="Times New Roman"/>
        </w:rPr>
        <w:t>一般固废</w:t>
      </w:r>
      <w:r>
        <w:rPr>
          <w:rFonts w:hAnsi="宋体" w:eastAsia="宋体" w:cs="Times New Roman"/>
        </w:rPr>
        <w:t>执行《一般工业固体废物贮存、处置场污染控制标准》</w:t>
      </w:r>
      <w:r>
        <w:rPr>
          <w:rFonts w:eastAsia="宋体" w:cs="Times New Roman"/>
        </w:rPr>
        <w:t>(GB18599</w:t>
      </w:r>
      <w:r>
        <w:rPr>
          <w:rFonts w:hAnsi="宋体" w:eastAsia="宋体" w:cs="Times New Roman"/>
        </w:rPr>
        <w:t>-2001) 及其2013年修改单相关要求。</w:t>
      </w:r>
    </w:p>
    <w:p>
      <w:pPr>
        <w:widowControl/>
        <w:spacing w:line="240" w:lineRule="auto"/>
        <w:ind w:firstLine="0" w:firstLineChars="0"/>
        <w:jc w:val="left"/>
        <w:rPr>
          <w:rFonts w:cs="Times New Roman"/>
        </w:rPr>
      </w:pPr>
      <w:r>
        <w:rPr>
          <w:rFonts w:cs="Times New Roman"/>
        </w:rPr>
        <w:br w:type="page"/>
      </w:r>
    </w:p>
    <w:p>
      <w:pPr>
        <w:pStyle w:val="2"/>
        <w:rPr>
          <w:szCs w:val="21"/>
        </w:rPr>
      </w:pPr>
      <w:bookmarkStart w:id="70" w:name="_Toc531082170"/>
      <w:bookmarkStart w:id="71" w:name="_Toc72396091"/>
      <w:r>
        <w:t>7 验收监测内容</w:t>
      </w:r>
      <w:bookmarkEnd w:id="70"/>
      <w:bookmarkEnd w:id="71"/>
    </w:p>
    <w:p>
      <w:pPr>
        <w:pStyle w:val="3"/>
        <w:rPr>
          <w:szCs w:val="21"/>
        </w:rPr>
      </w:pPr>
      <w:bookmarkStart w:id="72" w:name="_Toc72396092"/>
      <w:bookmarkStart w:id="73" w:name="_Toc531082171"/>
      <w:r>
        <w:t>7.1环境保护设施调试运行效果</w:t>
      </w:r>
      <w:bookmarkEnd w:id="72"/>
      <w:bookmarkEnd w:id="73"/>
    </w:p>
    <w:p>
      <w:pPr>
        <w:ind w:firstLine="480"/>
      </w:pPr>
      <w:bookmarkStart w:id="74" w:name="_Toc531082172"/>
      <w:r>
        <w:rPr>
          <w:rFonts w:hint="eastAsia"/>
        </w:rPr>
        <w:t>本项目于2021年4月16日至17日委托粤珠环保科技（广东）有限公司进行了竣工验收检测并出具检测报告。监测期间，企业生产负荷大于75%，满足环保验收检测技术要求。</w:t>
      </w:r>
    </w:p>
    <w:p>
      <w:pPr>
        <w:pStyle w:val="4"/>
        <w:rPr>
          <w:szCs w:val="21"/>
        </w:rPr>
      </w:pPr>
      <w:bookmarkStart w:id="75" w:name="_Toc72396093"/>
      <w:r>
        <w:t>7.1.1</w:t>
      </w:r>
      <w:r>
        <w:rPr>
          <w:rFonts w:hAnsiTheme="minorEastAsia"/>
        </w:rPr>
        <w:t>废水</w:t>
      </w:r>
      <w:bookmarkEnd w:id="74"/>
      <w:r>
        <w:rPr>
          <w:rFonts w:hint="eastAsia" w:hAnsiTheme="minorEastAsia"/>
        </w:rPr>
        <w:t>监测</w:t>
      </w:r>
      <w:bookmarkEnd w:id="75"/>
    </w:p>
    <w:p>
      <w:pPr>
        <w:ind w:firstLine="480"/>
        <w:rPr>
          <w:rFonts w:cs="Times New Roman" w:hAnsiTheme="minorEastAsia"/>
          <w:szCs w:val="28"/>
        </w:rPr>
      </w:pPr>
      <w:bookmarkStart w:id="76" w:name="_Toc531082173"/>
      <w:r>
        <w:rPr>
          <w:rFonts w:hint="eastAsia" w:cs="Times New Roman" w:hAnsiTheme="minorEastAsia"/>
          <w:szCs w:val="28"/>
        </w:rPr>
        <w:t>本项目产生的废水为机械冷却水和生活废水。</w:t>
      </w:r>
    </w:p>
    <w:p>
      <w:pPr>
        <w:ind w:firstLine="480"/>
        <w:rPr>
          <w:rFonts w:cs="Times New Roman" w:hAnsiTheme="minorEastAsia"/>
          <w:szCs w:val="28"/>
        </w:rPr>
      </w:pPr>
      <w:r>
        <w:rPr>
          <w:rFonts w:hint="eastAsia" w:cs="Times New Roman" w:hAnsiTheme="minorEastAsia"/>
          <w:szCs w:val="28"/>
        </w:rPr>
        <w:t>（1）本项目</w:t>
      </w:r>
      <w:r>
        <w:rPr>
          <w:rFonts w:hAnsi="宋体" w:cs="Times New Roman"/>
          <w:szCs w:val="28"/>
        </w:rPr>
        <w:t>在</w:t>
      </w:r>
      <w:r>
        <w:rPr>
          <w:rFonts w:hint="eastAsia" w:hAnsi="宋体" w:cs="Times New Roman"/>
          <w:szCs w:val="28"/>
        </w:rPr>
        <w:t>冷却、成型工序</w:t>
      </w:r>
      <w:r>
        <w:rPr>
          <w:rFonts w:hAnsi="宋体" w:cs="Times New Roman"/>
          <w:szCs w:val="28"/>
        </w:rPr>
        <w:t>中需要</w:t>
      </w:r>
      <w:r>
        <w:rPr>
          <w:rFonts w:hint="eastAsia" w:hAnsi="宋体" w:cs="Times New Roman"/>
          <w:szCs w:val="28"/>
        </w:rPr>
        <w:t>用到冷却水</w:t>
      </w:r>
      <w:r>
        <w:rPr>
          <w:rFonts w:hAnsi="宋体" w:cs="Times New Roman"/>
          <w:szCs w:val="28"/>
        </w:rPr>
        <w:t>，该部分水会在</w:t>
      </w:r>
      <w:r>
        <w:rPr>
          <w:rFonts w:hint="eastAsia" w:hAnsi="宋体" w:cs="Times New Roman"/>
          <w:szCs w:val="28"/>
        </w:rPr>
        <w:t>生产</w:t>
      </w:r>
      <w:r>
        <w:rPr>
          <w:rFonts w:hAnsi="宋体" w:cs="Times New Roman"/>
          <w:szCs w:val="28"/>
        </w:rPr>
        <w:t>过程中循环使用，</w:t>
      </w:r>
      <w:r>
        <w:rPr>
          <w:rFonts w:hint="eastAsia" w:hAnsi="宋体" w:cs="Times New Roman"/>
          <w:szCs w:val="28"/>
        </w:rPr>
        <w:t>定期补充新鲜水，</w:t>
      </w:r>
      <w:r>
        <w:rPr>
          <w:rFonts w:hAnsi="宋体" w:cs="Times New Roman"/>
          <w:szCs w:val="28"/>
        </w:rPr>
        <w:t>无废水排放。</w:t>
      </w:r>
    </w:p>
    <w:p>
      <w:pPr>
        <w:ind w:firstLine="0" w:firstLineChars="0"/>
        <w:jc w:val="left"/>
        <w:rPr>
          <w:rFonts w:hAnsi="宋体" w:cs="Times New Roman"/>
          <w:szCs w:val="24"/>
        </w:rPr>
      </w:pPr>
      <w:r>
        <w:rPr>
          <w:rFonts w:hint="eastAsia" w:cs="Times New Roman" w:hAnsiTheme="minorEastAsia"/>
          <w:szCs w:val="28"/>
        </w:rPr>
        <w:t xml:space="preserve">    （2）生活污水经</w:t>
      </w:r>
      <w:r>
        <w:rPr>
          <w:rFonts w:cs="Times New Roman" w:hAnsiTheme="minorEastAsia"/>
          <w:szCs w:val="28"/>
        </w:rPr>
        <w:t>三级化粪池处理</w:t>
      </w:r>
      <w:r>
        <w:rPr>
          <w:rFonts w:hint="eastAsia" w:hAnsi="宋体" w:cs="Times New Roman"/>
          <w:bCs/>
          <w:szCs w:val="28"/>
        </w:rPr>
        <w:t>后定期由吸污车吸走</w:t>
      </w:r>
      <w:r>
        <w:rPr>
          <w:rFonts w:hint="eastAsia" w:cs="Times New Roman" w:hAnsiTheme="minorEastAsia"/>
          <w:szCs w:val="28"/>
        </w:rPr>
        <w:t>，</w:t>
      </w:r>
      <w:r>
        <w:rPr>
          <w:rFonts w:hint="eastAsia" w:eastAsia="宋体"/>
          <w:szCs w:val="24"/>
        </w:rPr>
        <w:t>用于果树园林灌溉，执行《农田灌溉水质标准》（GB5084-2005）中旱作标准</w:t>
      </w:r>
      <w:r>
        <w:rPr>
          <w:rFonts w:hint="eastAsia" w:hAnsi="宋体" w:eastAsia="宋体" w:cs="Times New Roman"/>
          <w:szCs w:val="24"/>
        </w:rPr>
        <w:t>。</w:t>
      </w:r>
      <w:r>
        <w:rPr>
          <w:rFonts w:hint="eastAsia" w:cs="Times New Roman" w:hAnsiTheme="minorEastAsia"/>
          <w:szCs w:val="28"/>
        </w:rPr>
        <w:t>对周围水环境影响较</w:t>
      </w:r>
      <w:r>
        <w:rPr>
          <w:rFonts w:hint="eastAsia" w:hAnsi="宋体" w:cs="Times New Roman"/>
          <w:szCs w:val="24"/>
        </w:rPr>
        <w:t>小。</w:t>
      </w:r>
    </w:p>
    <w:p>
      <w:pPr>
        <w:ind w:firstLine="480"/>
      </w:pPr>
      <w:r>
        <w:rPr>
          <w:rFonts w:hint="eastAsia"/>
        </w:rPr>
        <w:t>监测内容见下表所示：</w:t>
      </w:r>
    </w:p>
    <w:p>
      <w:pPr>
        <w:ind w:firstLine="0" w:firstLineChars="0"/>
        <w:jc w:val="center"/>
        <w:rPr>
          <w:b/>
        </w:rPr>
      </w:pPr>
      <w:r>
        <w:rPr>
          <w:rFonts w:hint="eastAsia"/>
          <w:b/>
        </w:rPr>
        <w:t>表7.1-1 废水监测内容</w:t>
      </w:r>
    </w:p>
    <w:tbl>
      <w:tblPr>
        <w:tblStyle w:val="26"/>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2409"/>
        <w:gridCol w:w="3261"/>
        <w:gridCol w:w="11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668" w:type="dxa"/>
            <w:vAlign w:val="center"/>
          </w:tcPr>
          <w:p>
            <w:pPr>
              <w:spacing w:line="240" w:lineRule="auto"/>
              <w:ind w:firstLine="0" w:firstLineChars="0"/>
              <w:jc w:val="center"/>
              <w:rPr>
                <w:sz w:val="21"/>
                <w:szCs w:val="21"/>
              </w:rPr>
            </w:pPr>
            <w:r>
              <w:rPr>
                <w:rFonts w:hint="eastAsia"/>
                <w:sz w:val="21"/>
                <w:szCs w:val="21"/>
              </w:rPr>
              <w:t>分类</w:t>
            </w:r>
          </w:p>
        </w:tc>
        <w:tc>
          <w:tcPr>
            <w:tcW w:w="2409" w:type="dxa"/>
            <w:vAlign w:val="center"/>
          </w:tcPr>
          <w:p>
            <w:pPr>
              <w:spacing w:line="240" w:lineRule="auto"/>
              <w:ind w:firstLine="0" w:firstLineChars="0"/>
              <w:jc w:val="center"/>
              <w:rPr>
                <w:sz w:val="21"/>
                <w:szCs w:val="21"/>
              </w:rPr>
            </w:pPr>
            <w:r>
              <w:rPr>
                <w:rFonts w:hint="eastAsia"/>
                <w:sz w:val="21"/>
                <w:szCs w:val="21"/>
              </w:rPr>
              <w:t>采样点位</w:t>
            </w:r>
          </w:p>
        </w:tc>
        <w:tc>
          <w:tcPr>
            <w:tcW w:w="3261" w:type="dxa"/>
            <w:vAlign w:val="center"/>
          </w:tcPr>
          <w:p>
            <w:pPr>
              <w:spacing w:line="240" w:lineRule="auto"/>
              <w:ind w:firstLine="0" w:firstLineChars="0"/>
              <w:jc w:val="center"/>
              <w:rPr>
                <w:sz w:val="21"/>
                <w:szCs w:val="21"/>
              </w:rPr>
            </w:pPr>
            <w:r>
              <w:rPr>
                <w:rFonts w:hint="eastAsia"/>
                <w:sz w:val="21"/>
                <w:szCs w:val="21"/>
              </w:rPr>
              <w:t>监测项目</w:t>
            </w:r>
          </w:p>
        </w:tc>
        <w:tc>
          <w:tcPr>
            <w:tcW w:w="1184" w:type="dxa"/>
            <w:vAlign w:val="center"/>
          </w:tcPr>
          <w:p>
            <w:pPr>
              <w:spacing w:line="240" w:lineRule="auto"/>
              <w:ind w:firstLine="0" w:firstLineChars="0"/>
              <w:jc w:val="center"/>
              <w:rPr>
                <w:sz w:val="21"/>
                <w:szCs w:val="21"/>
              </w:rPr>
            </w:pPr>
            <w:r>
              <w:rPr>
                <w:rFonts w:hint="eastAsia"/>
                <w:sz w:val="21"/>
                <w:szCs w:val="21"/>
              </w:rPr>
              <w:t>监测频次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9" w:hRule="atLeast"/>
          <w:jc w:val="center"/>
        </w:trPr>
        <w:tc>
          <w:tcPr>
            <w:tcW w:w="1668" w:type="dxa"/>
            <w:vAlign w:val="center"/>
          </w:tcPr>
          <w:p>
            <w:pPr>
              <w:spacing w:line="240" w:lineRule="auto"/>
              <w:ind w:firstLine="0" w:firstLineChars="0"/>
              <w:jc w:val="center"/>
              <w:rPr>
                <w:sz w:val="21"/>
                <w:szCs w:val="21"/>
              </w:rPr>
            </w:pPr>
            <w:r>
              <w:rPr>
                <w:rFonts w:hint="eastAsia"/>
                <w:sz w:val="21"/>
                <w:szCs w:val="21"/>
              </w:rPr>
              <w:t>生活污水</w:t>
            </w:r>
          </w:p>
        </w:tc>
        <w:tc>
          <w:tcPr>
            <w:tcW w:w="2409" w:type="dxa"/>
            <w:vAlign w:val="center"/>
          </w:tcPr>
          <w:p>
            <w:pPr>
              <w:spacing w:line="240" w:lineRule="auto"/>
              <w:ind w:firstLine="0" w:firstLineChars="0"/>
              <w:jc w:val="center"/>
              <w:rPr>
                <w:sz w:val="21"/>
                <w:szCs w:val="21"/>
              </w:rPr>
            </w:pPr>
            <w:r>
              <w:rPr>
                <w:rFonts w:hint="eastAsia"/>
                <w:sz w:val="21"/>
                <w:szCs w:val="21"/>
              </w:rPr>
              <w:t>生活污水排放口</w:t>
            </w:r>
          </w:p>
        </w:tc>
        <w:tc>
          <w:tcPr>
            <w:tcW w:w="3261" w:type="dxa"/>
            <w:vAlign w:val="center"/>
          </w:tcPr>
          <w:p>
            <w:pPr>
              <w:spacing w:line="240" w:lineRule="auto"/>
              <w:ind w:firstLine="0" w:firstLineChars="0"/>
              <w:jc w:val="center"/>
              <w:rPr>
                <w:kern w:val="0"/>
                <w:sz w:val="21"/>
                <w:szCs w:val="21"/>
              </w:rPr>
            </w:pPr>
            <w:r>
              <w:rPr>
                <w:kern w:val="0"/>
                <w:sz w:val="21"/>
                <w:szCs w:val="21"/>
              </w:rPr>
              <w:t>pH、BOD</w:t>
            </w:r>
            <w:r>
              <w:rPr>
                <w:kern w:val="0"/>
                <w:sz w:val="21"/>
                <w:szCs w:val="21"/>
                <w:vertAlign w:val="subscript"/>
              </w:rPr>
              <w:t>5</w:t>
            </w:r>
            <w:r>
              <w:rPr>
                <w:kern w:val="0"/>
                <w:sz w:val="21"/>
                <w:szCs w:val="21"/>
              </w:rPr>
              <w:t>、COD</w:t>
            </w:r>
            <w:r>
              <w:rPr>
                <w:rFonts w:hint="eastAsia"/>
                <w:kern w:val="0"/>
                <w:sz w:val="21"/>
                <w:szCs w:val="21"/>
                <w:vertAlign w:val="subscript"/>
              </w:rPr>
              <w:t>cr</w:t>
            </w:r>
            <w:r>
              <w:rPr>
                <w:kern w:val="0"/>
                <w:sz w:val="21"/>
                <w:szCs w:val="21"/>
              </w:rPr>
              <w:t>、SS</w:t>
            </w:r>
            <w:r>
              <w:rPr>
                <w:rFonts w:hint="eastAsia"/>
                <w:kern w:val="0"/>
                <w:sz w:val="21"/>
                <w:szCs w:val="21"/>
              </w:rPr>
              <w:t>、氨氮、</w:t>
            </w:r>
          </w:p>
        </w:tc>
        <w:tc>
          <w:tcPr>
            <w:tcW w:w="1184" w:type="dxa"/>
            <w:vAlign w:val="center"/>
          </w:tcPr>
          <w:p>
            <w:pPr>
              <w:spacing w:line="240" w:lineRule="auto"/>
              <w:ind w:firstLine="0" w:firstLineChars="0"/>
              <w:jc w:val="center"/>
              <w:rPr>
                <w:sz w:val="21"/>
                <w:szCs w:val="21"/>
              </w:rPr>
            </w:pPr>
            <w:r>
              <w:rPr>
                <w:rFonts w:hint="eastAsia"/>
                <w:sz w:val="21"/>
                <w:szCs w:val="21"/>
              </w:rPr>
              <w:t>4</w:t>
            </w:r>
            <w:r>
              <w:rPr>
                <w:sz w:val="21"/>
                <w:szCs w:val="21"/>
              </w:rPr>
              <w:t>次/天，连续2天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 w:hRule="atLeast"/>
          <w:jc w:val="center"/>
        </w:trPr>
        <w:tc>
          <w:tcPr>
            <w:tcW w:w="1668" w:type="dxa"/>
            <w:vAlign w:val="center"/>
          </w:tcPr>
          <w:p>
            <w:pPr>
              <w:spacing w:line="240" w:lineRule="auto"/>
              <w:ind w:firstLine="0" w:firstLineChars="0"/>
              <w:jc w:val="center"/>
              <w:rPr>
                <w:sz w:val="21"/>
                <w:szCs w:val="21"/>
              </w:rPr>
            </w:pPr>
            <w:r>
              <w:rPr>
                <w:rFonts w:hint="eastAsia"/>
                <w:sz w:val="21"/>
                <w:szCs w:val="21"/>
              </w:rPr>
              <w:t>备注</w:t>
            </w:r>
          </w:p>
        </w:tc>
        <w:tc>
          <w:tcPr>
            <w:tcW w:w="6854" w:type="dxa"/>
            <w:gridSpan w:val="3"/>
            <w:vAlign w:val="center"/>
          </w:tcPr>
          <w:p>
            <w:pPr>
              <w:spacing w:line="240" w:lineRule="auto"/>
              <w:ind w:firstLine="0" w:firstLineChars="0"/>
              <w:jc w:val="center"/>
              <w:rPr>
                <w:sz w:val="21"/>
                <w:szCs w:val="21"/>
              </w:rPr>
            </w:pPr>
            <w:r>
              <w:rPr>
                <w:rFonts w:hint="eastAsia" w:eastAsia="宋体"/>
                <w:sz w:val="21"/>
                <w:szCs w:val="21"/>
              </w:rPr>
              <w:t>生活污水执行</w:t>
            </w:r>
            <w:r>
              <w:rPr>
                <w:rFonts w:hint="eastAsia"/>
                <w:sz w:val="21"/>
                <w:szCs w:val="21"/>
              </w:rPr>
              <w:t>国家标准《农田灌溉水质标准》（GB5084-2005）旱作标准</w:t>
            </w:r>
            <w:r>
              <w:rPr>
                <w:rFonts w:hint="eastAsia" w:eastAsia="宋体"/>
                <w:sz w:val="21"/>
                <w:szCs w:val="21"/>
              </w:rPr>
              <w:t>。</w:t>
            </w:r>
          </w:p>
        </w:tc>
      </w:tr>
    </w:tbl>
    <w:p>
      <w:pPr>
        <w:pStyle w:val="4"/>
        <w:rPr>
          <w:rFonts w:hAnsiTheme="minorEastAsia"/>
        </w:rPr>
      </w:pPr>
      <w:bookmarkStart w:id="77" w:name="_Toc72396094"/>
      <w:r>
        <w:t>7.1.2</w:t>
      </w:r>
      <w:r>
        <w:rPr>
          <w:rFonts w:hAnsiTheme="minorEastAsia"/>
        </w:rPr>
        <w:t>废气</w:t>
      </w:r>
      <w:bookmarkEnd w:id="76"/>
      <w:r>
        <w:rPr>
          <w:rFonts w:hint="eastAsia" w:hAnsiTheme="minorEastAsia"/>
        </w:rPr>
        <w:t>监测</w:t>
      </w:r>
      <w:bookmarkEnd w:id="77"/>
    </w:p>
    <w:p>
      <w:pPr>
        <w:pStyle w:val="5"/>
        <w:rPr>
          <w:szCs w:val="21"/>
        </w:rPr>
      </w:pPr>
      <w:bookmarkStart w:id="78" w:name="_Toc531082174"/>
      <w:r>
        <w:t>7.1.2.</w:t>
      </w:r>
      <w:r>
        <w:rPr>
          <w:rFonts w:hint="eastAsia"/>
        </w:rPr>
        <w:t>1</w:t>
      </w:r>
      <w:r>
        <w:rPr>
          <w:rFonts w:hint="eastAsia" w:hAnsiTheme="minorEastAsia"/>
        </w:rPr>
        <w:t>有</w:t>
      </w:r>
      <w:r>
        <w:rPr>
          <w:rFonts w:hAnsiTheme="minorEastAsia"/>
        </w:rPr>
        <w:t>组织排放</w:t>
      </w:r>
    </w:p>
    <w:p>
      <w:pPr>
        <w:ind w:firstLine="480"/>
        <w:rPr>
          <w:bCs/>
          <w:szCs w:val="24"/>
        </w:rPr>
      </w:pPr>
      <w:r>
        <w:rPr>
          <w:rFonts w:hint="eastAsia"/>
          <w:bCs/>
          <w:szCs w:val="24"/>
        </w:rPr>
        <w:t>有</w:t>
      </w:r>
      <w:r>
        <w:rPr>
          <w:bCs/>
          <w:szCs w:val="24"/>
        </w:rPr>
        <w:t>组织废气监测内容</w:t>
      </w:r>
      <w:r>
        <w:rPr>
          <w:rFonts w:hint="eastAsia"/>
          <w:bCs/>
          <w:szCs w:val="24"/>
        </w:rPr>
        <w:t>点位、项目频次见下表：</w:t>
      </w:r>
    </w:p>
    <w:p>
      <w:pPr>
        <w:ind w:firstLine="0" w:firstLineChars="0"/>
        <w:jc w:val="center"/>
        <w:rPr>
          <w:b/>
          <w:bCs/>
          <w:szCs w:val="24"/>
        </w:rPr>
      </w:pPr>
      <w:r>
        <w:rPr>
          <w:rFonts w:hint="eastAsia"/>
          <w:b/>
          <w:bCs/>
          <w:szCs w:val="24"/>
        </w:rPr>
        <w:t>表7.1-2有组织废气监测内容</w:t>
      </w:r>
    </w:p>
    <w:tbl>
      <w:tblPr>
        <w:tblStyle w:val="25"/>
        <w:tblW w:w="8646" w:type="dxa"/>
        <w:jc w:val="center"/>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2630"/>
        <w:gridCol w:w="1276"/>
        <w:gridCol w:w="1702"/>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1570" w:type="dxa"/>
            <w:vAlign w:val="center"/>
          </w:tcPr>
          <w:p>
            <w:pPr>
              <w:adjustRightInd w:val="0"/>
              <w:snapToGrid w:val="0"/>
              <w:spacing w:line="240" w:lineRule="auto"/>
              <w:ind w:firstLine="0" w:firstLineChars="0"/>
              <w:jc w:val="center"/>
              <w:rPr>
                <w:sz w:val="21"/>
                <w:szCs w:val="21"/>
              </w:rPr>
            </w:pPr>
            <w:r>
              <w:rPr>
                <w:sz w:val="21"/>
                <w:szCs w:val="21"/>
              </w:rPr>
              <w:t>分类</w:t>
            </w:r>
          </w:p>
        </w:tc>
        <w:tc>
          <w:tcPr>
            <w:tcW w:w="2630" w:type="dxa"/>
            <w:vAlign w:val="center"/>
          </w:tcPr>
          <w:p>
            <w:pPr>
              <w:adjustRightInd w:val="0"/>
              <w:snapToGrid w:val="0"/>
              <w:spacing w:line="240" w:lineRule="auto"/>
              <w:ind w:firstLine="0" w:firstLineChars="0"/>
              <w:jc w:val="center"/>
              <w:rPr>
                <w:sz w:val="21"/>
                <w:szCs w:val="21"/>
              </w:rPr>
            </w:pPr>
            <w:r>
              <w:rPr>
                <w:sz w:val="21"/>
                <w:szCs w:val="21"/>
              </w:rPr>
              <w:t>采样点位</w:t>
            </w:r>
          </w:p>
        </w:tc>
        <w:tc>
          <w:tcPr>
            <w:tcW w:w="1276" w:type="dxa"/>
            <w:vAlign w:val="center"/>
          </w:tcPr>
          <w:p>
            <w:pPr>
              <w:adjustRightInd w:val="0"/>
              <w:snapToGrid w:val="0"/>
              <w:spacing w:line="240" w:lineRule="auto"/>
              <w:ind w:firstLine="0" w:firstLineChars="0"/>
              <w:jc w:val="center"/>
              <w:rPr>
                <w:sz w:val="21"/>
                <w:szCs w:val="21"/>
              </w:rPr>
            </w:pPr>
            <w:r>
              <w:rPr>
                <w:rFonts w:hint="eastAsia"/>
                <w:sz w:val="21"/>
                <w:szCs w:val="21"/>
              </w:rPr>
              <w:t>数量</w:t>
            </w:r>
          </w:p>
        </w:tc>
        <w:tc>
          <w:tcPr>
            <w:tcW w:w="1702" w:type="dxa"/>
            <w:vAlign w:val="center"/>
          </w:tcPr>
          <w:p>
            <w:pPr>
              <w:adjustRightInd w:val="0"/>
              <w:snapToGrid w:val="0"/>
              <w:spacing w:line="240" w:lineRule="auto"/>
              <w:ind w:firstLine="0" w:firstLineChars="0"/>
              <w:jc w:val="center"/>
              <w:rPr>
                <w:sz w:val="21"/>
                <w:szCs w:val="21"/>
              </w:rPr>
            </w:pPr>
            <w:r>
              <w:rPr>
                <w:sz w:val="21"/>
                <w:szCs w:val="21"/>
              </w:rPr>
              <w:t>监测项目</w:t>
            </w:r>
          </w:p>
        </w:tc>
        <w:tc>
          <w:tcPr>
            <w:tcW w:w="1468" w:type="dxa"/>
            <w:vAlign w:val="center"/>
          </w:tcPr>
          <w:p>
            <w:pPr>
              <w:adjustRightInd w:val="0"/>
              <w:snapToGrid w:val="0"/>
              <w:spacing w:line="240" w:lineRule="auto"/>
              <w:ind w:firstLine="0" w:firstLineChars="0"/>
              <w:jc w:val="center"/>
              <w:rPr>
                <w:sz w:val="21"/>
                <w:szCs w:val="21"/>
              </w:rPr>
            </w:pPr>
            <w:r>
              <w:rPr>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1570" w:type="dxa"/>
            <w:vMerge w:val="restart"/>
            <w:vAlign w:val="center"/>
          </w:tcPr>
          <w:p>
            <w:pPr>
              <w:adjustRightInd w:val="0"/>
              <w:snapToGrid w:val="0"/>
              <w:spacing w:line="240" w:lineRule="auto"/>
              <w:ind w:firstLine="0" w:firstLineChars="0"/>
              <w:jc w:val="center"/>
              <w:rPr>
                <w:sz w:val="21"/>
                <w:szCs w:val="21"/>
              </w:rPr>
            </w:pPr>
            <w:r>
              <w:rPr>
                <w:rFonts w:hint="eastAsia"/>
                <w:sz w:val="21"/>
                <w:szCs w:val="21"/>
              </w:rPr>
              <w:t>有机废气</w:t>
            </w:r>
          </w:p>
        </w:tc>
        <w:tc>
          <w:tcPr>
            <w:tcW w:w="2630" w:type="dxa"/>
            <w:vAlign w:val="center"/>
          </w:tcPr>
          <w:p>
            <w:pPr>
              <w:spacing w:line="280" w:lineRule="exact"/>
              <w:ind w:firstLine="0" w:firstLineChars="0"/>
              <w:jc w:val="center"/>
              <w:rPr>
                <w:rFonts w:asciiTheme="minorEastAsia" w:hAnsiTheme="minorEastAsia"/>
                <w:sz w:val="21"/>
                <w:szCs w:val="21"/>
              </w:rPr>
            </w:pPr>
            <w:r>
              <w:rPr>
                <w:rFonts w:hint="eastAsia" w:asciiTheme="minorEastAsia" w:hAnsiTheme="minorEastAsia"/>
                <w:sz w:val="21"/>
                <w:szCs w:val="21"/>
              </w:rPr>
              <w:t>处理前采样口</w:t>
            </w:r>
          </w:p>
        </w:tc>
        <w:tc>
          <w:tcPr>
            <w:tcW w:w="1276" w:type="dxa"/>
            <w:vMerge w:val="restart"/>
            <w:vAlign w:val="center"/>
          </w:tcPr>
          <w:p>
            <w:pPr>
              <w:adjustRightInd w:val="0"/>
              <w:snapToGrid w:val="0"/>
              <w:spacing w:line="240" w:lineRule="auto"/>
              <w:ind w:firstLine="0" w:firstLineChars="0"/>
              <w:jc w:val="center"/>
              <w:rPr>
                <w:sz w:val="21"/>
                <w:szCs w:val="21"/>
              </w:rPr>
            </w:pPr>
            <w:r>
              <w:rPr>
                <w:rFonts w:hint="eastAsia"/>
                <w:sz w:val="21"/>
                <w:szCs w:val="21"/>
              </w:rPr>
              <w:t>1</w:t>
            </w:r>
          </w:p>
        </w:tc>
        <w:tc>
          <w:tcPr>
            <w:tcW w:w="1702" w:type="dxa"/>
            <w:vMerge w:val="restart"/>
            <w:vAlign w:val="center"/>
          </w:tcPr>
          <w:p>
            <w:pPr>
              <w:adjustRightInd w:val="0"/>
              <w:snapToGrid w:val="0"/>
              <w:spacing w:line="240" w:lineRule="auto"/>
              <w:ind w:firstLine="0" w:firstLineChars="0"/>
              <w:jc w:val="center"/>
              <w:rPr>
                <w:sz w:val="21"/>
                <w:szCs w:val="21"/>
              </w:rPr>
            </w:pPr>
            <w:r>
              <w:rPr>
                <w:rFonts w:hint="eastAsia"/>
                <w:sz w:val="21"/>
                <w:szCs w:val="21"/>
              </w:rPr>
              <w:t>总</w:t>
            </w:r>
            <w:r>
              <w:rPr>
                <w:sz w:val="21"/>
                <w:szCs w:val="21"/>
              </w:rPr>
              <w:t>VOCs</w:t>
            </w:r>
          </w:p>
        </w:tc>
        <w:tc>
          <w:tcPr>
            <w:tcW w:w="1468" w:type="dxa"/>
            <w:vMerge w:val="restart"/>
            <w:vAlign w:val="center"/>
          </w:tcPr>
          <w:p>
            <w:pPr>
              <w:adjustRightInd w:val="0"/>
              <w:snapToGrid w:val="0"/>
              <w:spacing w:line="240" w:lineRule="auto"/>
              <w:ind w:firstLine="0" w:firstLineChars="0"/>
              <w:jc w:val="center"/>
              <w:rPr>
                <w:sz w:val="21"/>
                <w:szCs w:val="21"/>
              </w:rPr>
            </w:pPr>
            <w:r>
              <w:rPr>
                <w:rFonts w:hint="eastAsia"/>
                <w:sz w:val="21"/>
                <w:szCs w:val="21"/>
              </w:rPr>
              <w:t>3</w:t>
            </w:r>
            <w:r>
              <w:rPr>
                <w:sz w:val="21"/>
                <w:szCs w:val="21"/>
              </w:rPr>
              <w:t>次/天，</w:t>
            </w:r>
          </w:p>
          <w:p>
            <w:pPr>
              <w:adjustRightInd w:val="0"/>
              <w:snapToGrid w:val="0"/>
              <w:spacing w:line="240" w:lineRule="auto"/>
              <w:ind w:firstLine="0" w:firstLineChars="0"/>
              <w:jc w:val="center"/>
              <w:rPr>
                <w:sz w:val="21"/>
                <w:szCs w:val="21"/>
              </w:rPr>
            </w:pPr>
            <w:r>
              <w:rPr>
                <w:sz w:val="21"/>
                <w:szCs w:val="21"/>
              </w:rPr>
              <w:t>连续</w:t>
            </w:r>
            <w:r>
              <w:rPr>
                <w:rFonts w:hint="eastAsia"/>
                <w:sz w:val="21"/>
                <w:szCs w:val="21"/>
              </w:rPr>
              <w:t>2</w:t>
            </w:r>
            <w:r>
              <w:rPr>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570" w:type="dxa"/>
            <w:vMerge w:val="continue"/>
            <w:vAlign w:val="center"/>
          </w:tcPr>
          <w:p>
            <w:pPr>
              <w:adjustRightInd w:val="0"/>
              <w:snapToGrid w:val="0"/>
              <w:spacing w:line="240" w:lineRule="auto"/>
              <w:ind w:firstLine="0" w:firstLineChars="0"/>
              <w:jc w:val="center"/>
              <w:rPr>
                <w:sz w:val="21"/>
                <w:szCs w:val="21"/>
              </w:rPr>
            </w:pPr>
          </w:p>
        </w:tc>
        <w:tc>
          <w:tcPr>
            <w:tcW w:w="2630" w:type="dxa"/>
            <w:vAlign w:val="center"/>
          </w:tcPr>
          <w:p>
            <w:pPr>
              <w:spacing w:line="280" w:lineRule="exact"/>
              <w:ind w:firstLine="0" w:firstLineChars="0"/>
              <w:jc w:val="center"/>
              <w:rPr>
                <w:rFonts w:asciiTheme="minorEastAsia" w:hAnsiTheme="minorEastAsia"/>
                <w:sz w:val="21"/>
                <w:szCs w:val="21"/>
              </w:rPr>
            </w:pPr>
            <w:r>
              <w:rPr>
                <w:rFonts w:hint="eastAsia" w:asciiTheme="minorEastAsia" w:hAnsiTheme="minorEastAsia"/>
                <w:sz w:val="21"/>
                <w:szCs w:val="21"/>
              </w:rPr>
              <w:t>处理后采样口</w:t>
            </w:r>
          </w:p>
        </w:tc>
        <w:tc>
          <w:tcPr>
            <w:tcW w:w="1276" w:type="dxa"/>
            <w:vMerge w:val="continue"/>
            <w:vAlign w:val="center"/>
          </w:tcPr>
          <w:p>
            <w:pPr>
              <w:spacing w:line="280" w:lineRule="exact"/>
              <w:ind w:firstLine="480"/>
              <w:jc w:val="center"/>
              <w:rPr>
                <w:szCs w:val="21"/>
              </w:rPr>
            </w:pPr>
          </w:p>
        </w:tc>
        <w:tc>
          <w:tcPr>
            <w:tcW w:w="1702" w:type="dxa"/>
            <w:vMerge w:val="continue"/>
            <w:vAlign w:val="center"/>
          </w:tcPr>
          <w:p>
            <w:pPr>
              <w:ind w:firstLine="480"/>
              <w:jc w:val="center"/>
              <w:rPr>
                <w:rFonts w:ascii="宋体" w:hAnsi="宋体"/>
                <w:szCs w:val="21"/>
              </w:rPr>
            </w:pPr>
          </w:p>
        </w:tc>
        <w:tc>
          <w:tcPr>
            <w:tcW w:w="1468" w:type="dxa"/>
            <w:vMerge w:val="continue"/>
            <w:vAlign w:val="center"/>
          </w:tcPr>
          <w:p>
            <w:pPr>
              <w:spacing w:line="280" w:lineRule="exact"/>
              <w:ind w:firstLine="48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70" w:type="dxa"/>
            <w:vAlign w:val="center"/>
          </w:tcPr>
          <w:p>
            <w:pPr>
              <w:adjustRightInd w:val="0"/>
              <w:snapToGrid w:val="0"/>
              <w:spacing w:line="240" w:lineRule="auto"/>
              <w:ind w:firstLine="0" w:firstLineChars="0"/>
              <w:jc w:val="center"/>
              <w:rPr>
                <w:sz w:val="21"/>
                <w:szCs w:val="21"/>
              </w:rPr>
            </w:pPr>
            <w:r>
              <w:rPr>
                <w:sz w:val="21"/>
                <w:szCs w:val="21"/>
              </w:rPr>
              <w:t>备注</w:t>
            </w:r>
          </w:p>
        </w:tc>
        <w:tc>
          <w:tcPr>
            <w:tcW w:w="7076" w:type="dxa"/>
            <w:gridSpan w:val="4"/>
            <w:vAlign w:val="center"/>
          </w:tcPr>
          <w:p>
            <w:pPr>
              <w:adjustRightInd w:val="0"/>
              <w:snapToGrid w:val="0"/>
              <w:spacing w:line="240" w:lineRule="auto"/>
              <w:ind w:firstLine="0" w:firstLineChars="0"/>
              <w:rPr>
                <w:sz w:val="21"/>
                <w:szCs w:val="21"/>
              </w:rPr>
            </w:pPr>
            <w:r>
              <w:rPr>
                <w:rFonts w:hint="eastAsia" w:hAnsi="宋体" w:eastAsia="宋体" w:cs="Times New Roman"/>
                <w:sz w:val="21"/>
                <w:szCs w:val="21"/>
              </w:rPr>
              <w:t>执行</w:t>
            </w:r>
            <w:r>
              <w:rPr>
                <w:rFonts w:hAnsi="宋体" w:eastAsia="宋体" w:cs="Times New Roman"/>
                <w:sz w:val="21"/>
                <w:szCs w:val="21"/>
              </w:rPr>
              <w:t>《家具制造行业挥发性有机化合物排放标准》（DB44/814-2010）表1中VOCs的第</w:t>
            </w:r>
            <w:r>
              <w:rPr>
                <w:rFonts w:hint="eastAsia" w:hAnsi="宋体" w:eastAsia="宋体" w:cs="Times New Roman"/>
                <w:sz w:val="21"/>
                <w:szCs w:val="21"/>
              </w:rPr>
              <w:t>Ⅱ</w:t>
            </w:r>
            <w:r>
              <w:rPr>
                <w:rFonts w:hAnsi="宋体" w:eastAsia="宋体" w:cs="Times New Roman"/>
                <w:sz w:val="21"/>
                <w:szCs w:val="21"/>
              </w:rPr>
              <w:t>时段排放监控限值</w:t>
            </w:r>
            <w:r>
              <w:rPr>
                <w:rFonts w:hint="eastAsia" w:hAnsi="宋体" w:eastAsia="宋体" w:cs="Times New Roman"/>
                <w:sz w:val="21"/>
                <w:szCs w:val="21"/>
              </w:rPr>
              <w:t>。</w:t>
            </w:r>
          </w:p>
        </w:tc>
      </w:tr>
    </w:tbl>
    <w:p>
      <w:pPr>
        <w:pStyle w:val="5"/>
        <w:rPr>
          <w:szCs w:val="21"/>
        </w:rPr>
      </w:pPr>
      <w:r>
        <w:t>7.1.2.</w:t>
      </w:r>
      <w:r>
        <w:rPr>
          <w:rFonts w:hint="eastAsia"/>
        </w:rPr>
        <w:t>2</w:t>
      </w:r>
      <w:r>
        <w:rPr>
          <w:rFonts w:hint="eastAsia" w:hAnsiTheme="minorEastAsia"/>
        </w:rPr>
        <w:t>无</w:t>
      </w:r>
      <w:r>
        <w:rPr>
          <w:rFonts w:hAnsiTheme="minorEastAsia"/>
        </w:rPr>
        <w:t>组织排放</w:t>
      </w:r>
    </w:p>
    <w:p>
      <w:pPr>
        <w:ind w:firstLine="480"/>
        <w:rPr>
          <w:bCs/>
          <w:szCs w:val="24"/>
        </w:rPr>
      </w:pPr>
      <w:r>
        <w:rPr>
          <w:bCs/>
          <w:szCs w:val="24"/>
        </w:rPr>
        <w:t>无组织废气监测内容</w:t>
      </w:r>
      <w:r>
        <w:rPr>
          <w:rFonts w:hint="eastAsia"/>
          <w:bCs/>
          <w:szCs w:val="24"/>
        </w:rPr>
        <w:t>点位、项目频次见下表，监测点位见图7.1-1：</w:t>
      </w:r>
    </w:p>
    <w:p>
      <w:pPr>
        <w:ind w:firstLine="0" w:firstLineChars="0"/>
        <w:jc w:val="center"/>
      </w:pPr>
      <w:r>
        <w:rPr>
          <w:rFonts w:hint="eastAsia"/>
          <w:b/>
          <w:bCs/>
          <w:szCs w:val="24"/>
        </w:rPr>
        <w:t>表7.1-3无组织废气监测内容</w:t>
      </w:r>
    </w:p>
    <w:tbl>
      <w:tblPr>
        <w:tblStyle w:val="26"/>
        <w:tblW w:w="8945" w:type="dxa"/>
        <w:jc w:val="center"/>
        <w:tblInd w:w="5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8"/>
        <w:gridCol w:w="2410"/>
        <w:gridCol w:w="1460"/>
        <w:gridCol w:w="2950"/>
        <w:gridCol w:w="14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3118" w:type="dxa"/>
            <w:gridSpan w:val="2"/>
            <w:vAlign w:val="center"/>
          </w:tcPr>
          <w:p>
            <w:pPr>
              <w:spacing w:line="240" w:lineRule="auto"/>
              <w:ind w:firstLine="0" w:firstLineChars="0"/>
              <w:jc w:val="center"/>
              <w:rPr>
                <w:rFonts w:cs="Times New Roman" w:hAnsiTheme="minorEastAsia"/>
                <w:color w:val="000000"/>
                <w:sz w:val="21"/>
                <w:szCs w:val="21"/>
              </w:rPr>
            </w:pPr>
            <w:r>
              <w:rPr>
                <w:rFonts w:hint="eastAsia" w:cs="Times New Roman" w:hAnsiTheme="minorEastAsia"/>
                <w:color w:val="000000"/>
                <w:sz w:val="21"/>
                <w:szCs w:val="21"/>
              </w:rPr>
              <w:t>监测点位</w:t>
            </w:r>
          </w:p>
        </w:tc>
        <w:tc>
          <w:tcPr>
            <w:tcW w:w="1460" w:type="dxa"/>
            <w:vAlign w:val="center"/>
          </w:tcPr>
          <w:p>
            <w:pPr>
              <w:spacing w:line="240" w:lineRule="auto"/>
              <w:ind w:firstLine="0" w:firstLineChars="0"/>
              <w:jc w:val="center"/>
              <w:rPr>
                <w:rFonts w:cs="Times New Roman" w:hAnsiTheme="minorEastAsia"/>
                <w:color w:val="000000"/>
                <w:sz w:val="21"/>
                <w:szCs w:val="21"/>
              </w:rPr>
            </w:pPr>
            <w:r>
              <w:rPr>
                <w:rFonts w:hint="eastAsia" w:cs="Times New Roman" w:hAnsiTheme="minorEastAsia"/>
                <w:color w:val="000000"/>
                <w:sz w:val="21"/>
                <w:szCs w:val="21"/>
              </w:rPr>
              <w:t>测点编号</w:t>
            </w:r>
          </w:p>
        </w:tc>
        <w:tc>
          <w:tcPr>
            <w:tcW w:w="2950" w:type="dxa"/>
            <w:vAlign w:val="center"/>
          </w:tcPr>
          <w:p>
            <w:pPr>
              <w:spacing w:line="240" w:lineRule="auto"/>
              <w:ind w:firstLine="0" w:firstLineChars="0"/>
              <w:jc w:val="center"/>
              <w:rPr>
                <w:rFonts w:cs="Times New Roman" w:hAnsiTheme="minorEastAsia"/>
                <w:color w:val="000000"/>
                <w:sz w:val="21"/>
                <w:szCs w:val="21"/>
              </w:rPr>
            </w:pPr>
            <w:r>
              <w:rPr>
                <w:rFonts w:hint="eastAsia" w:cs="Times New Roman" w:hAnsiTheme="minorEastAsia"/>
                <w:color w:val="000000"/>
                <w:sz w:val="21"/>
                <w:szCs w:val="21"/>
              </w:rPr>
              <w:t>监测项目</w:t>
            </w:r>
          </w:p>
        </w:tc>
        <w:tc>
          <w:tcPr>
            <w:tcW w:w="1417" w:type="dxa"/>
            <w:vAlign w:val="center"/>
          </w:tcPr>
          <w:p>
            <w:pPr>
              <w:spacing w:line="240" w:lineRule="auto"/>
              <w:ind w:firstLine="0" w:firstLineChars="0"/>
              <w:jc w:val="center"/>
              <w:rPr>
                <w:rFonts w:cs="Times New Roman" w:hAnsiTheme="minorEastAsia"/>
                <w:color w:val="000000"/>
                <w:sz w:val="21"/>
                <w:szCs w:val="21"/>
              </w:rPr>
            </w:pPr>
            <w:r>
              <w:rPr>
                <w:rFonts w:hint="eastAsia" w:cs="Times New Roman" w:hAnsiTheme="minorEastAsia"/>
                <w:color w:val="000000"/>
                <w:sz w:val="21"/>
                <w:szCs w:val="21"/>
              </w:rPr>
              <w:t>监测频次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05" w:hRule="atLeast"/>
          <w:jc w:val="center"/>
        </w:trPr>
        <w:tc>
          <w:tcPr>
            <w:tcW w:w="708" w:type="dxa"/>
            <w:vMerge w:val="restart"/>
            <w:vAlign w:val="center"/>
          </w:tcPr>
          <w:p>
            <w:pPr>
              <w:adjustRightInd w:val="0"/>
              <w:snapToGrid w:val="0"/>
              <w:spacing w:line="240" w:lineRule="auto"/>
              <w:ind w:firstLine="0" w:firstLineChars="0"/>
              <w:jc w:val="center"/>
              <w:rPr>
                <w:sz w:val="21"/>
                <w:szCs w:val="21"/>
              </w:rPr>
            </w:pPr>
            <w:r>
              <w:rPr>
                <w:sz w:val="21"/>
                <w:szCs w:val="21"/>
              </w:rPr>
              <w:t>厂界</w:t>
            </w:r>
          </w:p>
        </w:tc>
        <w:tc>
          <w:tcPr>
            <w:tcW w:w="2410" w:type="dxa"/>
            <w:vAlign w:val="center"/>
          </w:tcPr>
          <w:p>
            <w:pPr>
              <w:adjustRightInd w:val="0"/>
              <w:snapToGrid w:val="0"/>
              <w:spacing w:line="240" w:lineRule="auto"/>
              <w:ind w:firstLine="0" w:firstLineChars="0"/>
              <w:jc w:val="center"/>
              <w:rPr>
                <w:sz w:val="21"/>
                <w:szCs w:val="21"/>
              </w:rPr>
            </w:pPr>
            <w:r>
              <w:rPr>
                <w:sz w:val="21"/>
                <w:szCs w:val="21"/>
              </w:rPr>
              <w:t>上风向边界外对照点</w:t>
            </w:r>
          </w:p>
        </w:tc>
        <w:tc>
          <w:tcPr>
            <w:tcW w:w="1460" w:type="dxa"/>
            <w:vAlign w:val="center"/>
          </w:tcPr>
          <w:p>
            <w:pPr>
              <w:adjustRightInd w:val="0"/>
              <w:snapToGrid w:val="0"/>
              <w:spacing w:line="240" w:lineRule="auto"/>
              <w:ind w:firstLine="0" w:firstLineChars="0"/>
              <w:jc w:val="center"/>
              <w:rPr>
                <w:sz w:val="21"/>
                <w:szCs w:val="21"/>
              </w:rPr>
            </w:pPr>
            <w:r>
              <w:rPr>
                <w:sz w:val="21"/>
                <w:szCs w:val="21"/>
              </w:rPr>
              <w:t>○1</w:t>
            </w:r>
          </w:p>
        </w:tc>
        <w:tc>
          <w:tcPr>
            <w:tcW w:w="2950" w:type="dxa"/>
            <w:vMerge w:val="restart"/>
            <w:vAlign w:val="center"/>
          </w:tcPr>
          <w:p>
            <w:pPr>
              <w:adjustRightInd w:val="0"/>
              <w:snapToGrid w:val="0"/>
              <w:spacing w:line="240" w:lineRule="auto"/>
              <w:ind w:firstLine="0" w:firstLineChars="0"/>
              <w:jc w:val="center"/>
              <w:rPr>
                <w:sz w:val="21"/>
                <w:szCs w:val="21"/>
              </w:rPr>
            </w:pPr>
            <w:r>
              <w:rPr>
                <w:rFonts w:hint="eastAsia"/>
                <w:sz w:val="21"/>
                <w:szCs w:val="21"/>
              </w:rPr>
              <w:t>总</w:t>
            </w:r>
            <w:r>
              <w:rPr>
                <w:sz w:val="21"/>
                <w:szCs w:val="21"/>
              </w:rPr>
              <w:t>VOCs</w:t>
            </w:r>
            <w:r>
              <w:rPr>
                <w:rFonts w:hint="eastAsia"/>
                <w:sz w:val="21"/>
                <w:szCs w:val="21"/>
              </w:rPr>
              <w:t>、</w:t>
            </w:r>
            <w:r>
              <w:rPr>
                <w:rFonts w:hint="eastAsia" w:cs="Times New Roman"/>
                <w:sz w:val="21"/>
                <w:szCs w:val="21"/>
              </w:rPr>
              <w:t>颗粒物、</w:t>
            </w:r>
            <w:r>
              <w:rPr>
                <w:rFonts w:hint="eastAsia"/>
                <w:sz w:val="21"/>
                <w:szCs w:val="21"/>
              </w:rPr>
              <w:t>气象参数（风向、风速、大气压、温度、湿度）。</w:t>
            </w:r>
          </w:p>
        </w:tc>
        <w:tc>
          <w:tcPr>
            <w:tcW w:w="1417" w:type="dxa"/>
            <w:vMerge w:val="restart"/>
            <w:vAlign w:val="center"/>
          </w:tcPr>
          <w:p>
            <w:pPr>
              <w:adjustRightInd w:val="0"/>
              <w:snapToGrid w:val="0"/>
              <w:spacing w:line="240" w:lineRule="auto"/>
              <w:ind w:firstLine="0" w:firstLineChars="0"/>
              <w:jc w:val="center"/>
              <w:rPr>
                <w:sz w:val="21"/>
                <w:szCs w:val="21"/>
              </w:rPr>
            </w:pPr>
            <w:r>
              <w:rPr>
                <w:sz w:val="21"/>
                <w:szCs w:val="21"/>
              </w:rPr>
              <w:t>3次/天，2天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7" w:hRule="atLeast"/>
          <w:jc w:val="center"/>
        </w:trPr>
        <w:tc>
          <w:tcPr>
            <w:tcW w:w="708" w:type="dxa"/>
            <w:vMerge w:val="continue"/>
            <w:vAlign w:val="center"/>
          </w:tcPr>
          <w:p>
            <w:pPr>
              <w:adjustRightInd w:val="0"/>
              <w:snapToGrid w:val="0"/>
              <w:spacing w:line="240" w:lineRule="auto"/>
              <w:ind w:firstLine="0" w:firstLineChars="0"/>
              <w:jc w:val="center"/>
              <w:rPr>
                <w:sz w:val="21"/>
                <w:szCs w:val="21"/>
              </w:rPr>
            </w:pPr>
          </w:p>
        </w:tc>
        <w:tc>
          <w:tcPr>
            <w:tcW w:w="2410" w:type="dxa"/>
            <w:vAlign w:val="center"/>
          </w:tcPr>
          <w:p>
            <w:pPr>
              <w:adjustRightInd w:val="0"/>
              <w:snapToGrid w:val="0"/>
              <w:spacing w:line="240" w:lineRule="auto"/>
              <w:ind w:firstLine="0" w:firstLineChars="0"/>
              <w:jc w:val="center"/>
              <w:rPr>
                <w:sz w:val="21"/>
                <w:szCs w:val="21"/>
              </w:rPr>
            </w:pPr>
            <w:r>
              <w:rPr>
                <w:sz w:val="21"/>
                <w:szCs w:val="21"/>
              </w:rPr>
              <w:t>下风向边界外监控点</w:t>
            </w:r>
          </w:p>
        </w:tc>
        <w:tc>
          <w:tcPr>
            <w:tcW w:w="1460" w:type="dxa"/>
            <w:vAlign w:val="center"/>
          </w:tcPr>
          <w:p>
            <w:pPr>
              <w:adjustRightInd w:val="0"/>
              <w:snapToGrid w:val="0"/>
              <w:spacing w:line="240" w:lineRule="auto"/>
              <w:ind w:firstLine="0" w:firstLineChars="0"/>
              <w:jc w:val="center"/>
              <w:rPr>
                <w:sz w:val="21"/>
                <w:szCs w:val="21"/>
              </w:rPr>
            </w:pPr>
            <w:r>
              <w:rPr>
                <w:sz w:val="21"/>
                <w:szCs w:val="21"/>
              </w:rPr>
              <w:t>○2、○3</w:t>
            </w:r>
            <w:r>
              <w:rPr>
                <w:rFonts w:hint="eastAsia"/>
                <w:sz w:val="21"/>
                <w:szCs w:val="21"/>
              </w:rPr>
              <w:t>、</w:t>
            </w:r>
            <w:r>
              <w:rPr>
                <w:sz w:val="21"/>
                <w:szCs w:val="21"/>
              </w:rPr>
              <w:t>○4</w:t>
            </w:r>
          </w:p>
        </w:tc>
        <w:tc>
          <w:tcPr>
            <w:tcW w:w="2950" w:type="dxa"/>
            <w:vMerge w:val="continue"/>
            <w:vAlign w:val="center"/>
          </w:tcPr>
          <w:p>
            <w:pPr>
              <w:adjustRightInd w:val="0"/>
              <w:snapToGrid w:val="0"/>
              <w:spacing w:line="240" w:lineRule="auto"/>
              <w:ind w:firstLine="0" w:firstLineChars="0"/>
              <w:jc w:val="center"/>
              <w:rPr>
                <w:sz w:val="21"/>
                <w:szCs w:val="21"/>
              </w:rPr>
            </w:pPr>
          </w:p>
        </w:tc>
        <w:tc>
          <w:tcPr>
            <w:tcW w:w="1417" w:type="dxa"/>
            <w:vMerge w:val="continue"/>
            <w:vAlign w:val="center"/>
          </w:tcPr>
          <w:p>
            <w:pPr>
              <w:adjustRightInd w:val="0"/>
              <w:snapToGrid w:val="0"/>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1" w:hRule="atLeast"/>
          <w:jc w:val="center"/>
        </w:trPr>
        <w:tc>
          <w:tcPr>
            <w:tcW w:w="708" w:type="dxa"/>
            <w:vAlign w:val="center"/>
          </w:tcPr>
          <w:p>
            <w:pPr>
              <w:adjustRightInd w:val="0"/>
              <w:snapToGrid w:val="0"/>
              <w:spacing w:line="240" w:lineRule="auto"/>
              <w:ind w:firstLine="0" w:firstLineChars="0"/>
              <w:jc w:val="center"/>
              <w:rPr>
                <w:sz w:val="21"/>
                <w:szCs w:val="21"/>
              </w:rPr>
            </w:pPr>
            <w:r>
              <w:rPr>
                <w:sz w:val="21"/>
                <w:szCs w:val="21"/>
              </w:rPr>
              <w:t>备注</w:t>
            </w:r>
          </w:p>
        </w:tc>
        <w:tc>
          <w:tcPr>
            <w:tcW w:w="8237" w:type="dxa"/>
            <w:gridSpan w:val="4"/>
            <w:vAlign w:val="center"/>
          </w:tcPr>
          <w:p>
            <w:pPr>
              <w:adjustRightInd w:val="0"/>
              <w:snapToGrid w:val="0"/>
              <w:spacing w:line="240" w:lineRule="auto"/>
              <w:ind w:firstLine="0" w:firstLineChars="0"/>
              <w:jc w:val="left"/>
              <w:rPr>
                <w:bCs/>
                <w:sz w:val="21"/>
                <w:szCs w:val="21"/>
              </w:rPr>
            </w:pPr>
            <w:r>
              <w:rPr>
                <w:rFonts w:hAnsi="宋体" w:eastAsia="宋体" w:cs="Times New Roman"/>
                <w:sz w:val="21"/>
                <w:szCs w:val="21"/>
              </w:rPr>
              <w:t>颗粒物执行广东省地方标准《大气污染物排放限值》（DB44/27-2001）第二时段中无组织排放监控浓度限值；VOCs污染因子排放限值参照广东省地方标准《家具制造行业挥发性有机化合物排放标准》（DB44/814-2010）表1</w:t>
            </w:r>
            <w:r>
              <w:rPr>
                <w:rFonts w:hint="eastAsia" w:hAnsi="宋体" w:eastAsia="宋体" w:cs="Times New Roman"/>
                <w:sz w:val="21"/>
                <w:szCs w:val="21"/>
              </w:rPr>
              <w:t>无组织</w:t>
            </w:r>
            <w:r>
              <w:rPr>
                <w:rFonts w:hAnsi="宋体" w:eastAsia="宋体" w:cs="Times New Roman"/>
                <w:sz w:val="21"/>
                <w:szCs w:val="21"/>
              </w:rPr>
              <w:t>排放监控限值。</w:t>
            </w:r>
          </w:p>
        </w:tc>
      </w:tr>
    </w:tbl>
    <w:p>
      <w:pPr>
        <w:pStyle w:val="4"/>
        <w:rPr>
          <w:szCs w:val="21"/>
        </w:rPr>
      </w:pPr>
      <w:bookmarkStart w:id="79" w:name="_Toc72396095"/>
      <w:r>
        <w:t>7.1.3</w:t>
      </w:r>
      <w:r>
        <w:rPr>
          <w:rFonts w:hAnsiTheme="minorEastAsia"/>
        </w:rPr>
        <w:t>厂界噪声监测</w:t>
      </w:r>
      <w:bookmarkEnd w:id="79"/>
    </w:p>
    <w:bookmarkEnd w:id="78"/>
    <w:p>
      <w:pPr>
        <w:ind w:firstLine="480"/>
        <w:rPr>
          <w:bCs/>
          <w:szCs w:val="24"/>
        </w:rPr>
      </w:pPr>
      <w:r>
        <w:rPr>
          <w:rFonts w:hint="eastAsia"/>
          <w:bCs/>
          <w:szCs w:val="24"/>
        </w:rPr>
        <w:t>噪声</w:t>
      </w:r>
      <w:r>
        <w:rPr>
          <w:bCs/>
          <w:szCs w:val="24"/>
        </w:rPr>
        <w:t>监测内容</w:t>
      </w:r>
      <w:r>
        <w:rPr>
          <w:rFonts w:hint="eastAsia"/>
          <w:bCs/>
          <w:szCs w:val="24"/>
        </w:rPr>
        <w:t>点位、项目频次见下表，监测点位见图7.1-1：</w:t>
      </w:r>
    </w:p>
    <w:p>
      <w:pPr>
        <w:autoSpaceDE w:val="0"/>
        <w:autoSpaceDN w:val="0"/>
        <w:ind w:firstLine="0" w:firstLineChars="0"/>
        <w:jc w:val="center"/>
        <w:rPr>
          <w:rFonts w:cs="Times New Roman" w:hAnsiTheme="minorEastAsia"/>
          <w:b/>
          <w:color w:val="000000"/>
          <w:szCs w:val="24"/>
        </w:rPr>
      </w:pPr>
      <w:r>
        <w:rPr>
          <w:rFonts w:hint="eastAsia" w:cs="Times New Roman" w:hAnsiTheme="minorEastAsia"/>
          <w:b/>
          <w:color w:val="000000"/>
          <w:szCs w:val="24"/>
        </w:rPr>
        <w:t>表7.1-4 噪声监测内容</w:t>
      </w:r>
    </w:p>
    <w:tbl>
      <w:tblPr>
        <w:tblStyle w:val="26"/>
        <w:tblW w:w="9085"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4111"/>
        <w:gridCol w:w="35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84" w:type="dxa"/>
            <w:vAlign w:val="center"/>
          </w:tcPr>
          <w:p>
            <w:pPr>
              <w:ind w:firstLine="0" w:firstLineChars="0"/>
              <w:jc w:val="center"/>
              <w:rPr>
                <w:sz w:val="21"/>
                <w:szCs w:val="21"/>
              </w:rPr>
            </w:pPr>
            <w:r>
              <w:rPr>
                <w:sz w:val="21"/>
                <w:szCs w:val="21"/>
              </w:rPr>
              <w:t>监测因子</w:t>
            </w:r>
          </w:p>
        </w:tc>
        <w:tc>
          <w:tcPr>
            <w:tcW w:w="4111" w:type="dxa"/>
            <w:vAlign w:val="center"/>
          </w:tcPr>
          <w:p>
            <w:pPr>
              <w:ind w:firstLine="0" w:firstLineChars="0"/>
              <w:jc w:val="center"/>
              <w:rPr>
                <w:sz w:val="21"/>
                <w:szCs w:val="21"/>
              </w:rPr>
            </w:pPr>
            <w:r>
              <w:rPr>
                <w:sz w:val="21"/>
                <w:szCs w:val="21"/>
              </w:rPr>
              <w:t>监测点位</w:t>
            </w:r>
          </w:p>
        </w:tc>
        <w:tc>
          <w:tcPr>
            <w:tcW w:w="3590" w:type="dxa"/>
            <w:vAlign w:val="center"/>
          </w:tcPr>
          <w:p>
            <w:pPr>
              <w:ind w:firstLine="0" w:firstLineChars="0"/>
              <w:jc w:val="center"/>
              <w:rPr>
                <w:sz w:val="21"/>
                <w:szCs w:val="21"/>
              </w:rPr>
            </w:pPr>
            <w:r>
              <w:rPr>
                <w:sz w:val="21"/>
                <w:szCs w:val="21"/>
              </w:rPr>
              <w:t>监测频次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84" w:type="dxa"/>
            <w:vAlign w:val="center"/>
          </w:tcPr>
          <w:p>
            <w:pPr>
              <w:spacing w:line="240" w:lineRule="auto"/>
              <w:ind w:firstLine="0" w:firstLineChars="0"/>
              <w:jc w:val="center"/>
              <w:rPr>
                <w:sz w:val="21"/>
                <w:szCs w:val="21"/>
              </w:rPr>
            </w:pPr>
            <w:r>
              <w:rPr>
                <w:sz w:val="21"/>
                <w:szCs w:val="21"/>
              </w:rPr>
              <w:t>Leq[dB(A)]</w:t>
            </w:r>
          </w:p>
        </w:tc>
        <w:tc>
          <w:tcPr>
            <w:tcW w:w="4111" w:type="dxa"/>
            <w:vAlign w:val="center"/>
          </w:tcPr>
          <w:p>
            <w:pPr>
              <w:spacing w:line="240" w:lineRule="auto"/>
              <w:ind w:firstLine="0" w:firstLineChars="0"/>
              <w:jc w:val="center"/>
              <w:rPr>
                <w:sz w:val="21"/>
                <w:szCs w:val="21"/>
              </w:rPr>
            </w:pPr>
            <w:r>
              <w:rPr>
                <w:sz w:val="21"/>
                <w:szCs w:val="21"/>
              </w:rPr>
              <w:t>厂界四周</w:t>
            </w:r>
          </w:p>
        </w:tc>
        <w:tc>
          <w:tcPr>
            <w:tcW w:w="3590" w:type="dxa"/>
            <w:vAlign w:val="center"/>
          </w:tcPr>
          <w:p>
            <w:pPr>
              <w:spacing w:line="240" w:lineRule="auto"/>
              <w:ind w:firstLine="0" w:firstLineChars="0"/>
              <w:jc w:val="center"/>
              <w:rPr>
                <w:sz w:val="21"/>
                <w:szCs w:val="21"/>
              </w:rPr>
            </w:pPr>
            <w:r>
              <w:rPr>
                <w:sz w:val="21"/>
                <w:szCs w:val="21"/>
              </w:rPr>
              <w:t>每天昼</w:t>
            </w:r>
            <w:r>
              <w:rPr>
                <w:rFonts w:hint="eastAsia"/>
                <w:sz w:val="21"/>
                <w:szCs w:val="21"/>
              </w:rPr>
              <w:t>夜</w:t>
            </w:r>
            <w:r>
              <w:rPr>
                <w:sz w:val="21"/>
                <w:szCs w:val="21"/>
              </w:rPr>
              <w:t>各1次，连续2天。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6" w:hRule="atLeast"/>
          <w:jc w:val="center"/>
        </w:trPr>
        <w:tc>
          <w:tcPr>
            <w:tcW w:w="1384" w:type="dxa"/>
            <w:vAlign w:val="center"/>
          </w:tcPr>
          <w:p>
            <w:pPr>
              <w:spacing w:line="240" w:lineRule="auto"/>
              <w:ind w:firstLine="0" w:firstLineChars="0"/>
              <w:jc w:val="center"/>
              <w:rPr>
                <w:sz w:val="21"/>
                <w:szCs w:val="21"/>
              </w:rPr>
            </w:pPr>
            <w:r>
              <w:rPr>
                <w:sz w:val="21"/>
                <w:szCs w:val="21"/>
              </w:rPr>
              <w:t>备注</w:t>
            </w:r>
          </w:p>
        </w:tc>
        <w:tc>
          <w:tcPr>
            <w:tcW w:w="7701" w:type="dxa"/>
            <w:gridSpan w:val="2"/>
            <w:vAlign w:val="center"/>
          </w:tcPr>
          <w:p>
            <w:pPr>
              <w:spacing w:line="240" w:lineRule="auto"/>
              <w:ind w:firstLine="0" w:firstLineChars="0"/>
              <w:jc w:val="left"/>
              <w:rPr>
                <w:rFonts w:hAnsi="宋体" w:eastAsia="宋体" w:cs="Times New Roman"/>
                <w:sz w:val="21"/>
                <w:szCs w:val="21"/>
              </w:rPr>
            </w:pPr>
            <w:r>
              <w:rPr>
                <w:rFonts w:hint="eastAsia" w:hAnsi="宋体" w:eastAsia="宋体" w:cs="Times New Roman"/>
                <w:sz w:val="21"/>
                <w:szCs w:val="21"/>
              </w:rPr>
              <w:t>东面执行《工业企业厂界环境噪声排放标准》</w:t>
            </w:r>
            <w:r>
              <w:rPr>
                <w:rFonts w:hAnsi="宋体" w:eastAsia="宋体" w:cs="Times New Roman"/>
                <w:sz w:val="21"/>
                <w:szCs w:val="21"/>
              </w:rPr>
              <w:t>（GB12348-2008）</w:t>
            </w:r>
            <w:r>
              <w:rPr>
                <w:rFonts w:hint="eastAsia" w:hAnsi="宋体" w:eastAsia="宋体" w:cs="Times New Roman"/>
                <w:sz w:val="21"/>
                <w:szCs w:val="21"/>
              </w:rPr>
              <w:t>4类标准，其他2类标准。</w:t>
            </w:r>
          </w:p>
        </w:tc>
      </w:tr>
    </w:tbl>
    <w:p>
      <w:pPr>
        <w:autoSpaceDE w:val="0"/>
        <w:autoSpaceDN w:val="0"/>
        <w:spacing w:line="240" w:lineRule="auto"/>
        <w:ind w:firstLine="0" w:firstLineChars="0"/>
        <w:jc w:val="center"/>
        <w:rPr>
          <w:rFonts w:cs="Times New Roman"/>
          <w:b/>
          <w:color w:val="000000"/>
          <w:kern w:val="0"/>
          <w:szCs w:val="21"/>
        </w:rPr>
      </w:pPr>
      <w:r>
        <w:rPr>
          <w:rFonts w:cs="Times New Roman"/>
          <w:b/>
          <w:color w:val="000000"/>
          <w:kern w:val="0"/>
          <w:szCs w:val="21"/>
        </w:rPr>
        <w:drawing>
          <wp:inline distT="0" distB="0" distL="0" distR="0">
            <wp:extent cx="5274310" cy="30543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srcRect/>
                    <a:stretch>
                      <a:fillRect/>
                    </a:stretch>
                  </pic:blipFill>
                  <pic:spPr>
                    <a:xfrm>
                      <a:off x="0" y="0"/>
                      <a:ext cx="5274310" cy="3054401"/>
                    </a:xfrm>
                    <a:prstGeom prst="rect">
                      <a:avLst/>
                    </a:prstGeom>
                    <a:noFill/>
                    <a:ln w="9525">
                      <a:noFill/>
                      <a:miter lim="800000"/>
                      <a:headEnd/>
                      <a:tailEnd/>
                    </a:ln>
                  </pic:spPr>
                </pic:pic>
              </a:graphicData>
            </a:graphic>
          </wp:inline>
        </w:drawing>
      </w:r>
    </w:p>
    <w:p>
      <w:pPr>
        <w:autoSpaceDE w:val="0"/>
        <w:autoSpaceDN w:val="0"/>
        <w:spacing w:line="240" w:lineRule="auto"/>
        <w:ind w:firstLine="0" w:firstLineChars="0"/>
        <w:jc w:val="center"/>
        <w:rPr>
          <w:rFonts w:cs="Times New Roman"/>
          <w:b/>
          <w:color w:val="000000"/>
          <w:kern w:val="0"/>
          <w:szCs w:val="21"/>
        </w:rPr>
      </w:pPr>
      <w:r>
        <w:rPr>
          <w:rFonts w:hint="eastAsia" w:cs="Times New Roman"/>
          <w:b/>
          <w:color w:val="000000"/>
          <w:kern w:val="0"/>
          <w:szCs w:val="21"/>
        </w:rPr>
        <w:t>图7.1-1</w:t>
      </w:r>
      <w:r>
        <w:rPr>
          <w:rFonts w:cs="Times New Roman"/>
          <w:b/>
          <w:color w:val="000000"/>
          <w:kern w:val="0"/>
          <w:szCs w:val="21"/>
        </w:rPr>
        <w:t>检测点位示意图</w:t>
      </w:r>
    </w:p>
    <w:p>
      <w:pPr>
        <w:pStyle w:val="3"/>
      </w:pPr>
      <w:bookmarkStart w:id="80" w:name="_Toc531082175"/>
      <w:bookmarkStart w:id="81" w:name="_Toc72396096"/>
      <w:r>
        <w:rPr>
          <w:rFonts w:hint="eastAsia"/>
        </w:rPr>
        <w:t>7.2质量保障体系</w:t>
      </w:r>
      <w:bookmarkEnd w:id="80"/>
      <w:bookmarkEnd w:id="81"/>
    </w:p>
    <w:p>
      <w:pPr>
        <w:widowControl/>
        <w:ind w:firstLine="480"/>
      </w:pPr>
      <w:r>
        <w:rPr>
          <w:rFonts w:hint="eastAsia"/>
        </w:rPr>
        <w:t>（1）严格按照《环境监测技术规范》和有关环境检测质量保证的要求进行样品采集、保存、分析等，全程进行质量控制。</w:t>
      </w:r>
    </w:p>
    <w:p>
      <w:pPr>
        <w:widowControl/>
        <w:ind w:firstLine="480"/>
      </w:pPr>
      <w:r>
        <w:rPr>
          <w:rFonts w:hint="eastAsia"/>
        </w:rPr>
        <w:t>（2）参加本项目检测人员均持证上岗，检测仪器均经计量部门检定合格并在有效期内。</w:t>
      </w:r>
    </w:p>
    <w:p>
      <w:pPr>
        <w:widowControl/>
        <w:ind w:firstLine="480"/>
      </w:pPr>
      <w:r>
        <w:rPr>
          <w:rFonts w:hint="eastAsia"/>
        </w:rPr>
        <w:t>（3）废气采样前对仪器流量计进行校准，并检查气密性；采样和分析过程严格按照《大气污染物综合排放标准》（GB16297-1996）和《空气和废气监测分析方法》（第四版）的要求进行。</w:t>
      </w:r>
    </w:p>
    <w:p>
      <w:pPr>
        <w:widowControl/>
        <w:ind w:firstLine="480"/>
        <w:rPr>
          <w:bCs/>
          <w:szCs w:val="24"/>
        </w:rPr>
      </w:pPr>
      <w:r>
        <w:rPr>
          <w:rFonts w:hint="eastAsia"/>
          <w:bCs/>
          <w:szCs w:val="24"/>
        </w:rPr>
        <w:t>（4）</w:t>
      </w:r>
      <w:r>
        <w:rPr>
          <w:bCs/>
          <w:szCs w:val="24"/>
        </w:rPr>
        <w:t>水样的采集、运输、保存、实验室分析和数据计算的全过程均按照</w:t>
      </w:r>
      <w:r>
        <w:rPr>
          <w:rFonts w:hint="eastAsia"/>
          <w:bCs/>
          <w:szCs w:val="24"/>
        </w:rPr>
        <w:t>《地表水和污水监测技术规范》（HJ/T91-2002）、《水质 采样技术指导》（HJ494-2009）、</w:t>
      </w:r>
      <w:r>
        <w:rPr>
          <w:bCs/>
          <w:szCs w:val="24"/>
        </w:rPr>
        <w:t>《环境水质监测质量保证手册》（第</w:t>
      </w:r>
      <w:r>
        <w:rPr>
          <w:rFonts w:hint="eastAsia"/>
          <w:bCs/>
          <w:szCs w:val="24"/>
        </w:rPr>
        <w:t>二</w:t>
      </w:r>
      <w:r>
        <w:rPr>
          <w:bCs/>
          <w:szCs w:val="24"/>
        </w:rPr>
        <w:t>版）</w:t>
      </w:r>
      <w:r>
        <w:rPr>
          <w:rFonts w:hint="eastAsia"/>
          <w:bCs/>
          <w:szCs w:val="24"/>
        </w:rPr>
        <w:t>等规范</w:t>
      </w:r>
      <w:r>
        <w:rPr>
          <w:bCs/>
          <w:szCs w:val="24"/>
        </w:rPr>
        <w:t>的要求进行。</w:t>
      </w:r>
    </w:p>
    <w:p>
      <w:pPr>
        <w:widowControl/>
        <w:ind w:firstLine="480"/>
        <w:jc w:val="left"/>
      </w:pPr>
      <w:r>
        <w:rPr>
          <w:rFonts w:hint="eastAsia"/>
        </w:rPr>
        <w:t>（5）声级计测量前后均经标准声源校准且合格，测试时无雨雪，无雷电，风速小于5.0m/s。</w:t>
      </w:r>
    </w:p>
    <w:p>
      <w:pPr>
        <w:ind w:firstLine="480"/>
      </w:pPr>
      <w:r>
        <w:rPr>
          <w:rFonts w:hint="eastAsia"/>
        </w:rPr>
        <w:t>（6）检测数据严格执行三级审核制度。</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2"/>
        <w:rPr>
          <w:szCs w:val="21"/>
        </w:rPr>
      </w:pPr>
      <w:bookmarkStart w:id="82" w:name="_Toc531082176"/>
      <w:bookmarkStart w:id="83" w:name="_Toc72396097"/>
      <w:r>
        <w:rPr>
          <w:rFonts w:hint="eastAsia"/>
        </w:rPr>
        <w:t>8</w:t>
      </w:r>
      <w:r>
        <w:t>验收监测结果</w:t>
      </w:r>
      <w:bookmarkEnd w:id="82"/>
      <w:bookmarkEnd w:id="83"/>
    </w:p>
    <w:p>
      <w:pPr>
        <w:pStyle w:val="3"/>
        <w:rPr>
          <w:rFonts w:hAnsiTheme="minorEastAsia"/>
        </w:rPr>
      </w:pPr>
      <w:bookmarkStart w:id="84" w:name="_Toc531082177"/>
      <w:bookmarkStart w:id="85" w:name="_Toc72396098"/>
      <w:r>
        <w:rPr>
          <w:rFonts w:hint="eastAsia"/>
        </w:rPr>
        <w:t>8</w:t>
      </w:r>
      <w:r>
        <w:t>.</w:t>
      </w:r>
      <w:r>
        <w:rPr>
          <w:rFonts w:hint="eastAsia"/>
        </w:rPr>
        <w:t>1</w:t>
      </w:r>
      <w:r>
        <w:rPr>
          <w:rFonts w:hint="eastAsia" w:hAnsiTheme="minorEastAsia"/>
        </w:rPr>
        <w:t>废气检测</w:t>
      </w:r>
      <w:bookmarkEnd w:id="84"/>
      <w:bookmarkEnd w:id="85"/>
    </w:p>
    <w:p>
      <w:pPr>
        <w:pStyle w:val="4"/>
      </w:pPr>
      <w:bookmarkStart w:id="86" w:name="_Toc72396099"/>
      <w:r>
        <w:rPr>
          <w:rFonts w:hint="eastAsia"/>
        </w:rPr>
        <w:t>8.1.1无组织废气检测结果</w:t>
      </w:r>
      <w:bookmarkEnd w:id="86"/>
    </w:p>
    <w:p>
      <w:pPr>
        <w:ind w:firstLine="0" w:firstLineChars="0"/>
        <w:jc w:val="center"/>
        <w:rPr>
          <w:b/>
        </w:rPr>
      </w:pPr>
      <w:r>
        <w:rPr>
          <w:rFonts w:hint="eastAsia"/>
          <w:b/>
        </w:rPr>
        <w:t>表8.1-1气象参数表</w:t>
      </w:r>
    </w:p>
    <w:tbl>
      <w:tblPr>
        <w:tblStyle w:val="26"/>
        <w:tblW w:w="8380" w:type="dxa"/>
        <w:jc w:val="center"/>
        <w:tblInd w:w="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56"/>
        <w:gridCol w:w="1192"/>
        <w:gridCol w:w="1276"/>
        <w:gridCol w:w="992"/>
        <w:gridCol w:w="993"/>
        <w:gridCol w:w="992"/>
        <w:gridCol w:w="875"/>
        <w:gridCol w:w="10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Align w:val="center"/>
          </w:tcPr>
          <w:p>
            <w:pPr>
              <w:spacing w:line="240" w:lineRule="auto"/>
              <w:ind w:firstLine="0" w:firstLineChars="0"/>
              <w:jc w:val="center"/>
              <w:rPr>
                <w:sz w:val="21"/>
                <w:szCs w:val="21"/>
              </w:rPr>
            </w:pPr>
            <w:r>
              <w:rPr>
                <w:rFonts w:hint="eastAsia"/>
                <w:sz w:val="21"/>
                <w:szCs w:val="21"/>
              </w:rPr>
              <w:t>监测日期</w:t>
            </w:r>
          </w:p>
        </w:tc>
        <w:tc>
          <w:tcPr>
            <w:tcW w:w="1192" w:type="dxa"/>
            <w:vAlign w:val="center"/>
          </w:tcPr>
          <w:p>
            <w:pPr>
              <w:spacing w:line="240" w:lineRule="auto"/>
              <w:ind w:firstLine="0" w:firstLineChars="0"/>
              <w:jc w:val="center"/>
              <w:rPr>
                <w:sz w:val="21"/>
                <w:szCs w:val="21"/>
              </w:rPr>
            </w:pPr>
            <w:r>
              <w:rPr>
                <w:rFonts w:hint="eastAsia"/>
                <w:sz w:val="21"/>
                <w:szCs w:val="21"/>
              </w:rPr>
              <w:t>检测点位</w:t>
            </w:r>
          </w:p>
        </w:tc>
        <w:tc>
          <w:tcPr>
            <w:tcW w:w="1276" w:type="dxa"/>
            <w:vAlign w:val="center"/>
          </w:tcPr>
          <w:p>
            <w:pPr>
              <w:spacing w:line="240" w:lineRule="auto"/>
              <w:ind w:firstLine="0" w:firstLineChars="0"/>
              <w:jc w:val="center"/>
              <w:rPr>
                <w:sz w:val="21"/>
                <w:szCs w:val="21"/>
              </w:rPr>
            </w:pPr>
            <w:r>
              <w:rPr>
                <w:rFonts w:hint="eastAsia"/>
                <w:sz w:val="21"/>
                <w:szCs w:val="21"/>
              </w:rPr>
              <w:t>检测频次</w:t>
            </w:r>
          </w:p>
        </w:tc>
        <w:tc>
          <w:tcPr>
            <w:tcW w:w="992" w:type="dxa"/>
            <w:vAlign w:val="center"/>
          </w:tcPr>
          <w:p>
            <w:pPr>
              <w:spacing w:line="240" w:lineRule="auto"/>
              <w:ind w:firstLine="0" w:firstLineChars="0"/>
              <w:jc w:val="center"/>
              <w:rPr>
                <w:sz w:val="21"/>
                <w:szCs w:val="21"/>
              </w:rPr>
            </w:pPr>
            <w:r>
              <w:rPr>
                <w:rFonts w:hint="eastAsia"/>
                <w:sz w:val="21"/>
                <w:szCs w:val="21"/>
              </w:rPr>
              <w:t>风向</w:t>
            </w:r>
          </w:p>
        </w:tc>
        <w:tc>
          <w:tcPr>
            <w:tcW w:w="993" w:type="dxa"/>
            <w:vAlign w:val="center"/>
          </w:tcPr>
          <w:p>
            <w:pPr>
              <w:spacing w:line="240" w:lineRule="auto"/>
              <w:ind w:firstLine="0" w:firstLineChars="0"/>
              <w:jc w:val="center"/>
              <w:rPr>
                <w:sz w:val="21"/>
                <w:szCs w:val="21"/>
              </w:rPr>
            </w:pPr>
            <w:r>
              <w:rPr>
                <w:rFonts w:hint="eastAsia"/>
                <w:sz w:val="21"/>
                <w:szCs w:val="21"/>
              </w:rPr>
              <w:t>风速m/s</w:t>
            </w:r>
          </w:p>
        </w:tc>
        <w:tc>
          <w:tcPr>
            <w:tcW w:w="992" w:type="dxa"/>
            <w:vAlign w:val="center"/>
          </w:tcPr>
          <w:p>
            <w:pPr>
              <w:spacing w:line="240" w:lineRule="auto"/>
              <w:ind w:firstLine="0" w:firstLineChars="0"/>
              <w:jc w:val="center"/>
              <w:rPr>
                <w:sz w:val="21"/>
                <w:szCs w:val="21"/>
              </w:rPr>
            </w:pPr>
            <w:r>
              <w:rPr>
                <w:rFonts w:hint="eastAsia"/>
                <w:sz w:val="21"/>
                <w:szCs w:val="21"/>
              </w:rPr>
              <w:t>温度℃</w:t>
            </w:r>
          </w:p>
        </w:tc>
        <w:tc>
          <w:tcPr>
            <w:tcW w:w="875" w:type="dxa"/>
            <w:vAlign w:val="center"/>
          </w:tcPr>
          <w:p>
            <w:pPr>
              <w:spacing w:line="240" w:lineRule="auto"/>
              <w:ind w:firstLine="0" w:firstLineChars="0"/>
              <w:jc w:val="center"/>
              <w:rPr>
                <w:sz w:val="21"/>
                <w:szCs w:val="21"/>
              </w:rPr>
            </w:pPr>
            <w:r>
              <w:rPr>
                <w:rFonts w:hint="eastAsia"/>
                <w:sz w:val="21"/>
                <w:szCs w:val="21"/>
              </w:rPr>
              <w:t>湿度%</w:t>
            </w:r>
          </w:p>
        </w:tc>
        <w:tc>
          <w:tcPr>
            <w:tcW w:w="1004" w:type="dxa"/>
            <w:vAlign w:val="center"/>
          </w:tcPr>
          <w:p>
            <w:pPr>
              <w:spacing w:line="240" w:lineRule="auto"/>
              <w:ind w:firstLine="0" w:firstLineChars="0"/>
              <w:jc w:val="center"/>
              <w:rPr>
                <w:sz w:val="21"/>
                <w:szCs w:val="21"/>
              </w:rPr>
            </w:pPr>
            <w:r>
              <w:rPr>
                <w:rFonts w:hint="eastAsia"/>
                <w:sz w:val="21"/>
                <w:szCs w:val="21"/>
              </w:rPr>
              <w:t>气压kPa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restart"/>
            <w:vAlign w:val="center"/>
          </w:tcPr>
          <w:p>
            <w:pPr>
              <w:spacing w:line="240" w:lineRule="auto"/>
              <w:ind w:firstLine="0" w:firstLineChars="0"/>
              <w:jc w:val="center"/>
              <w:rPr>
                <w:sz w:val="21"/>
                <w:szCs w:val="21"/>
              </w:rPr>
            </w:pPr>
            <w:r>
              <w:rPr>
                <w:rFonts w:hint="eastAsia"/>
                <w:sz w:val="21"/>
                <w:szCs w:val="21"/>
              </w:rPr>
              <w:t>2021.4.16</w:t>
            </w:r>
          </w:p>
        </w:tc>
        <w:tc>
          <w:tcPr>
            <w:tcW w:w="1192" w:type="dxa"/>
            <w:vMerge w:val="restart"/>
            <w:vAlign w:val="center"/>
          </w:tcPr>
          <w:p>
            <w:pPr>
              <w:spacing w:line="240" w:lineRule="auto"/>
              <w:ind w:firstLine="0" w:firstLineChars="0"/>
              <w:jc w:val="center"/>
              <w:rPr>
                <w:sz w:val="21"/>
                <w:szCs w:val="21"/>
              </w:rPr>
            </w:pPr>
            <w:r>
              <w:rPr>
                <w:rFonts w:hint="eastAsia"/>
                <w:sz w:val="21"/>
                <w:szCs w:val="21"/>
              </w:rPr>
              <w:t>上风向参照点1#</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1.8</w:t>
            </w:r>
          </w:p>
        </w:tc>
        <w:tc>
          <w:tcPr>
            <w:tcW w:w="992" w:type="dxa"/>
            <w:vAlign w:val="center"/>
          </w:tcPr>
          <w:p>
            <w:pPr>
              <w:spacing w:line="240" w:lineRule="auto"/>
              <w:ind w:firstLine="0" w:firstLineChars="0"/>
              <w:jc w:val="center"/>
              <w:rPr>
                <w:sz w:val="21"/>
                <w:szCs w:val="21"/>
              </w:rPr>
            </w:pPr>
            <w:r>
              <w:rPr>
                <w:rFonts w:hint="eastAsia"/>
                <w:sz w:val="21"/>
                <w:szCs w:val="21"/>
              </w:rPr>
              <w:t>28.4</w:t>
            </w:r>
          </w:p>
        </w:tc>
        <w:tc>
          <w:tcPr>
            <w:tcW w:w="875" w:type="dxa"/>
            <w:vAlign w:val="center"/>
          </w:tcPr>
          <w:p>
            <w:pPr>
              <w:spacing w:line="240" w:lineRule="auto"/>
              <w:ind w:firstLine="0" w:firstLineChars="0"/>
              <w:jc w:val="center"/>
              <w:rPr>
                <w:sz w:val="21"/>
                <w:szCs w:val="21"/>
              </w:rPr>
            </w:pPr>
            <w:r>
              <w:rPr>
                <w:rFonts w:hint="eastAsia"/>
                <w:sz w:val="21"/>
                <w:szCs w:val="21"/>
              </w:rPr>
              <w:t>58.3</w:t>
            </w:r>
          </w:p>
        </w:tc>
        <w:tc>
          <w:tcPr>
            <w:tcW w:w="1004" w:type="dxa"/>
            <w:vAlign w:val="center"/>
          </w:tcPr>
          <w:p>
            <w:pPr>
              <w:spacing w:line="240" w:lineRule="auto"/>
              <w:ind w:firstLine="0" w:firstLineChars="0"/>
              <w:jc w:val="center"/>
              <w:rPr>
                <w:sz w:val="21"/>
                <w:szCs w:val="21"/>
              </w:rPr>
            </w:pPr>
            <w:r>
              <w:rPr>
                <w:rFonts w:hint="eastAsia"/>
                <w:sz w:val="21"/>
                <w:szCs w:val="21"/>
              </w:rPr>
              <w:t>99.8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25.3</w:t>
            </w:r>
          </w:p>
        </w:tc>
        <w:tc>
          <w:tcPr>
            <w:tcW w:w="875" w:type="dxa"/>
            <w:vAlign w:val="center"/>
          </w:tcPr>
          <w:p>
            <w:pPr>
              <w:spacing w:line="240" w:lineRule="auto"/>
              <w:ind w:firstLine="0" w:firstLineChars="0"/>
              <w:jc w:val="center"/>
              <w:rPr>
                <w:sz w:val="21"/>
                <w:szCs w:val="21"/>
              </w:rPr>
            </w:pPr>
            <w:r>
              <w:rPr>
                <w:rFonts w:hint="eastAsia"/>
                <w:sz w:val="21"/>
                <w:szCs w:val="21"/>
              </w:rPr>
              <w:t>60.3</w:t>
            </w:r>
          </w:p>
        </w:tc>
        <w:tc>
          <w:tcPr>
            <w:tcW w:w="1004" w:type="dxa"/>
            <w:vAlign w:val="center"/>
          </w:tcPr>
          <w:p>
            <w:pPr>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1.7</w:t>
            </w:r>
          </w:p>
        </w:tc>
        <w:tc>
          <w:tcPr>
            <w:tcW w:w="992" w:type="dxa"/>
            <w:vAlign w:val="center"/>
          </w:tcPr>
          <w:p>
            <w:pPr>
              <w:spacing w:line="240" w:lineRule="auto"/>
              <w:ind w:firstLine="0" w:firstLineChars="0"/>
              <w:jc w:val="center"/>
              <w:rPr>
                <w:sz w:val="21"/>
                <w:szCs w:val="21"/>
              </w:rPr>
            </w:pPr>
            <w:r>
              <w:rPr>
                <w:rFonts w:hint="eastAsia"/>
                <w:sz w:val="21"/>
                <w:szCs w:val="21"/>
              </w:rPr>
              <w:t>24.5</w:t>
            </w:r>
          </w:p>
        </w:tc>
        <w:tc>
          <w:tcPr>
            <w:tcW w:w="875" w:type="dxa"/>
            <w:vAlign w:val="center"/>
          </w:tcPr>
          <w:p>
            <w:pPr>
              <w:spacing w:line="240" w:lineRule="auto"/>
              <w:ind w:firstLine="0" w:firstLineChars="0"/>
              <w:jc w:val="center"/>
              <w:rPr>
                <w:sz w:val="21"/>
                <w:szCs w:val="21"/>
              </w:rPr>
            </w:pPr>
            <w:r>
              <w:rPr>
                <w:rFonts w:hint="eastAsia"/>
                <w:sz w:val="21"/>
                <w:szCs w:val="21"/>
              </w:rPr>
              <w:t>62.1</w:t>
            </w:r>
          </w:p>
        </w:tc>
        <w:tc>
          <w:tcPr>
            <w:tcW w:w="1004" w:type="dxa"/>
            <w:vAlign w:val="center"/>
          </w:tcPr>
          <w:p>
            <w:pPr>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下风向监控点2#</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1.8</w:t>
            </w:r>
          </w:p>
        </w:tc>
        <w:tc>
          <w:tcPr>
            <w:tcW w:w="992" w:type="dxa"/>
            <w:vAlign w:val="center"/>
          </w:tcPr>
          <w:p>
            <w:pPr>
              <w:spacing w:line="240" w:lineRule="auto"/>
              <w:ind w:firstLine="0" w:firstLineChars="0"/>
              <w:jc w:val="center"/>
              <w:rPr>
                <w:sz w:val="21"/>
                <w:szCs w:val="21"/>
              </w:rPr>
            </w:pPr>
            <w:r>
              <w:rPr>
                <w:rFonts w:hint="eastAsia"/>
                <w:sz w:val="21"/>
                <w:szCs w:val="21"/>
              </w:rPr>
              <w:t>28.4</w:t>
            </w:r>
          </w:p>
        </w:tc>
        <w:tc>
          <w:tcPr>
            <w:tcW w:w="875" w:type="dxa"/>
            <w:vAlign w:val="center"/>
          </w:tcPr>
          <w:p>
            <w:pPr>
              <w:spacing w:line="240" w:lineRule="auto"/>
              <w:ind w:firstLine="0" w:firstLineChars="0"/>
              <w:jc w:val="center"/>
              <w:rPr>
                <w:sz w:val="21"/>
                <w:szCs w:val="21"/>
              </w:rPr>
            </w:pPr>
            <w:r>
              <w:rPr>
                <w:rFonts w:hint="eastAsia"/>
                <w:sz w:val="21"/>
                <w:szCs w:val="21"/>
              </w:rPr>
              <w:t>58.3</w:t>
            </w:r>
          </w:p>
        </w:tc>
        <w:tc>
          <w:tcPr>
            <w:tcW w:w="1004" w:type="dxa"/>
            <w:vAlign w:val="center"/>
          </w:tcPr>
          <w:p>
            <w:pPr>
              <w:spacing w:line="240" w:lineRule="auto"/>
              <w:ind w:firstLine="0" w:firstLineChars="0"/>
              <w:jc w:val="center"/>
              <w:rPr>
                <w:sz w:val="21"/>
                <w:szCs w:val="21"/>
              </w:rPr>
            </w:pPr>
            <w:r>
              <w:rPr>
                <w:rFonts w:hint="eastAsia"/>
                <w:sz w:val="21"/>
                <w:szCs w:val="21"/>
              </w:rPr>
              <w:t>99.8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25.3</w:t>
            </w:r>
          </w:p>
        </w:tc>
        <w:tc>
          <w:tcPr>
            <w:tcW w:w="875" w:type="dxa"/>
            <w:vAlign w:val="center"/>
          </w:tcPr>
          <w:p>
            <w:pPr>
              <w:spacing w:line="240" w:lineRule="auto"/>
              <w:ind w:firstLine="0" w:firstLineChars="0"/>
              <w:jc w:val="center"/>
              <w:rPr>
                <w:sz w:val="21"/>
                <w:szCs w:val="21"/>
              </w:rPr>
            </w:pPr>
            <w:r>
              <w:rPr>
                <w:rFonts w:hint="eastAsia"/>
                <w:sz w:val="21"/>
                <w:szCs w:val="21"/>
              </w:rPr>
              <w:t>60.3</w:t>
            </w:r>
          </w:p>
        </w:tc>
        <w:tc>
          <w:tcPr>
            <w:tcW w:w="1004" w:type="dxa"/>
            <w:vAlign w:val="center"/>
          </w:tcPr>
          <w:p>
            <w:pPr>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1.7</w:t>
            </w:r>
          </w:p>
        </w:tc>
        <w:tc>
          <w:tcPr>
            <w:tcW w:w="992" w:type="dxa"/>
            <w:vAlign w:val="center"/>
          </w:tcPr>
          <w:p>
            <w:pPr>
              <w:spacing w:line="240" w:lineRule="auto"/>
              <w:ind w:firstLine="0" w:firstLineChars="0"/>
              <w:jc w:val="center"/>
              <w:rPr>
                <w:sz w:val="21"/>
                <w:szCs w:val="21"/>
              </w:rPr>
            </w:pPr>
            <w:r>
              <w:rPr>
                <w:rFonts w:hint="eastAsia"/>
                <w:sz w:val="21"/>
                <w:szCs w:val="21"/>
              </w:rPr>
              <w:t>24.5</w:t>
            </w:r>
          </w:p>
        </w:tc>
        <w:tc>
          <w:tcPr>
            <w:tcW w:w="875" w:type="dxa"/>
            <w:vAlign w:val="center"/>
          </w:tcPr>
          <w:p>
            <w:pPr>
              <w:spacing w:line="240" w:lineRule="auto"/>
              <w:ind w:firstLine="0" w:firstLineChars="0"/>
              <w:jc w:val="center"/>
              <w:rPr>
                <w:sz w:val="21"/>
                <w:szCs w:val="21"/>
              </w:rPr>
            </w:pPr>
            <w:r>
              <w:rPr>
                <w:rFonts w:hint="eastAsia"/>
                <w:sz w:val="21"/>
                <w:szCs w:val="21"/>
              </w:rPr>
              <w:t>62.1</w:t>
            </w:r>
          </w:p>
        </w:tc>
        <w:tc>
          <w:tcPr>
            <w:tcW w:w="1004" w:type="dxa"/>
            <w:vAlign w:val="center"/>
          </w:tcPr>
          <w:p>
            <w:pPr>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下风向监控点3#</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1.8</w:t>
            </w:r>
          </w:p>
        </w:tc>
        <w:tc>
          <w:tcPr>
            <w:tcW w:w="992" w:type="dxa"/>
            <w:vAlign w:val="center"/>
          </w:tcPr>
          <w:p>
            <w:pPr>
              <w:spacing w:line="240" w:lineRule="auto"/>
              <w:ind w:firstLine="0" w:firstLineChars="0"/>
              <w:jc w:val="center"/>
              <w:rPr>
                <w:sz w:val="21"/>
                <w:szCs w:val="21"/>
              </w:rPr>
            </w:pPr>
            <w:r>
              <w:rPr>
                <w:rFonts w:hint="eastAsia"/>
                <w:sz w:val="21"/>
                <w:szCs w:val="21"/>
              </w:rPr>
              <w:t>28.4</w:t>
            </w:r>
          </w:p>
        </w:tc>
        <w:tc>
          <w:tcPr>
            <w:tcW w:w="875" w:type="dxa"/>
            <w:vAlign w:val="center"/>
          </w:tcPr>
          <w:p>
            <w:pPr>
              <w:spacing w:line="240" w:lineRule="auto"/>
              <w:ind w:firstLine="0" w:firstLineChars="0"/>
              <w:jc w:val="center"/>
              <w:rPr>
                <w:sz w:val="21"/>
                <w:szCs w:val="21"/>
              </w:rPr>
            </w:pPr>
            <w:r>
              <w:rPr>
                <w:rFonts w:hint="eastAsia"/>
                <w:sz w:val="21"/>
                <w:szCs w:val="21"/>
              </w:rPr>
              <w:t>58.3</w:t>
            </w:r>
          </w:p>
        </w:tc>
        <w:tc>
          <w:tcPr>
            <w:tcW w:w="1004" w:type="dxa"/>
            <w:vAlign w:val="center"/>
          </w:tcPr>
          <w:p>
            <w:pPr>
              <w:spacing w:line="240" w:lineRule="auto"/>
              <w:ind w:firstLine="0" w:firstLineChars="0"/>
              <w:jc w:val="center"/>
              <w:rPr>
                <w:sz w:val="21"/>
                <w:szCs w:val="21"/>
              </w:rPr>
            </w:pPr>
            <w:r>
              <w:rPr>
                <w:rFonts w:hint="eastAsia"/>
                <w:sz w:val="21"/>
                <w:szCs w:val="21"/>
              </w:rPr>
              <w:t>99.8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25.3</w:t>
            </w:r>
          </w:p>
        </w:tc>
        <w:tc>
          <w:tcPr>
            <w:tcW w:w="875" w:type="dxa"/>
            <w:vAlign w:val="center"/>
          </w:tcPr>
          <w:p>
            <w:pPr>
              <w:spacing w:line="240" w:lineRule="auto"/>
              <w:ind w:firstLine="0" w:firstLineChars="0"/>
              <w:jc w:val="center"/>
              <w:rPr>
                <w:sz w:val="21"/>
                <w:szCs w:val="21"/>
              </w:rPr>
            </w:pPr>
            <w:r>
              <w:rPr>
                <w:rFonts w:hint="eastAsia"/>
                <w:sz w:val="21"/>
                <w:szCs w:val="21"/>
              </w:rPr>
              <w:t>60.3</w:t>
            </w:r>
          </w:p>
        </w:tc>
        <w:tc>
          <w:tcPr>
            <w:tcW w:w="1004" w:type="dxa"/>
            <w:vAlign w:val="center"/>
          </w:tcPr>
          <w:p>
            <w:pPr>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1.7</w:t>
            </w:r>
          </w:p>
        </w:tc>
        <w:tc>
          <w:tcPr>
            <w:tcW w:w="992" w:type="dxa"/>
            <w:vAlign w:val="center"/>
          </w:tcPr>
          <w:p>
            <w:pPr>
              <w:spacing w:line="240" w:lineRule="auto"/>
              <w:ind w:firstLine="0" w:firstLineChars="0"/>
              <w:jc w:val="center"/>
              <w:rPr>
                <w:sz w:val="21"/>
                <w:szCs w:val="21"/>
              </w:rPr>
            </w:pPr>
            <w:r>
              <w:rPr>
                <w:rFonts w:hint="eastAsia"/>
                <w:sz w:val="21"/>
                <w:szCs w:val="21"/>
              </w:rPr>
              <w:t>24.5</w:t>
            </w:r>
          </w:p>
        </w:tc>
        <w:tc>
          <w:tcPr>
            <w:tcW w:w="875" w:type="dxa"/>
            <w:vAlign w:val="center"/>
          </w:tcPr>
          <w:p>
            <w:pPr>
              <w:spacing w:line="240" w:lineRule="auto"/>
              <w:ind w:firstLine="0" w:firstLineChars="0"/>
              <w:jc w:val="center"/>
              <w:rPr>
                <w:sz w:val="21"/>
                <w:szCs w:val="21"/>
              </w:rPr>
            </w:pPr>
            <w:r>
              <w:rPr>
                <w:rFonts w:hint="eastAsia"/>
                <w:sz w:val="21"/>
                <w:szCs w:val="21"/>
              </w:rPr>
              <w:t>62.1</w:t>
            </w:r>
          </w:p>
        </w:tc>
        <w:tc>
          <w:tcPr>
            <w:tcW w:w="1004" w:type="dxa"/>
            <w:vAlign w:val="center"/>
          </w:tcPr>
          <w:p>
            <w:pPr>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下风向监控点4#</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1.8</w:t>
            </w:r>
          </w:p>
        </w:tc>
        <w:tc>
          <w:tcPr>
            <w:tcW w:w="992" w:type="dxa"/>
            <w:vAlign w:val="center"/>
          </w:tcPr>
          <w:p>
            <w:pPr>
              <w:spacing w:line="240" w:lineRule="auto"/>
              <w:ind w:firstLine="0" w:firstLineChars="0"/>
              <w:jc w:val="center"/>
              <w:rPr>
                <w:sz w:val="21"/>
                <w:szCs w:val="21"/>
              </w:rPr>
            </w:pPr>
            <w:r>
              <w:rPr>
                <w:rFonts w:hint="eastAsia"/>
                <w:sz w:val="21"/>
                <w:szCs w:val="21"/>
              </w:rPr>
              <w:t>28.4</w:t>
            </w:r>
          </w:p>
        </w:tc>
        <w:tc>
          <w:tcPr>
            <w:tcW w:w="875" w:type="dxa"/>
            <w:vAlign w:val="center"/>
          </w:tcPr>
          <w:p>
            <w:pPr>
              <w:spacing w:line="240" w:lineRule="auto"/>
              <w:ind w:firstLine="0" w:firstLineChars="0"/>
              <w:jc w:val="center"/>
              <w:rPr>
                <w:sz w:val="21"/>
                <w:szCs w:val="21"/>
              </w:rPr>
            </w:pPr>
            <w:r>
              <w:rPr>
                <w:rFonts w:hint="eastAsia"/>
                <w:sz w:val="21"/>
                <w:szCs w:val="21"/>
              </w:rPr>
              <w:t>58.3</w:t>
            </w:r>
          </w:p>
        </w:tc>
        <w:tc>
          <w:tcPr>
            <w:tcW w:w="1004" w:type="dxa"/>
            <w:vAlign w:val="center"/>
          </w:tcPr>
          <w:p>
            <w:pPr>
              <w:spacing w:line="240" w:lineRule="auto"/>
              <w:ind w:firstLine="0" w:firstLineChars="0"/>
              <w:jc w:val="center"/>
              <w:rPr>
                <w:sz w:val="21"/>
                <w:szCs w:val="21"/>
              </w:rPr>
            </w:pPr>
            <w:r>
              <w:rPr>
                <w:rFonts w:hint="eastAsia"/>
                <w:sz w:val="21"/>
                <w:szCs w:val="21"/>
              </w:rPr>
              <w:t>99.8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25.3</w:t>
            </w:r>
          </w:p>
        </w:tc>
        <w:tc>
          <w:tcPr>
            <w:tcW w:w="875" w:type="dxa"/>
            <w:vAlign w:val="center"/>
          </w:tcPr>
          <w:p>
            <w:pPr>
              <w:spacing w:line="240" w:lineRule="auto"/>
              <w:ind w:firstLine="0" w:firstLineChars="0"/>
              <w:jc w:val="center"/>
              <w:rPr>
                <w:sz w:val="21"/>
                <w:szCs w:val="21"/>
              </w:rPr>
            </w:pPr>
            <w:r>
              <w:rPr>
                <w:rFonts w:hint="eastAsia"/>
                <w:sz w:val="21"/>
                <w:szCs w:val="21"/>
              </w:rPr>
              <w:t>60.3</w:t>
            </w:r>
          </w:p>
        </w:tc>
        <w:tc>
          <w:tcPr>
            <w:tcW w:w="1004" w:type="dxa"/>
            <w:vAlign w:val="center"/>
          </w:tcPr>
          <w:p>
            <w:pPr>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1.7</w:t>
            </w:r>
          </w:p>
        </w:tc>
        <w:tc>
          <w:tcPr>
            <w:tcW w:w="992" w:type="dxa"/>
            <w:vAlign w:val="center"/>
          </w:tcPr>
          <w:p>
            <w:pPr>
              <w:spacing w:line="240" w:lineRule="auto"/>
              <w:ind w:firstLine="0" w:firstLineChars="0"/>
              <w:jc w:val="center"/>
              <w:rPr>
                <w:sz w:val="21"/>
                <w:szCs w:val="21"/>
              </w:rPr>
            </w:pPr>
            <w:r>
              <w:rPr>
                <w:rFonts w:hint="eastAsia"/>
                <w:sz w:val="21"/>
                <w:szCs w:val="21"/>
              </w:rPr>
              <w:t>24.5</w:t>
            </w:r>
          </w:p>
        </w:tc>
        <w:tc>
          <w:tcPr>
            <w:tcW w:w="875" w:type="dxa"/>
            <w:vAlign w:val="center"/>
          </w:tcPr>
          <w:p>
            <w:pPr>
              <w:spacing w:line="240" w:lineRule="auto"/>
              <w:ind w:firstLine="0" w:firstLineChars="0"/>
              <w:jc w:val="center"/>
              <w:rPr>
                <w:sz w:val="21"/>
                <w:szCs w:val="21"/>
              </w:rPr>
            </w:pPr>
            <w:r>
              <w:rPr>
                <w:rFonts w:hint="eastAsia"/>
                <w:sz w:val="21"/>
                <w:szCs w:val="21"/>
              </w:rPr>
              <w:t>62.1</w:t>
            </w:r>
          </w:p>
        </w:tc>
        <w:tc>
          <w:tcPr>
            <w:tcW w:w="1004" w:type="dxa"/>
            <w:vAlign w:val="center"/>
          </w:tcPr>
          <w:p>
            <w:pPr>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restart"/>
            <w:vAlign w:val="center"/>
          </w:tcPr>
          <w:p>
            <w:pPr>
              <w:spacing w:line="240" w:lineRule="auto"/>
              <w:ind w:firstLine="0" w:firstLineChars="0"/>
              <w:jc w:val="center"/>
              <w:rPr>
                <w:sz w:val="21"/>
                <w:szCs w:val="21"/>
              </w:rPr>
            </w:pPr>
            <w:r>
              <w:rPr>
                <w:rFonts w:hint="eastAsia"/>
                <w:sz w:val="21"/>
                <w:szCs w:val="21"/>
              </w:rPr>
              <w:t>2021.4.17</w:t>
            </w:r>
          </w:p>
        </w:tc>
        <w:tc>
          <w:tcPr>
            <w:tcW w:w="1192" w:type="dxa"/>
            <w:vMerge w:val="restart"/>
            <w:vAlign w:val="center"/>
          </w:tcPr>
          <w:p>
            <w:pPr>
              <w:spacing w:line="240" w:lineRule="auto"/>
              <w:ind w:firstLine="0" w:firstLineChars="0"/>
              <w:jc w:val="center"/>
              <w:rPr>
                <w:sz w:val="21"/>
                <w:szCs w:val="21"/>
              </w:rPr>
            </w:pPr>
            <w:r>
              <w:rPr>
                <w:rFonts w:hint="eastAsia"/>
                <w:sz w:val="21"/>
                <w:szCs w:val="21"/>
              </w:rPr>
              <w:t>上风向参照点1#</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20.4</w:t>
            </w:r>
          </w:p>
        </w:tc>
        <w:tc>
          <w:tcPr>
            <w:tcW w:w="875" w:type="dxa"/>
            <w:vAlign w:val="center"/>
          </w:tcPr>
          <w:p>
            <w:pPr>
              <w:spacing w:line="240" w:lineRule="auto"/>
              <w:ind w:firstLine="0" w:firstLineChars="0"/>
              <w:jc w:val="center"/>
              <w:rPr>
                <w:sz w:val="21"/>
                <w:szCs w:val="21"/>
              </w:rPr>
            </w:pPr>
            <w:r>
              <w:rPr>
                <w:rFonts w:hint="eastAsia"/>
                <w:sz w:val="21"/>
                <w:szCs w:val="21"/>
              </w:rPr>
              <w:t>73.3</w:t>
            </w:r>
          </w:p>
        </w:tc>
        <w:tc>
          <w:tcPr>
            <w:tcW w:w="1004" w:type="dxa"/>
            <w:vAlign w:val="center"/>
          </w:tcPr>
          <w:p>
            <w:pPr>
              <w:spacing w:line="240" w:lineRule="auto"/>
              <w:ind w:firstLine="0" w:firstLineChars="0"/>
              <w:jc w:val="center"/>
              <w:rPr>
                <w:sz w:val="21"/>
                <w:szCs w:val="21"/>
              </w:rPr>
            </w:pPr>
            <w:r>
              <w:rPr>
                <w:rFonts w:hint="eastAsia"/>
                <w:sz w:val="21"/>
                <w:szCs w:val="21"/>
              </w:rPr>
              <w:t>99.7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2.2</w:t>
            </w:r>
          </w:p>
        </w:tc>
        <w:tc>
          <w:tcPr>
            <w:tcW w:w="992" w:type="dxa"/>
            <w:vAlign w:val="center"/>
          </w:tcPr>
          <w:p>
            <w:pPr>
              <w:spacing w:line="240" w:lineRule="auto"/>
              <w:ind w:firstLine="0" w:firstLineChars="0"/>
              <w:jc w:val="center"/>
              <w:rPr>
                <w:sz w:val="21"/>
                <w:szCs w:val="21"/>
              </w:rPr>
            </w:pPr>
            <w:r>
              <w:rPr>
                <w:rFonts w:hint="eastAsia"/>
                <w:sz w:val="21"/>
                <w:szCs w:val="21"/>
              </w:rPr>
              <w:t>21.6</w:t>
            </w:r>
          </w:p>
        </w:tc>
        <w:tc>
          <w:tcPr>
            <w:tcW w:w="875" w:type="dxa"/>
            <w:vAlign w:val="center"/>
          </w:tcPr>
          <w:p>
            <w:pPr>
              <w:spacing w:line="240" w:lineRule="auto"/>
              <w:ind w:firstLine="0" w:firstLineChars="0"/>
              <w:jc w:val="center"/>
              <w:rPr>
                <w:sz w:val="21"/>
                <w:szCs w:val="21"/>
              </w:rPr>
            </w:pPr>
            <w:r>
              <w:rPr>
                <w:rFonts w:hint="eastAsia"/>
                <w:sz w:val="21"/>
                <w:szCs w:val="21"/>
              </w:rPr>
              <w:t>70.2</w:t>
            </w:r>
          </w:p>
        </w:tc>
        <w:tc>
          <w:tcPr>
            <w:tcW w:w="1004" w:type="dxa"/>
            <w:vAlign w:val="center"/>
          </w:tcPr>
          <w:p>
            <w:pPr>
              <w:spacing w:line="240" w:lineRule="auto"/>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1.9</w:t>
            </w:r>
          </w:p>
        </w:tc>
        <w:tc>
          <w:tcPr>
            <w:tcW w:w="992" w:type="dxa"/>
            <w:vAlign w:val="center"/>
          </w:tcPr>
          <w:p>
            <w:pPr>
              <w:spacing w:line="240" w:lineRule="auto"/>
              <w:ind w:firstLine="0" w:firstLineChars="0"/>
              <w:jc w:val="center"/>
              <w:rPr>
                <w:sz w:val="21"/>
                <w:szCs w:val="21"/>
              </w:rPr>
            </w:pPr>
            <w:r>
              <w:rPr>
                <w:rFonts w:hint="eastAsia"/>
                <w:sz w:val="21"/>
                <w:szCs w:val="21"/>
              </w:rPr>
              <w:t>23.2</w:t>
            </w:r>
          </w:p>
        </w:tc>
        <w:tc>
          <w:tcPr>
            <w:tcW w:w="875" w:type="dxa"/>
            <w:vAlign w:val="center"/>
          </w:tcPr>
          <w:p>
            <w:pPr>
              <w:spacing w:line="240" w:lineRule="auto"/>
              <w:ind w:firstLine="0" w:firstLineChars="0"/>
              <w:jc w:val="center"/>
              <w:rPr>
                <w:sz w:val="21"/>
                <w:szCs w:val="21"/>
              </w:rPr>
            </w:pPr>
            <w:r>
              <w:rPr>
                <w:rFonts w:hint="eastAsia"/>
                <w:sz w:val="21"/>
                <w:szCs w:val="21"/>
              </w:rPr>
              <w:t>63.9</w:t>
            </w:r>
          </w:p>
        </w:tc>
        <w:tc>
          <w:tcPr>
            <w:tcW w:w="1004" w:type="dxa"/>
            <w:vAlign w:val="center"/>
          </w:tcPr>
          <w:p>
            <w:pPr>
              <w:spacing w:line="240" w:lineRule="auto"/>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下风向监控点2#</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20.4</w:t>
            </w:r>
          </w:p>
        </w:tc>
        <w:tc>
          <w:tcPr>
            <w:tcW w:w="875" w:type="dxa"/>
            <w:vAlign w:val="center"/>
          </w:tcPr>
          <w:p>
            <w:pPr>
              <w:spacing w:line="240" w:lineRule="auto"/>
              <w:ind w:firstLine="0" w:firstLineChars="0"/>
              <w:jc w:val="center"/>
              <w:rPr>
                <w:sz w:val="21"/>
                <w:szCs w:val="21"/>
              </w:rPr>
            </w:pPr>
            <w:r>
              <w:rPr>
                <w:rFonts w:hint="eastAsia"/>
                <w:sz w:val="21"/>
                <w:szCs w:val="21"/>
              </w:rPr>
              <w:t>73.3</w:t>
            </w:r>
          </w:p>
        </w:tc>
        <w:tc>
          <w:tcPr>
            <w:tcW w:w="1004" w:type="dxa"/>
            <w:vAlign w:val="center"/>
          </w:tcPr>
          <w:p>
            <w:pPr>
              <w:spacing w:line="240" w:lineRule="auto"/>
              <w:ind w:firstLine="0" w:firstLineChars="0"/>
              <w:jc w:val="center"/>
              <w:rPr>
                <w:sz w:val="21"/>
                <w:szCs w:val="21"/>
              </w:rPr>
            </w:pPr>
            <w:r>
              <w:rPr>
                <w:rFonts w:hint="eastAsia"/>
                <w:sz w:val="21"/>
                <w:szCs w:val="21"/>
              </w:rPr>
              <w:t>99.7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2.2</w:t>
            </w:r>
          </w:p>
        </w:tc>
        <w:tc>
          <w:tcPr>
            <w:tcW w:w="992" w:type="dxa"/>
            <w:vAlign w:val="center"/>
          </w:tcPr>
          <w:p>
            <w:pPr>
              <w:spacing w:line="240" w:lineRule="auto"/>
              <w:ind w:firstLine="0" w:firstLineChars="0"/>
              <w:jc w:val="center"/>
              <w:rPr>
                <w:sz w:val="21"/>
                <w:szCs w:val="21"/>
              </w:rPr>
            </w:pPr>
            <w:r>
              <w:rPr>
                <w:rFonts w:hint="eastAsia"/>
                <w:sz w:val="21"/>
                <w:szCs w:val="21"/>
              </w:rPr>
              <w:t>21.6</w:t>
            </w:r>
          </w:p>
        </w:tc>
        <w:tc>
          <w:tcPr>
            <w:tcW w:w="875" w:type="dxa"/>
            <w:vAlign w:val="center"/>
          </w:tcPr>
          <w:p>
            <w:pPr>
              <w:spacing w:line="240" w:lineRule="auto"/>
              <w:ind w:firstLine="0" w:firstLineChars="0"/>
              <w:jc w:val="center"/>
              <w:rPr>
                <w:sz w:val="21"/>
                <w:szCs w:val="21"/>
              </w:rPr>
            </w:pPr>
            <w:r>
              <w:rPr>
                <w:rFonts w:hint="eastAsia"/>
                <w:sz w:val="21"/>
                <w:szCs w:val="21"/>
              </w:rPr>
              <w:t>70.2</w:t>
            </w:r>
          </w:p>
        </w:tc>
        <w:tc>
          <w:tcPr>
            <w:tcW w:w="1004" w:type="dxa"/>
            <w:vAlign w:val="center"/>
          </w:tcPr>
          <w:p>
            <w:pPr>
              <w:spacing w:line="240" w:lineRule="auto"/>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1.9</w:t>
            </w:r>
          </w:p>
        </w:tc>
        <w:tc>
          <w:tcPr>
            <w:tcW w:w="992" w:type="dxa"/>
            <w:vAlign w:val="center"/>
          </w:tcPr>
          <w:p>
            <w:pPr>
              <w:spacing w:line="240" w:lineRule="auto"/>
              <w:ind w:firstLine="0" w:firstLineChars="0"/>
              <w:jc w:val="center"/>
              <w:rPr>
                <w:sz w:val="21"/>
                <w:szCs w:val="21"/>
              </w:rPr>
            </w:pPr>
            <w:r>
              <w:rPr>
                <w:rFonts w:hint="eastAsia"/>
                <w:sz w:val="21"/>
                <w:szCs w:val="21"/>
              </w:rPr>
              <w:t>23.2</w:t>
            </w:r>
          </w:p>
        </w:tc>
        <w:tc>
          <w:tcPr>
            <w:tcW w:w="875" w:type="dxa"/>
            <w:vAlign w:val="center"/>
          </w:tcPr>
          <w:p>
            <w:pPr>
              <w:spacing w:line="240" w:lineRule="auto"/>
              <w:ind w:firstLine="0" w:firstLineChars="0"/>
              <w:jc w:val="center"/>
              <w:rPr>
                <w:sz w:val="21"/>
                <w:szCs w:val="21"/>
              </w:rPr>
            </w:pPr>
            <w:r>
              <w:rPr>
                <w:rFonts w:hint="eastAsia"/>
                <w:sz w:val="21"/>
                <w:szCs w:val="21"/>
              </w:rPr>
              <w:t>63.9</w:t>
            </w:r>
          </w:p>
        </w:tc>
        <w:tc>
          <w:tcPr>
            <w:tcW w:w="1004" w:type="dxa"/>
            <w:vAlign w:val="center"/>
          </w:tcPr>
          <w:p>
            <w:pPr>
              <w:spacing w:line="240" w:lineRule="auto"/>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下风向监控点3#</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20.4</w:t>
            </w:r>
          </w:p>
        </w:tc>
        <w:tc>
          <w:tcPr>
            <w:tcW w:w="875" w:type="dxa"/>
            <w:vAlign w:val="center"/>
          </w:tcPr>
          <w:p>
            <w:pPr>
              <w:spacing w:line="240" w:lineRule="auto"/>
              <w:ind w:firstLine="0" w:firstLineChars="0"/>
              <w:jc w:val="center"/>
              <w:rPr>
                <w:sz w:val="21"/>
                <w:szCs w:val="21"/>
              </w:rPr>
            </w:pPr>
            <w:r>
              <w:rPr>
                <w:rFonts w:hint="eastAsia"/>
                <w:sz w:val="21"/>
                <w:szCs w:val="21"/>
              </w:rPr>
              <w:t>73.3</w:t>
            </w:r>
          </w:p>
        </w:tc>
        <w:tc>
          <w:tcPr>
            <w:tcW w:w="1004" w:type="dxa"/>
            <w:vAlign w:val="center"/>
          </w:tcPr>
          <w:p>
            <w:pPr>
              <w:spacing w:line="240" w:lineRule="auto"/>
              <w:ind w:firstLine="0" w:firstLineChars="0"/>
              <w:jc w:val="center"/>
              <w:rPr>
                <w:sz w:val="21"/>
                <w:szCs w:val="21"/>
              </w:rPr>
            </w:pPr>
            <w:r>
              <w:rPr>
                <w:rFonts w:hint="eastAsia"/>
                <w:sz w:val="21"/>
                <w:szCs w:val="21"/>
              </w:rPr>
              <w:t>99.7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2.2</w:t>
            </w:r>
          </w:p>
        </w:tc>
        <w:tc>
          <w:tcPr>
            <w:tcW w:w="992" w:type="dxa"/>
            <w:vAlign w:val="center"/>
          </w:tcPr>
          <w:p>
            <w:pPr>
              <w:spacing w:line="240" w:lineRule="auto"/>
              <w:ind w:firstLine="0" w:firstLineChars="0"/>
              <w:jc w:val="center"/>
              <w:rPr>
                <w:sz w:val="21"/>
                <w:szCs w:val="21"/>
              </w:rPr>
            </w:pPr>
            <w:r>
              <w:rPr>
                <w:rFonts w:hint="eastAsia"/>
                <w:sz w:val="21"/>
                <w:szCs w:val="21"/>
              </w:rPr>
              <w:t>21.6</w:t>
            </w:r>
          </w:p>
        </w:tc>
        <w:tc>
          <w:tcPr>
            <w:tcW w:w="875" w:type="dxa"/>
            <w:vAlign w:val="center"/>
          </w:tcPr>
          <w:p>
            <w:pPr>
              <w:spacing w:line="240" w:lineRule="auto"/>
              <w:ind w:firstLine="0" w:firstLineChars="0"/>
              <w:jc w:val="center"/>
              <w:rPr>
                <w:sz w:val="21"/>
                <w:szCs w:val="21"/>
              </w:rPr>
            </w:pPr>
            <w:r>
              <w:rPr>
                <w:rFonts w:hint="eastAsia"/>
                <w:sz w:val="21"/>
                <w:szCs w:val="21"/>
              </w:rPr>
              <w:t>70.2</w:t>
            </w:r>
          </w:p>
        </w:tc>
        <w:tc>
          <w:tcPr>
            <w:tcW w:w="1004" w:type="dxa"/>
            <w:vAlign w:val="center"/>
          </w:tcPr>
          <w:p>
            <w:pPr>
              <w:spacing w:line="240" w:lineRule="auto"/>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1.9</w:t>
            </w:r>
          </w:p>
        </w:tc>
        <w:tc>
          <w:tcPr>
            <w:tcW w:w="992" w:type="dxa"/>
            <w:vAlign w:val="center"/>
          </w:tcPr>
          <w:p>
            <w:pPr>
              <w:spacing w:line="240" w:lineRule="auto"/>
              <w:ind w:firstLine="0" w:firstLineChars="0"/>
              <w:jc w:val="center"/>
              <w:rPr>
                <w:sz w:val="21"/>
                <w:szCs w:val="21"/>
              </w:rPr>
            </w:pPr>
            <w:r>
              <w:rPr>
                <w:rFonts w:hint="eastAsia"/>
                <w:sz w:val="21"/>
                <w:szCs w:val="21"/>
              </w:rPr>
              <w:t>23.2</w:t>
            </w:r>
          </w:p>
        </w:tc>
        <w:tc>
          <w:tcPr>
            <w:tcW w:w="875" w:type="dxa"/>
            <w:vAlign w:val="center"/>
          </w:tcPr>
          <w:p>
            <w:pPr>
              <w:spacing w:line="240" w:lineRule="auto"/>
              <w:ind w:firstLine="0" w:firstLineChars="0"/>
              <w:jc w:val="center"/>
              <w:rPr>
                <w:sz w:val="21"/>
                <w:szCs w:val="21"/>
              </w:rPr>
            </w:pPr>
            <w:r>
              <w:rPr>
                <w:rFonts w:hint="eastAsia"/>
                <w:sz w:val="21"/>
                <w:szCs w:val="21"/>
              </w:rPr>
              <w:t>63.9</w:t>
            </w:r>
          </w:p>
        </w:tc>
        <w:tc>
          <w:tcPr>
            <w:tcW w:w="1004" w:type="dxa"/>
            <w:vAlign w:val="center"/>
          </w:tcPr>
          <w:p>
            <w:pPr>
              <w:spacing w:line="240" w:lineRule="auto"/>
              <w:ind w:firstLine="0" w:firstLineChars="0"/>
              <w:jc w:val="center"/>
              <w:rPr>
                <w:sz w:val="21"/>
                <w:szCs w:val="21"/>
              </w:rPr>
            </w:pPr>
            <w:r>
              <w:rPr>
                <w:rFonts w:hint="eastAsia"/>
                <w:sz w:val="21"/>
                <w:szCs w:val="21"/>
              </w:rPr>
              <w:t>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restart"/>
            <w:vAlign w:val="center"/>
          </w:tcPr>
          <w:p>
            <w:pPr>
              <w:spacing w:line="240" w:lineRule="auto"/>
              <w:ind w:firstLine="0" w:firstLineChars="0"/>
              <w:jc w:val="center"/>
              <w:rPr>
                <w:sz w:val="21"/>
                <w:szCs w:val="21"/>
              </w:rPr>
            </w:pPr>
            <w:r>
              <w:rPr>
                <w:rFonts w:hint="eastAsia"/>
                <w:sz w:val="21"/>
                <w:szCs w:val="21"/>
              </w:rPr>
              <w:t>下风向监控点4#</w:t>
            </w:r>
          </w:p>
        </w:tc>
        <w:tc>
          <w:tcPr>
            <w:tcW w:w="1276" w:type="dxa"/>
            <w:vAlign w:val="center"/>
          </w:tcPr>
          <w:p>
            <w:pPr>
              <w:spacing w:line="240" w:lineRule="auto"/>
              <w:ind w:firstLine="0" w:firstLineChars="0"/>
              <w:jc w:val="center"/>
              <w:rPr>
                <w:sz w:val="21"/>
                <w:szCs w:val="21"/>
              </w:rPr>
            </w:pPr>
            <w:r>
              <w:rPr>
                <w:rFonts w:hint="eastAsia"/>
                <w:sz w:val="21"/>
                <w:szCs w:val="21"/>
              </w:rPr>
              <w:t>第一次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2.0</w:t>
            </w:r>
          </w:p>
        </w:tc>
        <w:tc>
          <w:tcPr>
            <w:tcW w:w="992" w:type="dxa"/>
            <w:vAlign w:val="center"/>
          </w:tcPr>
          <w:p>
            <w:pPr>
              <w:spacing w:line="240" w:lineRule="auto"/>
              <w:ind w:firstLine="0" w:firstLineChars="0"/>
              <w:jc w:val="center"/>
              <w:rPr>
                <w:sz w:val="21"/>
                <w:szCs w:val="21"/>
              </w:rPr>
            </w:pPr>
            <w:r>
              <w:rPr>
                <w:rFonts w:hint="eastAsia"/>
                <w:sz w:val="21"/>
                <w:szCs w:val="21"/>
              </w:rPr>
              <w:t>20.4</w:t>
            </w:r>
          </w:p>
        </w:tc>
        <w:tc>
          <w:tcPr>
            <w:tcW w:w="875" w:type="dxa"/>
            <w:vAlign w:val="center"/>
          </w:tcPr>
          <w:p>
            <w:pPr>
              <w:spacing w:line="240" w:lineRule="auto"/>
              <w:ind w:firstLine="0" w:firstLineChars="0"/>
              <w:jc w:val="center"/>
              <w:rPr>
                <w:sz w:val="21"/>
                <w:szCs w:val="21"/>
              </w:rPr>
            </w:pPr>
            <w:r>
              <w:rPr>
                <w:rFonts w:hint="eastAsia"/>
                <w:sz w:val="21"/>
                <w:szCs w:val="21"/>
              </w:rPr>
              <w:t>73.3</w:t>
            </w:r>
          </w:p>
        </w:tc>
        <w:tc>
          <w:tcPr>
            <w:tcW w:w="1004" w:type="dxa"/>
            <w:vAlign w:val="center"/>
          </w:tcPr>
          <w:p>
            <w:pPr>
              <w:spacing w:line="240" w:lineRule="auto"/>
              <w:ind w:firstLine="0" w:firstLineChars="0"/>
              <w:jc w:val="center"/>
              <w:rPr>
                <w:sz w:val="21"/>
                <w:szCs w:val="21"/>
              </w:rPr>
            </w:pPr>
            <w:r>
              <w:rPr>
                <w:rFonts w:hint="eastAsia"/>
                <w:sz w:val="21"/>
                <w:szCs w:val="21"/>
              </w:rPr>
              <w:t>99.7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第二次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2.2</w:t>
            </w:r>
          </w:p>
        </w:tc>
        <w:tc>
          <w:tcPr>
            <w:tcW w:w="992" w:type="dxa"/>
            <w:vAlign w:val="center"/>
          </w:tcPr>
          <w:p>
            <w:pPr>
              <w:spacing w:line="240" w:lineRule="auto"/>
              <w:ind w:firstLine="0" w:firstLineChars="0"/>
              <w:jc w:val="center"/>
              <w:rPr>
                <w:sz w:val="21"/>
                <w:szCs w:val="21"/>
              </w:rPr>
            </w:pPr>
            <w:r>
              <w:rPr>
                <w:rFonts w:hint="eastAsia"/>
                <w:sz w:val="21"/>
                <w:szCs w:val="21"/>
              </w:rPr>
              <w:t>21.6</w:t>
            </w:r>
          </w:p>
        </w:tc>
        <w:tc>
          <w:tcPr>
            <w:tcW w:w="875" w:type="dxa"/>
            <w:vAlign w:val="center"/>
          </w:tcPr>
          <w:p>
            <w:pPr>
              <w:spacing w:line="240" w:lineRule="auto"/>
              <w:ind w:firstLine="0" w:firstLineChars="0"/>
              <w:jc w:val="center"/>
              <w:rPr>
                <w:sz w:val="21"/>
                <w:szCs w:val="21"/>
              </w:rPr>
            </w:pPr>
            <w:r>
              <w:rPr>
                <w:rFonts w:hint="eastAsia"/>
                <w:sz w:val="21"/>
                <w:szCs w:val="21"/>
              </w:rPr>
              <w:t>70.2</w:t>
            </w:r>
          </w:p>
        </w:tc>
        <w:tc>
          <w:tcPr>
            <w:tcW w:w="1004" w:type="dxa"/>
            <w:vAlign w:val="center"/>
          </w:tcPr>
          <w:p>
            <w:pPr>
              <w:spacing w:line="240" w:lineRule="auto"/>
              <w:ind w:firstLine="0" w:firstLineChars="0"/>
              <w:jc w:val="center"/>
              <w:rPr>
                <w:sz w:val="21"/>
                <w:szCs w:val="21"/>
              </w:rPr>
            </w:pPr>
            <w:r>
              <w:rPr>
                <w:rFonts w:hint="eastAsia"/>
                <w:sz w:val="21"/>
                <w:szCs w:val="21"/>
              </w:rPr>
              <w:t>99.9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3" w:hRule="atLeast"/>
          <w:jc w:val="center"/>
        </w:trPr>
        <w:tc>
          <w:tcPr>
            <w:tcW w:w="1056" w:type="dxa"/>
            <w:vMerge w:val="continue"/>
            <w:vAlign w:val="center"/>
          </w:tcPr>
          <w:p>
            <w:pPr>
              <w:spacing w:line="240" w:lineRule="auto"/>
              <w:ind w:firstLine="0" w:firstLineChars="0"/>
              <w:jc w:val="center"/>
              <w:rPr>
                <w:sz w:val="21"/>
                <w:szCs w:val="21"/>
              </w:rPr>
            </w:pPr>
          </w:p>
        </w:tc>
        <w:tc>
          <w:tcPr>
            <w:tcW w:w="1192" w:type="dxa"/>
            <w:vMerge w:val="continue"/>
            <w:vAlign w:val="center"/>
          </w:tcPr>
          <w:p>
            <w:pPr>
              <w:spacing w:line="240" w:lineRule="auto"/>
              <w:ind w:firstLine="0" w:firstLineChars="0"/>
              <w:jc w:val="center"/>
              <w:rPr>
                <w:sz w:val="21"/>
                <w:szCs w:val="21"/>
              </w:rPr>
            </w:pPr>
          </w:p>
        </w:tc>
        <w:tc>
          <w:tcPr>
            <w:tcW w:w="1276" w:type="dxa"/>
            <w:vAlign w:val="center"/>
          </w:tcPr>
          <w:p>
            <w:pPr>
              <w:spacing w:line="240" w:lineRule="auto"/>
              <w:ind w:firstLine="0" w:firstLineChars="0"/>
              <w:jc w:val="center"/>
              <w:rPr>
                <w:sz w:val="21"/>
                <w:szCs w:val="21"/>
              </w:rPr>
            </w:pPr>
            <w:r>
              <w:rPr>
                <w:rFonts w:hint="eastAsia"/>
                <w:sz w:val="21"/>
                <w:szCs w:val="21"/>
              </w:rPr>
              <w:t>第三次</w:t>
            </w:r>
          </w:p>
        </w:tc>
        <w:tc>
          <w:tcPr>
            <w:tcW w:w="992" w:type="dxa"/>
            <w:vAlign w:val="center"/>
          </w:tcPr>
          <w:p>
            <w:pPr>
              <w:spacing w:line="240" w:lineRule="auto"/>
              <w:ind w:firstLine="0" w:firstLineChars="0"/>
              <w:jc w:val="center"/>
              <w:rPr>
                <w:sz w:val="21"/>
                <w:szCs w:val="21"/>
              </w:rPr>
            </w:pPr>
            <w:r>
              <w:rPr>
                <w:rFonts w:hint="eastAsia"/>
                <w:sz w:val="21"/>
                <w:szCs w:val="21"/>
              </w:rPr>
              <w:t>北风</w:t>
            </w:r>
          </w:p>
        </w:tc>
        <w:tc>
          <w:tcPr>
            <w:tcW w:w="993" w:type="dxa"/>
            <w:vAlign w:val="center"/>
          </w:tcPr>
          <w:p>
            <w:pPr>
              <w:spacing w:line="240" w:lineRule="auto"/>
              <w:ind w:firstLine="0" w:firstLineChars="0"/>
              <w:jc w:val="center"/>
              <w:rPr>
                <w:sz w:val="21"/>
                <w:szCs w:val="21"/>
              </w:rPr>
            </w:pPr>
            <w:r>
              <w:rPr>
                <w:rFonts w:hint="eastAsia"/>
                <w:sz w:val="21"/>
                <w:szCs w:val="21"/>
              </w:rPr>
              <w:t>1.9</w:t>
            </w:r>
          </w:p>
        </w:tc>
        <w:tc>
          <w:tcPr>
            <w:tcW w:w="992" w:type="dxa"/>
            <w:vAlign w:val="center"/>
          </w:tcPr>
          <w:p>
            <w:pPr>
              <w:spacing w:line="240" w:lineRule="auto"/>
              <w:ind w:firstLine="0" w:firstLineChars="0"/>
              <w:jc w:val="center"/>
              <w:rPr>
                <w:sz w:val="21"/>
                <w:szCs w:val="21"/>
              </w:rPr>
            </w:pPr>
            <w:r>
              <w:rPr>
                <w:rFonts w:hint="eastAsia"/>
                <w:sz w:val="21"/>
                <w:szCs w:val="21"/>
              </w:rPr>
              <w:t>23.2</w:t>
            </w:r>
          </w:p>
        </w:tc>
        <w:tc>
          <w:tcPr>
            <w:tcW w:w="875" w:type="dxa"/>
            <w:vAlign w:val="center"/>
          </w:tcPr>
          <w:p>
            <w:pPr>
              <w:spacing w:line="240" w:lineRule="auto"/>
              <w:ind w:firstLine="0" w:firstLineChars="0"/>
              <w:jc w:val="center"/>
              <w:rPr>
                <w:sz w:val="21"/>
                <w:szCs w:val="21"/>
              </w:rPr>
            </w:pPr>
            <w:r>
              <w:rPr>
                <w:rFonts w:hint="eastAsia"/>
                <w:sz w:val="21"/>
                <w:szCs w:val="21"/>
              </w:rPr>
              <w:t>63.9</w:t>
            </w:r>
          </w:p>
        </w:tc>
        <w:tc>
          <w:tcPr>
            <w:tcW w:w="1004" w:type="dxa"/>
            <w:vAlign w:val="center"/>
          </w:tcPr>
          <w:p>
            <w:pPr>
              <w:spacing w:line="240" w:lineRule="auto"/>
              <w:ind w:firstLine="0" w:firstLineChars="0"/>
              <w:jc w:val="center"/>
              <w:rPr>
                <w:sz w:val="21"/>
                <w:szCs w:val="21"/>
              </w:rPr>
            </w:pPr>
            <w:r>
              <w:rPr>
                <w:rFonts w:hint="eastAsia"/>
                <w:sz w:val="21"/>
                <w:szCs w:val="21"/>
              </w:rPr>
              <w:t>99.6</w:t>
            </w:r>
          </w:p>
        </w:tc>
      </w:tr>
    </w:tbl>
    <w:p>
      <w:pPr>
        <w:ind w:firstLine="0" w:firstLineChars="0"/>
        <w:rPr>
          <w:b/>
        </w:rPr>
      </w:pPr>
    </w:p>
    <w:p>
      <w:pPr>
        <w:ind w:firstLine="0" w:firstLineChars="0"/>
        <w:jc w:val="center"/>
        <w:rPr>
          <w:b/>
        </w:rPr>
      </w:pPr>
      <w:r>
        <w:rPr>
          <w:rFonts w:hint="eastAsia"/>
          <w:b/>
        </w:rPr>
        <w:t>表8.1-2无组织废气检测结果</w:t>
      </w:r>
    </w:p>
    <w:tbl>
      <w:tblPr>
        <w:tblStyle w:val="26"/>
        <w:tblW w:w="9011" w:type="dxa"/>
        <w:jc w:val="center"/>
        <w:tblInd w:w="-48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4"/>
        <w:gridCol w:w="1305"/>
        <w:gridCol w:w="850"/>
        <w:gridCol w:w="851"/>
        <w:gridCol w:w="850"/>
        <w:gridCol w:w="851"/>
        <w:gridCol w:w="850"/>
        <w:gridCol w:w="851"/>
        <w:gridCol w:w="7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restart"/>
            <w:vAlign w:val="center"/>
          </w:tcPr>
          <w:p>
            <w:pPr>
              <w:spacing w:line="240" w:lineRule="auto"/>
              <w:ind w:firstLine="0" w:firstLineChars="0"/>
              <w:jc w:val="center"/>
              <w:rPr>
                <w:sz w:val="21"/>
                <w:szCs w:val="21"/>
              </w:rPr>
            </w:pPr>
            <w:r>
              <w:rPr>
                <w:rFonts w:hint="eastAsia"/>
                <w:sz w:val="21"/>
                <w:szCs w:val="21"/>
              </w:rPr>
              <w:t>检测点位</w:t>
            </w:r>
          </w:p>
        </w:tc>
        <w:tc>
          <w:tcPr>
            <w:tcW w:w="1305" w:type="dxa"/>
            <w:vMerge w:val="restart"/>
            <w:vAlign w:val="center"/>
          </w:tcPr>
          <w:p>
            <w:pPr>
              <w:spacing w:line="240" w:lineRule="auto"/>
              <w:ind w:firstLine="0" w:firstLineChars="0"/>
              <w:jc w:val="center"/>
              <w:rPr>
                <w:sz w:val="21"/>
                <w:szCs w:val="21"/>
              </w:rPr>
            </w:pPr>
            <w:r>
              <w:rPr>
                <w:rFonts w:hint="eastAsia"/>
                <w:sz w:val="21"/>
                <w:szCs w:val="21"/>
              </w:rPr>
              <w:t>检测项目</w:t>
            </w:r>
          </w:p>
        </w:tc>
        <w:tc>
          <w:tcPr>
            <w:tcW w:w="5103" w:type="dxa"/>
            <w:gridSpan w:val="6"/>
            <w:vAlign w:val="center"/>
          </w:tcPr>
          <w:p>
            <w:pPr>
              <w:spacing w:line="240" w:lineRule="auto"/>
              <w:ind w:firstLine="0" w:firstLineChars="0"/>
              <w:jc w:val="center"/>
              <w:rPr>
                <w:sz w:val="21"/>
                <w:szCs w:val="21"/>
              </w:rPr>
            </w:pPr>
            <w:r>
              <w:rPr>
                <w:rFonts w:hint="eastAsia"/>
                <w:sz w:val="21"/>
                <w:szCs w:val="21"/>
              </w:rPr>
              <w:t>检测结果（单位：mg/m</w:t>
            </w:r>
            <w:r>
              <w:rPr>
                <w:rFonts w:hint="eastAsia"/>
                <w:sz w:val="21"/>
                <w:szCs w:val="21"/>
                <w:vertAlign w:val="superscript"/>
              </w:rPr>
              <w:t>3</w:t>
            </w:r>
            <w:r>
              <w:rPr>
                <w:rFonts w:hint="eastAsia"/>
                <w:sz w:val="21"/>
                <w:szCs w:val="21"/>
              </w:rPr>
              <w:t>）</w:t>
            </w:r>
          </w:p>
        </w:tc>
        <w:tc>
          <w:tcPr>
            <w:tcW w:w="759" w:type="dxa"/>
            <w:vMerge w:val="restart"/>
            <w:vAlign w:val="center"/>
          </w:tcPr>
          <w:p>
            <w:pPr>
              <w:spacing w:line="240" w:lineRule="auto"/>
              <w:ind w:firstLine="0" w:firstLineChars="0"/>
              <w:jc w:val="center"/>
              <w:rPr>
                <w:sz w:val="21"/>
                <w:szCs w:val="21"/>
              </w:rPr>
            </w:pPr>
            <w:r>
              <w:rPr>
                <w:rFonts w:hint="eastAsia"/>
                <w:sz w:val="21"/>
                <w:szCs w:val="21"/>
              </w:rPr>
              <w:t>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Merge w:val="continue"/>
            <w:vAlign w:val="center"/>
          </w:tcPr>
          <w:p>
            <w:pPr>
              <w:spacing w:line="240" w:lineRule="auto"/>
              <w:ind w:firstLine="0" w:firstLineChars="0"/>
              <w:jc w:val="center"/>
              <w:rPr>
                <w:sz w:val="21"/>
                <w:szCs w:val="21"/>
              </w:rPr>
            </w:pPr>
          </w:p>
        </w:tc>
        <w:tc>
          <w:tcPr>
            <w:tcW w:w="2551" w:type="dxa"/>
            <w:gridSpan w:val="3"/>
            <w:vAlign w:val="center"/>
          </w:tcPr>
          <w:p>
            <w:pPr>
              <w:spacing w:line="240" w:lineRule="auto"/>
              <w:ind w:firstLine="0" w:firstLineChars="0"/>
              <w:jc w:val="center"/>
              <w:rPr>
                <w:sz w:val="21"/>
                <w:szCs w:val="21"/>
              </w:rPr>
            </w:pPr>
            <w:r>
              <w:rPr>
                <w:rFonts w:hint="eastAsia"/>
                <w:sz w:val="21"/>
                <w:szCs w:val="21"/>
              </w:rPr>
              <w:t>4月16日</w:t>
            </w:r>
          </w:p>
        </w:tc>
        <w:tc>
          <w:tcPr>
            <w:tcW w:w="2552" w:type="dxa"/>
            <w:gridSpan w:val="3"/>
            <w:vAlign w:val="center"/>
          </w:tcPr>
          <w:p>
            <w:pPr>
              <w:spacing w:line="240" w:lineRule="auto"/>
              <w:ind w:firstLine="0" w:firstLineChars="0"/>
              <w:jc w:val="center"/>
              <w:rPr>
                <w:sz w:val="21"/>
                <w:szCs w:val="21"/>
              </w:rPr>
            </w:pPr>
            <w:r>
              <w:rPr>
                <w:rFonts w:hint="eastAsia"/>
                <w:sz w:val="21"/>
                <w:szCs w:val="21"/>
              </w:rPr>
              <w:t>4月17日</w:t>
            </w:r>
          </w:p>
        </w:tc>
        <w:tc>
          <w:tcPr>
            <w:tcW w:w="759" w:type="dxa"/>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Merge w:val="continue"/>
            <w:vAlign w:val="center"/>
          </w:tcPr>
          <w:p>
            <w:pPr>
              <w:spacing w:line="240" w:lineRule="auto"/>
              <w:ind w:firstLine="0" w:firstLineChars="0"/>
              <w:jc w:val="center"/>
              <w:rPr>
                <w:sz w:val="21"/>
                <w:szCs w:val="21"/>
              </w:rPr>
            </w:pPr>
          </w:p>
        </w:tc>
        <w:tc>
          <w:tcPr>
            <w:tcW w:w="850" w:type="dxa"/>
            <w:vAlign w:val="center"/>
          </w:tcPr>
          <w:p>
            <w:pPr>
              <w:spacing w:line="240" w:lineRule="auto"/>
              <w:ind w:firstLine="0" w:firstLineChars="0"/>
              <w:jc w:val="center"/>
              <w:rPr>
                <w:sz w:val="21"/>
                <w:szCs w:val="21"/>
              </w:rPr>
            </w:pPr>
            <w:r>
              <w:rPr>
                <w:rFonts w:hint="eastAsia"/>
                <w:sz w:val="21"/>
                <w:szCs w:val="21"/>
              </w:rPr>
              <w:t>第一次</w:t>
            </w:r>
          </w:p>
        </w:tc>
        <w:tc>
          <w:tcPr>
            <w:tcW w:w="851" w:type="dxa"/>
            <w:vAlign w:val="center"/>
          </w:tcPr>
          <w:p>
            <w:pPr>
              <w:spacing w:line="240" w:lineRule="auto"/>
              <w:ind w:firstLine="0" w:firstLineChars="0"/>
              <w:jc w:val="center"/>
              <w:rPr>
                <w:sz w:val="21"/>
                <w:szCs w:val="21"/>
              </w:rPr>
            </w:pPr>
            <w:r>
              <w:rPr>
                <w:rFonts w:hint="eastAsia"/>
                <w:sz w:val="21"/>
                <w:szCs w:val="21"/>
              </w:rPr>
              <w:t>第二次</w:t>
            </w:r>
          </w:p>
        </w:tc>
        <w:tc>
          <w:tcPr>
            <w:tcW w:w="850" w:type="dxa"/>
            <w:vAlign w:val="center"/>
          </w:tcPr>
          <w:p>
            <w:pPr>
              <w:spacing w:line="240" w:lineRule="auto"/>
              <w:ind w:firstLine="0" w:firstLineChars="0"/>
              <w:jc w:val="center"/>
              <w:rPr>
                <w:sz w:val="21"/>
                <w:szCs w:val="21"/>
              </w:rPr>
            </w:pPr>
            <w:r>
              <w:rPr>
                <w:rFonts w:hint="eastAsia"/>
                <w:sz w:val="21"/>
                <w:szCs w:val="21"/>
              </w:rPr>
              <w:t>第三次</w:t>
            </w:r>
          </w:p>
        </w:tc>
        <w:tc>
          <w:tcPr>
            <w:tcW w:w="851" w:type="dxa"/>
            <w:vAlign w:val="center"/>
          </w:tcPr>
          <w:p>
            <w:pPr>
              <w:spacing w:line="240" w:lineRule="auto"/>
              <w:ind w:firstLine="0" w:firstLineChars="0"/>
              <w:jc w:val="center"/>
              <w:rPr>
                <w:sz w:val="21"/>
                <w:szCs w:val="21"/>
              </w:rPr>
            </w:pPr>
            <w:r>
              <w:rPr>
                <w:rFonts w:hint="eastAsia"/>
                <w:sz w:val="21"/>
                <w:szCs w:val="21"/>
              </w:rPr>
              <w:t>第一次</w:t>
            </w:r>
          </w:p>
        </w:tc>
        <w:tc>
          <w:tcPr>
            <w:tcW w:w="850" w:type="dxa"/>
            <w:vAlign w:val="center"/>
          </w:tcPr>
          <w:p>
            <w:pPr>
              <w:spacing w:line="240" w:lineRule="auto"/>
              <w:ind w:firstLine="0" w:firstLineChars="0"/>
              <w:jc w:val="center"/>
              <w:rPr>
                <w:sz w:val="21"/>
                <w:szCs w:val="21"/>
              </w:rPr>
            </w:pPr>
            <w:r>
              <w:rPr>
                <w:rFonts w:hint="eastAsia"/>
                <w:sz w:val="21"/>
                <w:szCs w:val="21"/>
              </w:rPr>
              <w:t>第二次</w:t>
            </w:r>
          </w:p>
        </w:tc>
        <w:tc>
          <w:tcPr>
            <w:tcW w:w="851" w:type="dxa"/>
            <w:vAlign w:val="center"/>
          </w:tcPr>
          <w:p>
            <w:pPr>
              <w:spacing w:line="240" w:lineRule="auto"/>
              <w:ind w:firstLine="0" w:firstLineChars="0"/>
              <w:jc w:val="center"/>
              <w:rPr>
                <w:sz w:val="21"/>
                <w:szCs w:val="21"/>
              </w:rPr>
            </w:pPr>
            <w:r>
              <w:rPr>
                <w:rFonts w:hint="eastAsia"/>
                <w:sz w:val="21"/>
                <w:szCs w:val="21"/>
              </w:rPr>
              <w:t>第三次</w:t>
            </w:r>
          </w:p>
        </w:tc>
        <w:tc>
          <w:tcPr>
            <w:tcW w:w="759" w:type="dxa"/>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restart"/>
            <w:vAlign w:val="center"/>
          </w:tcPr>
          <w:p>
            <w:pPr>
              <w:spacing w:line="240" w:lineRule="auto"/>
              <w:ind w:firstLine="0" w:firstLineChars="0"/>
              <w:jc w:val="center"/>
              <w:rPr>
                <w:sz w:val="21"/>
                <w:szCs w:val="21"/>
              </w:rPr>
            </w:pPr>
            <w:r>
              <w:rPr>
                <w:rFonts w:hint="eastAsia"/>
                <w:sz w:val="21"/>
                <w:szCs w:val="21"/>
              </w:rPr>
              <w:t>上风向参照点1#</w:t>
            </w:r>
          </w:p>
        </w:tc>
        <w:tc>
          <w:tcPr>
            <w:tcW w:w="1305" w:type="dxa"/>
            <w:vAlign w:val="center"/>
          </w:tcPr>
          <w:p>
            <w:pPr>
              <w:spacing w:line="240" w:lineRule="auto"/>
              <w:ind w:firstLine="0" w:firstLineChars="0"/>
              <w:jc w:val="center"/>
              <w:rPr>
                <w:sz w:val="21"/>
                <w:szCs w:val="21"/>
              </w:rPr>
            </w:pPr>
            <w:r>
              <w:rPr>
                <w:rFonts w:hint="eastAsia"/>
                <w:sz w:val="21"/>
                <w:szCs w:val="21"/>
              </w:rPr>
              <w:t>颗粒物</w:t>
            </w:r>
          </w:p>
        </w:tc>
        <w:tc>
          <w:tcPr>
            <w:tcW w:w="850" w:type="dxa"/>
            <w:vAlign w:val="center"/>
          </w:tcPr>
          <w:p>
            <w:pPr>
              <w:spacing w:line="240" w:lineRule="auto"/>
              <w:ind w:firstLine="0" w:firstLineChars="0"/>
              <w:jc w:val="center"/>
              <w:rPr>
                <w:sz w:val="21"/>
                <w:szCs w:val="21"/>
              </w:rPr>
            </w:pPr>
            <w:r>
              <w:rPr>
                <w:rFonts w:hint="eastAsia"/>
                <w:sz w:val="21"/>
                <w:szCs w:val="21"/>
              </w:rPr>
              <w:t>0.252</w:t>
            </w:r>
          </w:p>
        </w:tc>
        <w:tc>
          <w:tcPr>
            <w:tcW w:w="851" w:type="dxa"/>
            <w:vAlign w:val="center"/>
          </w:tcPr>
          <w:p>
            <w:pPr>
              <w:spacing w:line="240" w:lineRule="auto"/>
              <w:ind w:firstLine="0" w:firstLineChars="0"/>
              <w:jc w:val="center"/>
              <w:rPr>
                <w:sz w:val="21"/>
                <w:szCs w:val="21"/>
              </w:rPr>
            </w:pPr>
            <w:r>
              <w:rPr>
                <w:rFonts w:hint="eastAsia"/>
                <w:sz w:val="21"/>
                <w:szCs w:val="21"/>
              </w:rPr>
              <w:t>0.320</w:t>
            </w:r>
          </w:p>
        </w:tc>
        <w:tc>
          <w:tcPr>
            <w:tcW w:w="850" w:type="dxa"/>
            <w:vAlign w:val="center"/>
          </w:tcPr>
          <w:p>
            <w:pPr>
              <w:spacing w:line="240" w:lineRule="auto"/>
              <w:ind w:firstLine="0" w:firstLineChars="0"/>
              <w:jc w:val="center"/>
              <w:rPr>
                <w:sz w:val="21"/>
                <w:szCs w:val="21"/>
              </w:rPr>
            </w:pPr>
            <w:r>
              <w:rPr>
                <w:rFonts w:hint="eastAsia"/>
                <w:sz w:val="21"/>
                <w:szCs w:val="21"/>
              </w:rPr>
              <w:t>0.303</w:t>
            </w:r>
          </w:p>
        </w:tc>
        <w:tc>
          <w:tcPr>
            <w:tcW w:w="851" w:type="dxa"/>
            <w:vAlign w:val="center"/>
          </w:tcPr>
          <w:p>
            <w:pPr>
              <w:spacing w:line="240" w:lineRule="auto"/>
              <w:ind w:firstLine="0" w:firstLineChars="0"/>
              <w:jc w:val="center"/>
              <w:rPr>
                <w:sz w:val="21"/>
                <w:szCs w:val="21"/>
              </w:rPr>
            </w:pPr>
            <w:r>
              <w:rPr>
                <w:rFonts w:hint="eastAsia"/>
                <w:sz w:val="21"/>
                <w:szCs w:val="21"/>
              </w:rPr>
              <w:t>0.368</w:t>
            </w:r>
          </w:p>
        </w:tc>
        <w:tc>
          <w:tcPr>
            <w:tcW w:w="850" w:type="dxa"/>
            <w:vAlign w:val="center"/>
          </w:tcPr>
          <w:p>
            <w:pPr>
              <w:spacing w:line="240" w:lineRule="auto"/>
              <w:ind w:firstLine="0" w:firstLineChars="0"/>
              <w:jc w:val="center"/>
              <w:rPr>
                <w:sz w:val="21"/>
                <w:szCs w:val="21"/>
              </w:rPr>
            </w:pPr>
            <w:r>
              <w:rPr>
                <w:rFonts w:hint="eastAsia"/>
                <w:sz w:val="21"/>
                <w:szCs w:val="21"/>
              </w:rPr>
              <w:t>0.253</w:t>
            </w:r>
          </w:p>
        </w:tc>
        <w:tc>
          <w:tcPr>
            <w:tcW w:w="851" w:type="dxa"/>
            <w:vAlign w:val="center"/>
          </w:tcPr>
          <w:p>
            <w:pPr>
              <w:spacing w:line="240" w:lineRule="auto"/>
              <w:ind w:firstLine="0" w:firstLineChars="0"/>
              <w:jc w:val="center"/>
              <w:rPr>
                <w:sz w:val="21"/>
                <w:szCs w:val="21"/>
              </w:rPr>
            </w:pPr>
            <w:r>
              <w:rPr>
                <w:rFonts w:hint="eastAsia"/>
                <w:sz w:val="21"/>
                <w:szCs w:val="21"/>
              </w:rPr>
              <w:t>0.252</w:t>
            </w:r>
          </w:p>
        </w:tc>
        <w:tc>
          <w:tcPr>
            <w:tcW w:w="759" w:type="dxa"/>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Align w:val="center"/>
          </w:tcPr>
          <w:p>
            <w:pPr>
              <w:spacing w:line="240" w:lineRule="auto"/>
              <w:ind w:firstLine="0" w:firstLineChars="0"/>
              <w:jc w:val="center"/>
              <w:rPr>
                <w:sz w:val="21"/>
                <w:szCs w:val="21"/>
              </w:rPr>
            </w:pPr>
            <w:r>
              <w:rPr>
                <w:rFonts w:hint="eastAsia"/>
                <w:sz w:val="21"/>
                <w:szCs w:val="21"/>
              </w:rPr>
              <w:t>总</w:t>
            </w:r>
            <w:r>
              <w:rPr>
                <w:sz w:val="21"/>
                <w:szCs w:val="21"/>
              </w:rPr>
              <w:t>VOCs</w:t>
            </w:r>
          </w:p>
        </w:tc>
        <w:tc>
          <w:tcPr>
            <w:tcW w:w="850" w:type="dxa"/>
            <w:vAlign w:val="center"/>
          </w:tcPr>
          <w:p>
            <w:pPr>
              <w:spacing w:line="240" w:lineRule="auto"/>
              <w:ind w:firstLine="0" w:firstLineChars="0"/>
              <w:jc w:val="center"/>
              <w:rPr>
                <w:sz w:val="21"/>
                <w:szCs w:val="21"/>
              </w:rPr>
            </w:pPr>
            <w:r>
              <w:rPr>
                <w:rFonts w:hint="eastAsia"/>
                <w:sz w:val="21"/>
                <w:szCs w:val="21"/>
              </w:rPr>
              <w:t>0.05</w:t>
            </w:r>
          </w:p>
        </w:tc>
        <w:tc>
          <w:tcPr>
            <w:tcW w:w="851" w:type="dxa"/>
            <w:vAlign w:val="center"/>
          </w:tcPr>
          <w:p>
            <w:pPr>
              <w:spacing w:line="240" w:lineRule="auto"/>
              <w:ind w:firstLine="0" w:firstLineChars="0"/>
              <w:jc w:val="center"/>
              <w:rPr>
                <w:sz w:val="21"/>
                <w:szCs w:val="21"/>
              </w:rPr>
            </w:pPr>
            <w:r>
              <w:rPr>
                <w:rFonts w:hint="eastAsia"/>
                <w:sz w:val="21"/>
                <w:szCs w:val="21"/>
              </w:rPr>
              <w:t>0.08</w:t>
            </w:r>
          </w:p>
        </w:tc>
        <w:tc>
          <w:tcPr>
            <w:tcW w:w="850" w:type="dxa"/>
            <w:vAlign w:val="center"/>
          </w:tcPr>
          <w:p>
            <w:pPr>
              <w:spacing w:line="240" w:lineRule="auto"/>
              <w:ind w:firstLine="0" w:firstLineChars="0"/>
              <w:jc w:val="center"/>
              <w:rPr>
                <w:sz w:val="21"/>
                <w:szCs w:val="21"/>
              </w:rPr>
            </w:pPr>
            <w:r>
              <w:rPr>
                <w:rFonts w:hint="eastAsia"/>
                <w:sz w:val="21"/>
                <w:szCs w:val="21"/>
              </w:rPr>
              <w:t>0.09</w:t>
            </w:r>
          </w:p>
        </w:tc>
        <w:tc>
          <w:tcPr>
            <w:tcW w:w="851" w:type="dxa"/>
            <w:vAlign w:val="center"/>
          </w:tcPr>
          <w:p>
            <w:pPr>
              <w:spacing w:line="240" w:lineRule="auto"/>
              <w:ind w:firstLine="0" w:firstLineChars="0"/>
              <w:jc w:val="center"/>
              <w:rPr>
                <w:sz w:val="21"/>
                <w:szCs w:val="21"/>
              </w:rPr>
            </w:pPr>
            <w:r>
              <w:rPr>
                <w:rFonts w:hint="eastAsia"/>
                <w:sz w:val="21"/>
                <w:szCs w:val="21"/>
              </w:rPr>
              <w:t>0.07</w:t>
            </w:r>
          </w:p>
        </w:tc>
        <w:tc>
          <w:tcPr>
            <w:tcW w:w="850" w:type="dxa"/>
            <w:vAlign w:val="center"/>
          </w:tcPr>
          <w:p>
            <w:pPr>
              <w:spacing w:line="240" w:lineRule="auto"/>
              <w:ind w:firstLine="0" w:firstLineChars="0"/>
              <w:jc w:val="center"/>
              <w:rPr>
                <w:sz w:val="21"/>
                <w:szCs w:val="21"/>
              </w:rPr>
            </w:pPr>
            <w:r>
              <w:rPr>
                <w:rFonts w:hint="eastAsia"/>
                <w:sz w:val="21"/>
                <w:szCs w:val="21"/>
              </w:rPr>
              <w:t>0.08</w:t>
            </w:r>
          </w:p>
        </w:tc>
        <w:tc>
          <w:tcPr>
            <w:tcW w:w="851" w:type="dxa"/>
            <w:vAlign w:val="center"/>
          </w:tcPr>
          <w:p>
            <w:pPr>
              <w:spacing w:line="240" w:lineRule="auto"/>
              <w:ind w:firstLine="0" w:firstLineChars="0"/>
              <w:jc w:val="center"/>
              <w:rPr>
                <w:sz w:val="21"/>
                <w:szCs w:val="21"/>
              </w:rPr>
            </w:pPr>
            <w:r>
              <w:rPr>
                <w:rFonts w:hint="eastAsia"/>
                <w:sz w:val="21"/>
                <w:szCs w:val="21"/>
              </w:rPr>
              <w:t>0.09</w:t>
            </w:r>
          </w:p>
        </w:tc>
        <w:tc>
          <w:tcPr>
            <w:tcW w:w="759" w:type="dxa"/>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restart"/>
            <w:vAlign w:val="center"/>
          </w:tcPr>
          <w:p>
            <w:pPr>
              <w:spacing w:line="240" w:lineRule="auto"/>
              <w:ind w:firstLine="0" w:firstLineChars="0"/>
              <w:jc w:val="center"/>
              <w:rPr>
                <w:sz w:val="21"/>
                <w:szCs w:val="21"/>
              </w:rPr>
            </w:pPr>
            <w:r>
              <w:rPr>
                <w:rFonts w:hint="eastAsia"/>
                <w:sz w:val="21"/>
                <w:szCs w:val="21"/>
              </w:rPr>
              <w:t>下风向监控点2#</w:t>
            </w:r>
          </w:p>
        </w:tc>
        <w:tc>
          <w:tcPr>
            <w:tcW w:w="1305" w:type="dxa"/>
            <w:vAlign w:val="center"/>
          </w:tcPr>
          <w:p>
            <w:pPr>
              <w:spacing w:line="240" w:lineRule="auto"/>
              <w:ind w:firstLine="0" w:firstLineChars="0"/>
              <w:jc w:val="center"/>
              <w:rPr>
                <w:sz w:val="21"/>
                <w:szCs w:val="21"/>
              </w:rPr>
            </w:pPr>
            <w:r>
              <w:rPr>
                <w:rFonts w:hint="eastAsia"/>
                <w:sz w:val="21"/>
                <w:szCs w:val="21"/>
              </w:rPr>
              <w:t>颗粒物</w:t>
            </w:r>
          </w:p>
        </w:tc>
        <w:tc>
          <w:tcPr>
            <w:tcW w:w="850" w:type="dxa"/>
            <w:vAlign w:val="center"/>
          </w:tcPr>
          <w:p>
            <w:pPr>
              <w:spacing w:line="240" w:lineRule="auto"/>
              <w:ind w:firstLine="0" w:firstLineChars="0"/>
              <w:jc w:val="center"/>
              <w:rPr>
                <w:sz w:val="21"/>
                <w:szCs w:val="21"/>
              </w:rPr>
            </w:pPr>
            <w:r>
              <w:rPr>
                <w:rFonts w:hint="eastAsia"/>
                <w:sz w:val="21"/>
                <w:szCs w:val="21"/>
              </w:rPr>
              <w:t>0.337</w:t>
            </w:r>
          </w:p>
        </w:tc>
        <w:tc>
          <w:tcPr>
            <w:tcW w:w="851" w:type="dxa"/>
            <w:vAlign w:val="center"/>
          </w:tcPr>
          <w:p>
            <w:pPr>
              <w:spacing w:line="240" w:lineRule="auto"/>
              <w:ind w:firstLine="0" w:firstLineChars="0"/>
              <w:jc w:val="center"/>
              <w:rPr>
                <w:sz w:val="21"/>
                <w:szCs w:val="21"/>
              </w:rPr>
            </w:pPr>
            <w:r>
              <w:rPr>
                <w:rFonts w:hint="eastAsia"/>
                <w:sz w:val="21"/>
                <w:szCs w:val="21"/>
              </w:rPr>
              <w:t>0.370</w:t>
            </w:r>
          </w:p>
        </w:tc>
        <w:tc>
          <w:tcPr>
            <w:tcW w:w="850" w:type="dxa"/>
            <w:vAlign w:val="center"/>
          </w:tcPr>
          <w:p>
            <w:pPr>
              <w:spacing w:line="240" w:lineRule="auto"/>
              <w:ind w:firstLine="0" w:firstLineChars="0"/>
              <w:jc w:val="center"/>
              <w:rPr>
                <w:sz w:val="21"/>
                <w:szCs w:val="21"/>
              </w:rPr>
            </w:pPr>
            <w:r>
              <w:rPr>
                <w:rFonts w:hint="eastAsia"/>
                <w:sz w:val="21"/>
                <w:szCs w:val="21"/>
              </w:rPr>
              <w:t>0.404</w:t>
            </w:r>
          </w:p>
        </w:tc>
        <w:tc>
          <w:tcPr>
            <w:tcW w:w="851" w:type="dxa"/>
            <w:vAlign w:val="center"/>
          </w:tcPr>
          <w:p>
            <w:pPr>
              <w:spacing w:line="240" w:lineRule="auto"/>
              <w:ind w:firstLine="0" w:firstLineChars="0"/>
              <w:jc w:val="center"/>
              <w:rPr>
                <w:sz w:val="21"/>
                <w:szCs w:val="21"/>
              </w:rPr>
            </w:pPr>
            <w:r>
              <w:rPr>
                <w:rFonts w:hint="eastAsia"/>
                <w:sz w:val="21"/>
                <w:szCs w:val="21"/>
              </w:rPr>
              <w:t>0.404</w:t>
            </w:r>
          </w:p>
        </w:tc>
        <w:tc>
          <w:tcPr>
            <w:tcW w:w="850" w:type="dxa"/>
            <w:vAlign w:val="center"/>
          </w:tcPr>
          <w:p>
            <w:pPr>
              <w:spacing w:line="240" w:lineRule="auto"/>
              <w:ind w:firstLine="0" w:firstLineChars="0"/>
              <w:jc w:val="center"/>
              <w:rPr>
                <w:sz w:val="21"/>
                <w:szCs w:val="21"/>
              </w:rPr>
            </w:pPr>
            <w:r>
              <w:rPr>
                <w:rFonts w:hint="eastAsia"/>
                <w:sz w:val="21"/>
                <w:szCs w:val="21"/>
              </w:rPr>
              <w:t>0.354</w:t>
            </w:r>
          </w:p>
        </w:tc>
        <w:tc>
          <w:tcPr>
            <w:tcW w:w="851" w:type="dxa"/>
            <w:vAlign w:val="center"/>
          </w:tcPr>
          <w:p>
            <w:pPr>
              <w:spacing w:line="240" w:lineRule="auto"/>
              <w:ind w:firstLine="0" w:firstLineChars="0"/>
              <w:jc w:val="center"/>
              <w:rPr>
                <w:sz w:val="21"/>
                <w:szCs w:val="21"/>
              </w:rPr>
            </w:pPr>
            <w:r>
              <w:rPr>
                <w:rFonts w:hint="eastAsia"/>
                <w:sz w:val="21"/>
                <w:szCs w:val="21"/>
              </w:rPr>
              <w:t>0.370</w:t>
            </w:r>
          </w:p>
        </w:tc>
        <w:tc>
          <w:tcPr>
            <w:tcW w:w="759" w:type="dxa"/>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Align w:val="center"/>
          </w:tcPr>
          <w:p>
            <w:pPr>
              <w:spacing w:line="240" w:lineRule="auto"/>
              <w:ind w:firstLine="0" w:firstLineChars="0"/>
              <w:jc w:val="center"/>
              <w:rPr>
                <w:sz w:val="21"/>
                <w:szCs w:val="21"/>
              </w:rPr>
            </w:pPr>
            <w:r>
              <w:rPr>
                <w:rFonts w:hint="eastAsia"/>
                <w:sz w:val="21"/>
                <w:szCs w:val="21"/>
              </w:rPr>
              <w:t>总</w:t>
            </w:r>
            <w:r>
              <w:rPr>
                <w:sz w:val="21"/>
                <w:szCs w:val="21"/>
              </w:rPr>
              <w:t>VOCs</w:t>
            </w:r>
          </w:p>
        </w:tc>
        <w:tc>
          <w:tcPr>
            <w:tcW w:w="850" w:type="dxa"/>
            <w:vAlign w:val="center"/>
          </w:tcPr>
          <w:p>
            <w:pPr>
              <w:spacing w:line="240" w:lineRule="auto"/>
              <w:ind w:firstLine="0" w:firstLineChars="0"/>
              <w:jc w:val="center"/>
              <w:rPr>
                <w:sz w:val="21"/>
                <w:szCs w:val="21"/>
              </w:rPr>
            </w:pPr>
            <w:r>
              <w:rPr>
                <w:rFonts w:hint="eastAsia"/>
                <w:sz w:val="21"/>
                <w:szCs w:val="21"/>
              </w:rPr>
              <w:t>0.10</w:t>
            </w:r>
          </w:p>
        </w:tc>
        <w:tc>
          <w:tcPr>
            <w:tcW w:w="851" w:type="dxa"/>
            <w:vAlign w:val="center"/>
          </w:tcPr>
          <w:p>
            <w:pPr>
              <w:spacing w:line="240" w:lineRule="auto"/>
              <w:ind w:firstLine="0" w:firstLineChars="0"/>
              <w:jc w:val="center"/>
              <w:rPr>
                <w:sz w:val="21"/>
                <w:szCs w:val="21"/>
              </w:rPr>
            </w:pPr>
            <w:r>
              <w:rPr>
                <w:rFonts w:hint="eastAsia"/>
                <w:sz w:val="21"/>
                <w:szCs w:val="21"/>
              </w:rPr>
              <w:t>0.11</w:t>
            </w:r>
          </w:p>
        </w:tc>
        <w:tc>
          <w:tcPr>
            <w:tcW w:w="850" w:type="dxa"/>
            <w:vAlign w:val="center"/>
          </w:tcPr>
          <w:p>
            <w:pPr>
              <w:spacing w:line="240" w:lineRule="auto"/>
              <w:ind w:firstLine="0" w:firstLineChars="0"/>
              <w:jc w:val="center"/>
              <w:rPr>
                <w:sz w:val="21"/>
                <w:szCs w:val="21"/>
              </w:rPr>
            </w:pPr>
            <w:r>
              <w:rPr>
                <w:rFonts w:hint="eastAsia"/>
                <w:sz w:val="21"/>
                <w:szCs w:val="21"/>
              </w:rPr>
              <w:t>0.11</w:t>
            </w:r>
          </w:p>
        </w:tc>
        <w:tc>
          <w:tcPr>
            <w:tcW w:w="851" w:type="dxa"/>
            <w:vAlign w:val="center"/>
          </w:tcPr>
          <w:p>
            <w:pPr>
              <w:spacing w:line="240" w:lineRule="auto"/>
              <w:ind w:firstLine="0" w:firstLineChars="0"/>
              <w:jc w:val="center"/>
              <w:rPr>
                <w:sz w:val="21"/>
                <w:szCs w:val="21"/>
              </w:rPr>
            </w:pPr>
            <w:r>
              <w:rPr>
                <w:rFonts w:hint="eastAsia"/>
                <w:sz w:val="21"/>
                <w:szCs w:val="21"/>
              </w:rPr>
              <w:t>0.10</w:t>
            </w:r>
          </w:p>
        </w:tc>
        <w:tc>
          <w:tcPr>
            <w:tcW w:w="850" w:type="dxa"/>
            <w:vAlign w:val="center"/>
          </w:tcPr>
          <w:p>
            <w:pPr>
              <w:spacing w:line="240" w:lineRule="auto"/>
              <w:ind w:firstLine="0" w:firstLineChars="0"/>
              <w:jc w:val="center"/>
              <w:rPr>
                <w:sz w:val="21"/>
                <w:szCs w:val="21"/>
              </w:rPr>
            </w:pPr>
            <w:r>
              <w:rPr>
                <w:rFonts w:hint="eastAsia"/>
                <w:sz w:val="21"/>
                <w:szCs w:val="21"/>
              </w:rPr>
              <w:t>0.10</w:t>
            </w:r>
          </w:p>
        </w:tc>
        <w:tc>
          <w:tcPr>
            <w:tcW w:w="851" w:type="dxa"/>
            <w:vAlign w:val="center"/>
          </w:tcPr>
          <w:p>
            <w:pPr>
              <w:spacing w:line="240" w:lineRule="auto"/>
              <w:ind w:firstLine="0" w:firstLineChars="0"/>
              <w:jc w:val="center"/>
              <w:rPr>
                <w:sz w:val="21"/>
                <w:szCs w:val="21"/>
              </w:rPr>
            </w:pPr>
            <w:r>
              <w:rPr>
                <w:rFonts w:hint="eastAsia"/>
                <w:sz w:val="21"/>
                <w:szCs w:val="21"/>
              </w:rPr>
              <w:t>0.11</w:t>
            </w:r>
          </w:p>
        </w:tc>
        <w:tc>
          <w:tcPr>
            <w:tcW w:w="759" w:type="dxa"/>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restart"/>
            <w:vAlign w:val="center"/>
          </w:tcPr>
          <w:p>
            <w:pPr>
              <w:spacing w:line="240" w:lineRule="auto"/>
              <w:ind w:firstLine="0" w:firstLineChars="0"/>
              <w:jc w:val="center"/>
              <w:rPr>
                <w:sz w:val="21"/>
                <w:szCs w:val="21"/>
              </w:rPr>
            </w:pPr>
            <w:r>
              <w:rPr>
                <w:rFonts w:hint="eastAsia"/>
                <w:sz w:val="21"/>
                <w:szCs w:val="21"/>
              </w:rPr>
              <w:t>下风向监控点3#</w:t>
            </w:r>
          </w:p>
        </w:tc>
        <w:tc>
          <w:tcPr>
            <w:tcW w:w="1305" w:type="dxa"/>
            <w:vAlign w:val="center"/>
          </w:tcPr>
          <w:p>
            <w:pPr>
              <w:spacing w:line="240" w:lineRule="auto"/>
              <w:ind w:firstLine="0" w:firstLineChars="0"/>
              <w:jc w:val="center"/>
              <w:rPr>
                <w:sz w:val="21"/>
                <w:szCs w:val="21"/>
              </w:rPr>
            </w:pPr>
            <w:r>
              <w:rPr>
                <w:rFonts w:hint="eastAsia"/>
                <w:sz w:val="21"/>
                <w:szCs w:val="21"/>
              </w:rPr>
              <w:t>颗粒物</w:t>
            </w:r>
          </w:p>
        </w:tc>
        <w:tc>
          <w:tcPr>
            <w:tcW w:w="850" w:type="dxa"/>
            <w:vAlign w:val="center"/>
          </w:tcPr>
          <w:p>
            <w:pPr>
              <w:spacing w:line="240" w:lineRule="auto"/>
              <w:ind w:firstLine="0" w:firstLineChars="0"/>
              <w:jc w:val="center"/>
              <w:rPr>
                <w:sz w:val="21"/>
                <w:szCs w:val="21"/>
              </w:rPr>
            </w:pPr>
            <w:r>
              <w:rPr>
                <w:rFonts w:hint="eastAsia"/>
                <w:sz w:val="21"/>
                <w:szCs w:val="21"/>
              </w:rPr>
              <w:t>0.352</w:t>
            </w:r>
          </w:p>
        </w:tc>
        <w:tc>
          <w:tcPr>
            <w:tcW w:w="851" w:type="dxa"/>
            <w:vAlign w:val="center"/>
          </w:tcPr>
          <w:p>
            <w:pPr>
              <w:spacing w:line="240" w:lineRule="auto"/>
              <w:ind w:firstLine="0" w:firstLineChars="0"/>
              <w:jc w:val="center"/>
              <w:rPr>
                <w:sz w:val="21"/>
                <w:szCs w:val="21"/>
              </w:rPr>
            </w:pPr>
            <w:r>
              <w:rPr>
                <w:rFonts w:hint="eastAsia"/>
                <w:sz w:val="21"/>
                <w:szCs w:val="21"/>
              </w:rPr>
              <w:t>0.420</w:t>
            </w:r>
          </w:p>
        </w:tc>
        <w:tc>
          <w:tcPr>
            <w:tcW w:w="850" w:type="dxa"/>
            <w:vAlign w:val="center"/>
          </w:tcPr>
          <w:p>
            <w:pPr>
              <w:spacing w:line="240" w:lineRule="auto"/>
              <w:ind w:firstLine="0" w:firstLineChars="0"/>
              <w:jc w:val="center"/>
              <w:rPr>
                <w:sz w:val="21"/>
                <w:szCs w:val="21"/>
              </w:rPr>
            </w:pPr>
            <w:r>
              <w:rPr>
                <w:rFonts w:hint="eastAsia"/>
                <w:sz w:val="21"/>
                <w:szCs w:val="21"/>
              </w:rPr>
              <w:t>0.436</w:t>
            </w:r>
          </w:p>
        </w:tc>
        <w:tc>
          <w:tcPr>
            <w:tcW w:w="851" w:type="dxa"/>
            <w:vAlign w:val="center"/>
          </w:tcPr>
          <w:p>
            <w:pPr>
              <w:spacing w:line="240" w:lineRule="auto"/>
              <w:ind w:firstLine="0" w:firstLineChars="0"/>
              <w:jc w:val="center"/>
              <w:rPr>
                <w:sz w:val="21"/>
                <w:szCs w:val="21"/>
              </w:rPr>
            </w:pPr>
            <w:r>
              <w:rPr>
                <w:rFonts w:hint="eastAsia"/>
                <w:sz w:val="21"/>
                <w:szCs w:val="21"/>
              </w:rPr>
              <w:t>0.387</w:t>
            </w:r>
          </w:p>
        </w:tc>
        <w:tc>
          <w:tcPr>
            <w:tcW w:w="850" w:type="dxa"/>
            <w:vAlign w:val="center"/>
          </w:tcPr>
          <w:p>
            <w:pPr>
              <w:spacing w:line="240" w:lineRule="auto"/>
              <w:ind w:firstLine="0" w:firstLineChars="0"/>
              <w:jc w:val="center"/>
              <w:rPr>
                <w:sz w:val="21"/>
                <w:szCs w:val="21"/>
              </w:rPr>
            </w:pPr>
            <w:r>
              <w:rPr>
                <w:rFonts w:hint="eastAsia"/>
                <w:sz w:val="21"/>
                <w:szCs w:val="21"/>
              </w:rPr>
              <w:t>0.404</w:t>
            </w:r>
          </w:p>
        </w:tc>
        <w:tc>
          <w:tcPr>
            <w:tcW w:w="851" w:type="dxa"/>
            <w:vAlign w:val="center"/>
          </w:tcPr>
          <w:p>
            <w:pPr>
              <w:spacing w:line="240" w:lineRule="auto"/>
              <w:ind w:firstLine="0" w:firstLineChars="0"/>
              <w:jc w:val="center"/>
              <w:rPr>
                <w:sz w:val="21"/>
                <w:szCs w:val="21"/>
              </w:rPr>
            </w:pPr>
            <w:r>
              <w:rPr>
                <w:rFonts w:hint="eastAsia"/>
                <w:sz w:val="21"/>
                <w:szCs w:val="21"/>
              </w:rPr>
              <w:t>0.437</w:t>
            </w:r>
          </w:p>
        </w:tc>
        <w:tc>
          <w:tcPr>
            <w:tcW w:w="759" w:type="dxa"/>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Align w:val="center"/>
          </w:tcPr>
          <w:p>
            <w:pPr>
              <w:spacing w:line="240" w:lineRule="auto"/>
              <w:ind w:firstLine="0" w:firstLineChars="0"/>
              <w:jc w:val="center"/>
              <w:rPr>
                <w:sz w:val="21"/>
                <w:szCs w:val="21"/>
              </w:rPr>
            </w:pPr>
            <w:r>
              <w:rPr>
                <w:rFonts w:hint="eastAsia"/>
                <w:sz w:val="21"/>
                <w:szCs w:val="21"/>
              </w:rPr>
              <w:t>总</w:t>
            </w:r>
            <w:r>
              <w:rPr>
                <w:sz w:val="21"/>
                <w:szCs w:val="21"/>
              </w:rPr>
              <w:t>VOCs</w:t>
            </w:r>
          </w:p>
        </w:tc>
        <w:tc>
          <w:tcPr>
            <w:tcW w:w="850" w:type="dxa"/>
            <w:vAlign w:val="center"/>
          </w:tcPr>
          <w:p>
            <w:pPr>
              <w:spacing w:line="240" w:lineRule="auto"/>
              <w:ind w:firstLine="0" w:firstLineChars="0"/>
              <w:jc w:val="center"/>
              <w:rPr>
                <w:sz w:val="21"/>
                <w:szCs w:val="21"/>
              </w:rPr>
            </w:pPr>
            <w:r>
              <w:rPr>
                <w:rFonts w:hint="eastAsia"/>
                <w:sz w:val="21"/>
                <w:szCs w:val="21"/>
              </w:rPr>
              <w:t>0.13</w:t>
            </w:r>
          </w:p>
        </w:tc>
        <w:tc>
          <w:tcPr>
            <w:tcW w:w="851" w:type="dxa"/>
            <w:vAlign w:val="center"/>
          </w:tcPr>
          <w:p>
            <w:pPr>
              <w:spacing w:line="240" w:lineRule="auto"/>
              <w:ind w:firstLine="0" w:firstLineChars="0"/>
              <w:jc w:val="center"/>
              <w:rPr>
                <w:sz w:val="21"/>
                <w:szCs w:val="21"/>
              </w:rPr>
            </w:pPr>
            <w:r>
              <w:rPr>
                <w:rFonts w:hint="eastAsia"/>
                <w:sz w:val="21"/>
                <w:szCs w:val="21"/>
              </w:rPr>
              <w:t>0.13</w:t>
            </w:r>
          </w:p>
        </w:tc>
        <w:tc>
          <w:tcPr>
            <w:tcW w:w="850" w:type="dxa"/>
            <w:vAlign w:val="center"/>
          </w:tcPr>
          <w:p>
            <w:pPr>
              <w:spacing w:line="240" w:lineRule="auto"/>
              <w:ind w:firstLine="0" w:firstLineChars="0"/>
              <w:jc w:val="center"/>
              <w:rPr>
                <w:sz w:val="21"/>
                <w:szCs w:val="21"/>
              </w:rPr>
            </w:pPr>
            <w:r>
              <w:rPr>
                <w:rFonts w:hint="eastAsia"/>
                <w:sz w:val="21"/>
                <w:szCs w:val="21"/>
              </w:rPr>
              <w:t>0.15</w:t>
            </w:r>
          </w:p>
        </w:tc>
        <w:tc>
          <w:tcPr>
            <w:tcW w:w="851" w:type="dxa"/>
            <w:vAlign w:val="center"/>
          </w:tcPr>
          <w:p>
            <w:pPr>
              <w:spacing w:line="240" w:lineRule="auto"/>
              <w:ind w:firstLine="0" w:firstLineChars="0"/>
              <w:jc w:val="center"/>
              <w:rPr>
                <w:sz w:val="21"/>
                <w:szCs w:val="21"/>
              </w:rPr>
            </w:pPr>
            <w:r>
              <w:rPr>
                <w:rFonts w:hint="eastAsia"/>
                <w:sz w:val="21"/>
                <w:szCs w:val="21"/>
              </w:rPr>
              <w:t>0.12</w:t>
            </w:r>
          </w:p>
        </w:tc>
        <w:tc>
          <w:tcPr>
            <w:tcW w:w="850" w:type="dxa"/>
            <w:vAlign w:val="center"/>
          </w:tcPr>
          <w:p>
            <w:pPr>
              <w:spacing w:line="240" w:lineRule="auto"/>
              <w:ind w:firstLine="0" w:firstLineChars="0"/>
              <w:jc w:val="center"/>
              <w:rPr>
                <w:sz w:val="21"/>
                <w:szCs w:val="21"/>
              </w:rPr>
            </w:pPr>
            <w:r>
              <w:rPr>
                <w:rFonts w:hint="eastAsia"/>
                <w:sz w:val="21"/>
                <w:szCs w:val="21"/>
              </w:rPr>
              <w:t>0.12</w:t>
            </w:r>
          </w:p>
        </w:tc>
        <w:tc>
          <w:tcPr>
            <w:tcW w:w="851" w:type="dxa"/>
            <w:vAlign w:val="center"/>
          </w:tcPr>
          <w:p>
            <w:pPr>
              <w:spacing w:line="240" w:lineRule="auto"/>
              <w:ind w:firstLine="0" w:firstLineChars="0"/>
              <w:jc w:val="center"/>
              <w:rPr>
                <w:sz w:val="21"/>
                <w:szCs w:val="21"/>
              </w:rPr>
            </w:pPr>
            <w:r>
              <w:rPr>
                <w:rFonts w:hint="eastAsia"/>
                <w:sz w:val="21"/>
                <w:szCs w:val="21"/>
              </w:rPr>
              <w:t>0.13</w:t>
            </w:r>
          </w:p>
        </w:tc>
        <w:tc>
          <w:tcPr>
            <w:tcW w:w="759" w:type="dxa"/>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restart"/>
            <w:vAlign w:val="center"/>
          </w:tcPr>
          <w:p>
            <w:pPr>
              <w:spacing w:line="240" w:lineRule="auto"/>
              <w:ind w:firstLine="0" w:firstLineChars="0"/>
              <w:jc w:val="center"/>
              <w:rPr>
                <w:sz w:val="21"/>
                <w:szCs w:val="21"/>
              </w:rPr>
            </w:pPr>
            <w:r>
              <w:rPr>
                <w:rFonts w:hint="eastAsia"/>
                <w:sz w:val="21"/>
                <w:szCs w:val="21"/>
              </w:rPr>
              <w:t>下风向监控点4#</w:t>
            </w:r>
          </w:p>
        </w:tc>
        <w:tc>
          <w:tcPr>
            <w:tcW w:w="1305" w:type="dxa"/>
            <w:vAlign w:val="center"/>
          </w:tcPr>
          <w:p>
            <w:pPr>
              <w:spacing w:line="240" w:lineRule="auto"/>
              <w:ind w:firstLine="0" w:firstLineChars="0"/>
              <w:jc w:val="center"/>
              <w:rPr>
                <w:sz w:val="21"/>
                <w:szCs w:val="21"/>
              </w:rPr>
            </w:pPr>
            <w:r>
              <w:rPr>
                <w:rFonts w:hint="eastAsia"/>
                <w:sz w:val="21"/>
                <w:szCs w:val="21"/>
              </w:rPr>
              <w:t>颗粒物</w:t>
            </w:r>
          </w:p>
        </w:tc>
        <w:tc>
          <w:tcPr>
            <w:tcW w:w="850" w:type="dxa"/>
            <w:vAlign w:val="center"/>
          </w:tcPr>
          <w:p>
            <w:pPr>
              <w:spacing w:line="240" w:lineRule="auto"/>
              <w:ind w:firstLine="0" w:firstLineChars="0"/>
              <w:jc w:val="center"/>
              <w:rPr>
                <w:sz w:val="21"/>
                <w:szCs w:val="21"/>
              </w:rPr>
            </w:pPr>
            <w:r>
              <w:rPr>
                <w:rFonts w:hint="eastAsia"/>
                <w:sz w:val="21"/>
                <w:szCs w:val="21"/>
              </w:rPr>
              <w:t>0.403</w:t>
            </w:r>
          </w:p>
        </w:tc>
        <w:tc>
          <w:tcPr>
            <w:tcW w:w="851" w:type="dxa"/>
            <w:vAlign w:val="center"/>
          </w:tcPr>
          <w:p>
            <w:pPr>
              <w:spacing w:line="240" w:lineRule="auto"/>
              <w:ind w:firstLine="0" w:firstLineChars="0"/>
              <w:jc w:val="center"/>
              <w:rPr>
                <w:sz w:val="21"/>
                <w:szCs w:val="21"/>
              </w:rPr>
            </w:pPr>
            <w:r>
              <w:rPr>
                <w:rFonts w:hint="eastAsia"/>
                <w:sz w:val="21"/>
                <w:szCs w:val="21"/>
              </w:rPr>
              <w:t>0.353</w:t>
            </w:r>
          </w:p>
        </w:tc>
        <w:tc>
          <w:tcPr>
            <w:tcW w:w="850" w:type="dxa"/>
            <w:vAlign w:val="center"/>
          </w:tcPr>
          <w:p>
            <w:pPr>
              <w:spacing w:line="240" w:lineRule="auto"/>
              <w:ind w:firstLine="0" w:firstLineChars="0"/>
              <w:jc w:val="center"/>
              <w:rPr>
                <w:sz w:val="21"/>
                <w:szCs w:val="21"/>
              </w:rPr>
            </w:pPr>
            <w:r>
              <w:rPr>
                <w:rFonts w:hint="eastAsia"/>
                <w:sz w:val="21"/>
                <w:szCs w:val="21"/>
              </w:rPr>
              <w:t>0.387</w:t>
            </w:r>
          </w:p>
        </w:tc>
        <w:tc>
          <w:tcPr>
            <w:tcW w:w="851" w:type="dxa"/>
            <w:vAlign w:val="center"/>
          </w:tcPr>
          <w:p>
            <w:pPr>
              <w:spacing w:line="240" w:lineRule="auto"/>
              <w:ind w:firstLine="0" w:firstLineChars="0"/>
              <w:jc w:val="center"/>
              <w:rPr>
                <w:sz w:val="21"/>
                <w:szCs w:val="21"/>
              </w:rPr>
            </w:pPr>
            <w:r>
              <w:rPr>
                <w:rFonts w:hint="eastAsia"/>
                <w:sz w:val="21"/>
                <w:szCs w:val="21"/>
              </w:rPr>
              <w:t>0.336</w:t>
            </w:r>
          </w:p>
        </w:tc>
        <w:tc>
          <w:tcPr>
            <w:tcW w:w="850" w:type="dxa"/>
            <w:vAlign w:val="center"/>
          </w:tcPr>
          <w:p>
            <w:pPr>
              <w:spacing w:line="240" w:lineRule="auto"/>
              <w:ind w:firstLine="0" w:firstLineChars="0"/>
              <w:jc w:val="center"/>
              <w:rPr>
                <w:sz w:val="21"/>
                <w:szCs w:val="21"/>
              </w:rPr>
            </w:pPr>
            <w:r>
              <w:rPr>
                <w:rFonts w:hint="eastAsia"/>
                <w:sz w:val="21"/>
                <w:szCs w:val="21"/>
              </w:rPr>
              <w:t>0.320</w:t>
            </w:r>
          </w:p>
        </w:tc>
        <w:tc>
          <w:tcPr>
            <w:tcW w:w="851" w:type="dxa"/>
            <w:vAlign w:val="center"/>
          </w:tcPr>
          <w:p>
            <w:pPr>
              <w:spacing w:line="240" w:lineRule="auto"/>
              <w:ind w:firstLine="0" w:firstLineChars="0"/>
              <w:jc w:val="center"/>
              <w:rPr>
                <w:sz w:val="21"/>
                <w:szCs w:val="21"/>
              </w:rPr>
            </w:pPr>
            <w:r>
              <w:rPr>
                <w:rFonts w:hint="eastAsia"/>
                <w:sz w:val="21"/>
                <w:szCs w:val="21"/>
              </w:rPr>
              <w:t>0.387</w:t>
            </w:r>
          </w:p>
        </w:tc>
        <w:tc>
          <w:tcPr>
            <w:tcW w:w="759" w:type="dxa"/>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844" w:type="dxa"/>
            <w:vMerge w:val="continue"/>
            <w:vAlign w:val="center"/>
          </w:tcPr>
          <w:p>
            <w:pPr>
              <w:spacing w:line="240" w:lineRule="auto"/>
              <w:ind w:firstLine="0" w:firstLineChars="0"/>
              <w:jc w:val="center"/>
              <w:rPr>
                <w:sz w:val="21"/>
                <w:szCs w:val="21"/>
              </w:rPr>
            </w:pPr>
          </w:p>
        </w:tc>
        <w:tc>
          <w:tcPr>
            <w:tcW w:w="1305" w:type="dxa"/>
            <w:vAlign w:val="center"/>
          </w:tcPr>
          <w:p>
            <w:pPr>
              <w:spacing w:line="240" w:lineRule="auto"/>
              <w:ind w:firstLine="0" w:firstLineChars="0"/>
              <w:jc w:val="center"/>
              <w:rPr>
                <w:sz w:val="21"/>
                <w:szCs w:val="21"/>
              </w:rPr>
            </w:pPr>
            <w:r>
              <w:rPr>
                <w:rFonts w:hint="eastAsia"/>
                <w:sz w:val="21"/>
                <w:szCs w:val="21"/>
              </w:rPr>
              <w:t>总</w:t>
            </w:r>
            <w:r>
              <w:rPr>
                <w:sz w:val="21"/>
                <w:szCs w:val="21"/>
              </w:rPr>
              <w:t>VOCs</w:t>
            </w:r>
          </w:p>
        </w:tc>
        <w:tc>
          <w:tcPr>
            <w:tcW w:w="850" w:type="dxa"/>
            <w:vAlign w:val="center"/>
          </w:tcPr>
          <w:p>
            <w:pPr>
              <w:spacing w:line="240" w:lineRule="auto"/>
              <w:ind w:firstLine="0" w:firstLineChars="0"/>
              <w:jc w:val="center"/>
              <w:rPr>
                <w:sz w:val="21"/>
                <w:szCs w:val="21"/>
              </w:rPr>
            </w:pPr>
            <w:r>
              <w:rPr>
                <w:rFonts w:hint="eastAsia"/>
                <w:sz w:val="21"/>
                <w:szCs w:val="21"/>
              </w:rPr>
              <w:t>0.17</w:t>
            </w:r>
          </w:p>
        </w:tc>
        <w:tc>
          <w:tcPr>
            <w:tcW w:w="851" w:type="dxa"/>
            <w:vAlign w:val="center"/>
          </w:tcPr>
          <w:p>
            <w:pPr>
              <w:spacing w:line="240" w:lineRule="auto"/>
              <w:ind w:firstLine="0" w:firstLineChars="0"/>
              <w:jc w:val="center"/>
              <w:rPr>
                <w:sz w:val="21"/>
                <w:szCs w:val="21"/>
              </w:rPr>
            </w:pPr>
            <w:r>
              <w:rPr>
                <w:rFonts w:hint="eastAsia"/>
                <w:sz w:val="21"/>
                <w:szCs w:val="21"/>
              </w:rPr>
              <w:t>0.17</w:t>
            </w:r>
          </w:p>
        </w:tc>
        <w:tc>
          <w:tcPr>
            <w:tcW w:w="850" w:type="dxa"/>
            <w:vAlign w:val="center"/>
          </w:tcPr>
          <w:p>
            <w:pPr>
              <w:spacing w:line="240" w:lineRule="auto"/>
              <w:ind w:firstLine="0" w:firstLineChars="0"/>
              <w:jc w:val="center"/>
              <w:rPr>
                <w:sz w:val="21"/>
                <w:szCs w:val="21"/>
              </w:rPr>
            </w:pPr>
            <w:r>
              <w:rPr>
                <w:rFonts w:hint="eastAsia"/>
                <w:sz w:val="21"/>
                <w:szCs w:val="21"/>
              </w:rPr>
              <w:t>0.17</w:t>
            </w:r>
          </w:p>
        </w:tc>
        <w:tc>
          <w:tcPr>
            <w:tcW w:w="851" w:type="dxa"/>
            <w:vAlign w:val="center"/>
          </w:tcPr>
          <w:p>
            <w:pPr>
              <w:spacing w:line="240" w:lineRule="auto"/>
              <w:ind w:firstLine="0" w:firstLineChars="0"/>
              <w:jc w:val="center"/>
              <w:rPr>
                <w:sz w:val="21"/>
                <w:szCs w:val="21"/>
              </w:rPr>
            </w:pPr>
            <w:r>
              <w:rPr>
                <w:rFonts w:hint="eastAsia"/>
                <w:sz w:val="21"/>
                <w:szCs w:val="21"/>
              </w:rPr>
              <w:t>0.16</w:t>
            </w:r>
          </w:p>
        </w:tc>
        <w:tc>
          <w:tcPr>
            <w:tcW w:w="850" w:type="dxa"/>
            <w:vAlign w:val="center"/>
          </w:tcPr>
          <w:p>
            <w:pPr>
              <w:spacing w:line="240" w:lineRule="auto"/>
              <w:ind w:firstLine="0" w:firstLineChars="0"/>
              <w:jc w:val="center"/>
              <w:rPr>
                <w:sz w:val="21"/>
                <w:szCs w:val="21"/>
              </w:rPr>
            </w:pPr>
            <w:r>
              <w:rPr>
                <w:rFonts w:hint="eastAsia"/>
                <w:sz w:val="21"/>
                <w:szCs w:val="21"/>
              </w:rPr>
              <w:t>0.16</w:t>
            </w:r>
          </w:p>
        </w:tc>
        <w:tc>
          <w:tcPr>
            <w:tcW w:w="851" w:type="dxa"/>
            <w:vAlign w:val="center"/>
          </w:tcPr>
          <w:p>
            <w:pPr>
              <w:spacing w:line="240" w:lineRule="auto"/>
              <w:ind w:firstLine="0" w:firstLineChars="0"/>
              <w:jc w:val="center"/>
              <w:rPr>
                <w:sz w:val="21"/>
                <w:szCs w:val="21"/>
              </w:rPr>
            </w:pPr>
            <w:r>
              <w:rPr>
                <w:rFonts w:hint="eastAsia"/>
                <w:sz w:val="21"/>
                <w:szCs w:val="21"/>
              </w:rPr>
              <w:t>0.17</w:t>
            </w:r>
          </w:p>
        </w:tc>
        <w:tc>
          <w:tcPr>
            <w:tcW w:w="759" w:type="dxa"/>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011" w:type="dxa"/>
            <w:gridSpan w:val="9"/>
            <w:vAlign w:val="center"/>
          </w:tcPr>
          <w:p>
            <w:pPr>
              <w:spacing w:line="240" w:lineRule="auto"/>
              <w:ind w:firstLine="0" w:firstLineChars="0"/>
              <w:rPr>
                <w:sz w:val="21"/>
                <w:szCs w:val="21"/>
              </w:rPr>
            </w:pPr>
            <w:r>
              <w:rPr>
                <w:rFonts w:hint="eastAsia"/>
                <w:sz w:val="21"/>
                <w:szCs w:val="21"/>
              </w:rPr>
              <w:t>备注参照标准：</w:t>
            </w:r>
            <w:r>
              <w:rPr>
                <w:rFonts w:hAnsi="宋体" w:eastAsia="宋体" w:cs="Times New Roman"/>
                <w:sz w:val="21"/>
                <w:szCs w:val="21"/>
              </w:rPr>
              <w:t>颗粒物执行广东省地方标准《大气污染物排放限值》（DB44/27-2001）第二时段中无组织排放监控浓度限值；VOCs污染因子排放限值参照广东省地方标准《家具制造行业挥发性有机化合物排放标准》（DB44/814-2010）表1</w:t>
            </w:r>
            <w:r>
              <w:rPr>
                <w:rFonts w:hint="eastAsia" w:hAnsi="宋体" w:eastAsia="宋体" w:cs="Times New Roman"/>
                <w:sz w:val="21"/>
                <w:szCs w:val="21"/>
              </w:rPr>
              <w:t>无组织</w:t>
            </w:r>
            <w:r>
              <w:rPr>
                <w:rFonts w:hAnsi="宋体" w:eastAsia="宋体" w:cs="Times New Roman"/>
                <w:sz w:val="21"/>
                <w:szCs w:val="21"/>
              </w:rPr>
              <w:t>排放监控限值。</w:t>
            </w:r>
          </w:p>
        </w:tc>
      </w:tr>
    </w:tbl>
    <w:p>
      <w:pPr>
        <w:pStyle w:val="4"/>
      </w:pPr>
      <w:bookmarkStart w:id="87" w:name="_Toc44511571"/>
      <w:bookmarkStart w:id="88" w:name="_Toc531082179"/>
      <w:bookmarkStart w:id="89" w:name="_Toc72396100"/>
      <w:r>
        <w:rPr>
          <w:rFonts w:hint="eastAsia"/>
        </w:rPr>
        <w:t>8.1.2有组织废气检测结果</w:t>
      </w:r>
      <w:bookmarkEnd w:id="87"/>
      <w:bookmarkEnd w:id="88"/>
      <w:bookmarkEnd w:id="89"/>
    </w:p>
    <w:p>
      <w:pPr>
        <w:ind w:firstLine="0" w:firstLineChars="0"/>
        <w:jc w:val="right"/>
        <w:rPr>
          <w:b/>
        </w:rPr>
      </w:pPr>
      <w:r>
        <w:rPr>
          <w:rFonts w:hint="eastAsia"/>
          <w:b/>
        </w:rPr>
        <w:t xml:space="preserve">表8.2-3有组织废气检测结果 </w:t>
      </w:r>
      <w:r>
        <w:rPr>
          <w:rFonts w:hint="eastAsia"/>
          <w:b/>
          <w:sz w:val="21"/>
          <w:szCs w:val="21"/>
        </w:rPr>
        <w:t>（单位：浓度mg/m</w:t>
      </w:r>
      <w:r>
        <w:rPr>
          <w:rFonts w:hint="eastAsia"/>
          <w:b/>
          <w:sz w:val="21"/>
          <w:szCs w:val="21"/>
          <w:vertAlign w:val="superscript"/>
        </w:rPr>
        <w:t>3</w:t>
      </w:r>
      <w:r>
        <w:rPr>
          <w:rFonts w:hint="eastAsia"/>
          <w:b/>
          <w:sz w:val="21"/>
          <w:szCs w:val="21"/>
        </w:rPr>
        <w:t>、排放速率kg/h）</w:t>
      </w:r>
    </w:p>
    <w:tbl>
      <w:tblPr>
        <w:tblStyle w:val="26"/>
        <w:tblW w:w="9648" w:type="dxa"/>
        <w:jc w:val="center"/>
        <w:tblInd w:w="-8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5"/>
        <w:gridCol w:w="709"/>
        <w:gridCol w:w="992"/>
        <w:gridCol w:w="567"/>
        <w:gridCol w:w="709"/>
        <w:gridCol w:w="709"/>
        <w:gridCol w:w="567"/>
        <w:gridCol w:w="708"/>
        <w:gridCol w:w="809"/>
        <w:gridCol w:w="1134"/>
        <w:gridCol w:w="850"/>
        <w:gridCol w:w="7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25" w:hRule="atLeast"/>
          <w:jc w:val="center"/>
        </w:trPr>
        <w:tc>
          <w:tcPr>
            <w:tcW w:w="1135"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采样日期</w:t>
            </w:r>
          </w:p>
        </w:tc>
        <w:tc>
          <w:tcPr>
            <w:tcW w:w="709"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检测点位</w:t>
            </w:r>
          </w:p>
        </w:tc>
        <w:tc>
          <w:tcPr>
            <w:tcW w:w="992"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检测</w:t>
            </w:r>
          </w:p>
          <w:p>
            <w:pPr>
              <w:spacing w:line="240" w:lineRule="auto"/>
              <w:ind w:firstLine="0" w:firstLineChars="0"/>
              <w:jc w:val="center"/>
              <w:rPr>
                <w:sz w:val="21"/>
                <w:szCs w:val="21"/>
              </w:rPr>
            </w:pPr>
            <w:r>
              <w:rPr>
                <w:rFonts w:hint="eastAsia"/>
                <w:sz w:val="21"/>
                <w:szCs w:val="21"/>
              </w:rPr>
              <w:t>项目</w:t>
            </w:r>
          </w:p>
          <w:p>
            <w:pPr>
              <w:spacing w:line="240" w:lineRule="auto"/>
              <w:ind w:firstLine="0" w:firstLineChars="0"/>
              <w:jc w:val="center"/>
              <w:rPr>
                <w:sz w:val="21"/>
                <w:szCs w:val="21"/>
              </w:rPr>
            </w:pPr>
            <w:r>
              <w:rPr>
                <w:rFonts w:hint="eastAsia"/>
                <w:sz w:val="21"/>
                <w:szCs w:val="21"/>
              </w:rPr>
              <w:t>总</w:t>
            </w:r>
            <w:r>
              <w:rPr>
                <w:sz w:val="21"/>
                <w:szCs w:val="21"/>
              </w:rPr>
              <w:t>VOCs</w:t>
            </w:r>
          </w:p>
        </w:tc>
        <w:tc>
          <w:tcPr>
            <w:tcW w:w="567"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排气筒高度m</w:t>
            </w:r>
          </w:p>
        </w:tc>
        <w:tc>
          <w:tcPr>
            <w:tcW w:w="709"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含湿量%</w:t>
            </w:r>
          </w:p>
        </w:tc>
        <w:tc>
          <w:tcPr>
            <w:tcW w:w="709"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烟温</w:t>
            </w:r>
          </w:p>
          <w:p>
            <w:pPr>
              <w:spacing w:line="240" w:lineRule="auto"/>
              <w:ind w:firstLine="0" w:firstLineChars="0"/>
              <w:jc w:val="center"/>
              <w:rPr>
                <w:sz w:val="21"/>
                <w:szCs w:val="21"/>
              </w:rPr>
            </w:pPr>
            <w:r>
              <w:rPr>
                <w:rFonts w:hint="eastAsia"/>
                <w:sz w:val="21"/>
                <w:szCs w:val="21"/>
              </w:rPr>
              <w:t>℃</w:t>
            </w:r>
          </w:p>
        </w:tc>
        <w:tc>
          <w:tcPr>
            <w:tcW w:w="567"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流速m/s</w:t>
            </w:r>
          </w:p>
        </w:tc>
        <w:tc>
          <w:tcPr>
            <w:tcW w:w="708" w:type="dxa"/>
            <w:vMerge w:val="restart"/>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标杆流量m</w:t>
            </w:r>
            <w:r>
              <w:rPr>
                <w:rFonts w:hint="eastAsia"/>
                <w:sz w:val="21"/>
                <w:szCs w:val="21"/>
                <w:vertAlign w:val="superscript"/>
              </w:rPr>
              <w:t>3</w:t>
            </w:r>
            <w:r>
              <w:rPr>
                <w:rFonts w:hint="eastAsia"/>
                <w:sz w:val="21"/>
                <w:szCs w:val="21"/>
              </w:rPr>
              <w:t>/h</w:t>
            </w:r>
          </w:p>
        </w:tc>
        <w:tc>
          <w:tcPr>
            <w:tcW w:w="1943" w:type="dxa"/>
            <w:gridSpan w:val="2"/>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检测结果</w:t>
            </w:r>
          </w:p>
        </w:tc>
        <w:tc>
          <w:tcPr>
            <w:tcW w:w="1609" w:type="dxa"/>
            <w:gridSpan w:val="2"/>
            <w:tcBorders>
              <w:bottom w:val="single" w:color="000000" w:themeColor="text1" w:sz="4" w:space="0"/>
            </w:tcBorders>
            <w:vAlign w:val="center"/>
          </w:tcPr>
          <w:p>
            <w:pPr>
              <w:spacing w:line="240" w:lineRule="auto"/>
              <w:ind w:firstLine="0" w:firstLineChars="0"/>
              <w:jc w:val="center"/>
              <w:rPr>
                <w:sz w:val="21"/>
                <w:szCs w:val="21"/>
              </w:rPr>
            </w:pPr>
            <w:r>
              <w:rPr>
                <w:rFonts w:hint="eastAsia"/>
                <w:sz w:val="21"/>
                <w:szCs w:val="21"/>
              </w:rPr>
              <w:t>评价标准限值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5" w:type="dxa"/>
            <w:vMerge w:val="continue"/>
            <w:vAlign w:val="center"/>
          </w:tcPr>
          <w:p>
            <w:pPr>
              <w:ind w:firstLine="0" w:firstLineChars="0"/>
              <w:jc w:val="center"/>
              <w:rPr>
                <w:sz w:val="21"/>
                <w:szCs w:val="21"/>
              </w:rPr>
            </w:pPr>
          </w:p>
        </w:tc>
        <w:tc>
          <w:tcPr>
            <w:tcW w:w="709" w:type="dxa"/>
            <w:vMerge w:val="continue"/>
            <w:vAlign w:val="center"/>
          </w:tcPr>
          <w:p>
            <w:pPr>
              <w:ind w:firstLine="0" w:firstLineChars="0"/>
              <w:jc w:val="center"/>
              <w:rPr>
                <w:sz w:val="21"/>
                <w:szCs w:val="21"/>
              </w:rPr>
            </w:pPr>
          </w:p>
        </w:tc>
        <w:tc>
          <w:tcPr>
            <w:tcW w:w="992" w:type="dxa"/>
            <w:vMerge w:val="continue"/>
            <w:vAlign w:val="center"/>
          </w:tcPr>
          <w:p>
            <w:pPr>
              <w:ind w:firstLine="0" w:firstLineChars="0"/>
              <w:jc w:val="center"/>
              <w:rPr>
                <w:sz w:val="21"/>
                <w:szCs w:val="21"/>
              </w:rPr>
            </w:pPr>
          </w:p>
        </w:tc>
        <w:tc>
          <w:tcPr>
            <w:tcW w:w="567"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567" w:type="dxa"/>
            <w:vMerge w:val="continue"/>
            <w:vAlign w:val="center"/>
          </w:tcPr>
          <w:p>
            <w:pPr>
              <w:spacing w:line="240" w:lineRule="auto"/>
              <w:ind w:firstLine="0" w:firstLineChars="0"/>
              <w:jc w:val="center"/>
              <w:rPr>
                <w:sz w:val="21"/>
                <w:szCs w:val="21"/>
              </w:rPr>
            </w:pPr>
          </w:p>
        </w:tc>
        <w:tc>
          <w:tcPr>
            <w:tcW w:w="708" w:type="dxa"/>
            <w:vMerge w:val="continue"/>
            <w:vAlign w:val="center"/>
          </w:tcPr>
          <w:p>
            <w:pPr>
              <w:spacing w:line="240" w:lineRule="auto"/>
              <w:ind w:firstLine="0" w:firstLineChars="0"/>
              <w:jc w:val="center"/>
              <w:rPr>
                <w:sz w:val="21"/>
                <w:szCs w:val="21"/>
              </w:rPr>
            </w:pPr>
          </w:p>
        </w:tc>
        <w:tc>
          <w:tcPr>
            <w:tcW w:w="809" w:type="dxa"/>
            <w:vAlign w:val="center"/>
          </w:tcPr>
          <w:p>
            <w:pPr>
              <w:spacing w:line="240" w:lineRule="auto"/>
              <w:ind w:firstLine="0" w:firstLineChars="0"/>
              <w:jc w:val="center"/>
              <w:rPr>
                <w:sz w:val="21"/>
                <w:szCs w:val="21"/>
              </w:rPr>
            </w:pPr>
            <w:r>
              <w:rPr>
                <w:rFonts w:hint="eastAsia"/>
                <w:sz w:val="21"/>
                <w:szCs w:val="21"/>
              </w:rPr>
              <w:t>排放浓度mg/m</w:t>
            </w:r>
            <w:r>
              <w:rPr>
                <w:rFonts w:hint="eastAsia"/>
                <w:sz w:val="21"/>
                <w:szCs w:val="21"/>
                <w:vertAlign w:val="superscript"/>
              </w:rPr>
              <w:t>3</w:t>
            </w:r>
          </w:p>
        </w:tc>
        <w:tc>
          <w:tcPr>
            <w:tcW w:w="1134" w:type="dxa"/>
            <w:vAlign w:val="center"/>
          </w:tcPr>
          <w:p>
            <w:pPr>
              <w:spacing w:line="240" w:lineRule="auto"/>
              <w:ind w:firstLine="0" w:firstLineChars="0"/>
              <w:jc w:val="center"/>
              <w:rPr>
                <w:sz w:val="21"/>
                <w:szCs w:val="21"/>
              </w:rPr>
            </w:pPr>
            <w:r>
              <w:rPr>
                <w:rFonts w:hint="eastAsia"/>
                <w:sz w:val="21"/>
                <w:szCs w:val="21"/>
              </w:rPr>
              <w:t>排放速率kg/h</w:t>
            </w:r>
          </w:p>
        </w:tc>
        <w:tc>
          <w:tcPr>
            <w:tcW w:w="850" w:type="dxa"/>
            <w:vAlign w:val="center"/>
          </w:tcPr>
          <w:p>
            <w:pPr>
              <w:spacing w:line="240" w:lineRule="auto"/>
              <w:ind w:firstLine="0" w:firstLineChars="0"/>
              <w:jc w:val="center"/>
              <w:rPr>
                <w:sz w:val="21"/>
                <w:szCs w:val="21"/>
              </w:rPr>
            </w:pPr>
            <w:r>
              <w:rPr>
                <w:rFonts w:hint="eastAsia"/>
                <w:sz w:val="21"/>
                <w:szCs w:val="21"/>
              </w:rPr>
              <w:t>排放</w:t>
            </w:r>
          </w:p>
          <w:p>
            <w:pPr>
              <w:spacing w:line="240" w:lineRule="auto"/>
              <w:ind w:firstLine="0" w:firstLineChars="0"/>
              <w:jc w:val="center"/>
              <w:rPr>
                <w:sz w:val="21"/>
                <w:szCs w:val="21"/>
              </w:rPr>
            </w:pPr>
            <w:r>
              <w:rPr>
                <w:rFonts w:hint="eastAsia"/>
                <w:sz w:val="21"/>
                <w:szCs w:val="21"/>
              </w:rPr>
              <w:t>浓度mg/m</w:t>
            </w:r>
            <w:r>
              <w:rPr>
                <w:rFonts w:hint="eastAsia"/>
                <w:sz w:val="21"/>
                <w:szCs w:val="21"/>
                <w:vertAlign w:val="superscript"/>
              </w:rPr>
              <w:t>3</w:t>
            </w:r>
          </w:p>
        </w:tc>
        <w:tc>
          <w:tcPr>
            <w:tcW w:w="759" w:type="dxa"/>
            <w:vAlign w:val="center"/>
          </w:tcPr>
          <w:p>
            <w:pPr>
              <w:spacing w:line="240" w:lineRule="auto"/>
              <w:ind w:firstLine="0" w:firstLineChars="0"/>
              <w:jc w:val="center"/>
              <w:rPr>
                <w:sz w:val="21"/>
                <w:szCs w:val="21"/>
              </w:rPr>
            </w:pPr>
            <w:r>
              <w:rPr>
                <w:rFonts w:hint="eastAsia"/>
                <w:sz w:val="21"/>
                <w:szCs w:val="21"/>
              </w:rPr>
              <w:t>排放速率kg/h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41" w:hRule="atLeast"/>
          <w:jc w:val="center"/>
        </w:trPr>
        <w:tc>
          <w:tcPr>
            <w:tcW w:w="1135" w:type="dxa"/>
            <w:vMerge w:val="restart"/>
            <w:vAlign w:val="center"/>
          </w:tcPr>
          <w:p>
            <w:pPr>
              <w:spacing w:line="240" w:lineRule="auto"/>
              <w:ind w:firstLine="0" w:firstLineChars="0"/>
              <w:jc w:val="center"/>
              <w:rPr>
                <w:sz w:val="21"/>
                <w:szCs w:val="21"/>
              </w:rPr>
            </w:pPr>
            <w:r>
              <w:rPr>
                <w:rFonts w:hint="eastAsia"/>
                <w:sz w:val="21"/>
                <w:szCs w:val="21"/>
              </w:rPr>
              <w:t>2021.4.16</w:t>
            </w:r>
          </w:p>
        </w:tc>
        <w:tc>
          <w:tcPr>
            <w:tcW w:w="709" w:type="dxa"/>
            <w:vMerge w:val="restart"/>
            <w:vAlign w:val="center"/>
          </w:tcPr>
          <w:p>
            <w:pPr>
              <w:spacing w:line="240" w:lineRule="auto"/>
              <w:ind w:firstLine="0" w:firstLineChars="0"/>
              <w:jc w:val="center"/>
              <w:rPr>
                <w:color w:val="000000"/>
                <w:sz w:val="21"/>
                <w:szCs w:val="21"/>
              </w:rPr>
            </w:pPr>
            <w:r>
              <w:rPr>
                <w:rFonts w:hint="eastAsia"/>
                <w:color w:val="000000"/>
                <w:sz w:val="21"/>
                <w:szCs w:val="21"/>
              </w:rPr>
              <w:t>处理前采样口</w:t>
            </w:r>
          </w:p>
        </w:tc>
        <w:tc>
          <w:tcPr>
            <w:tcW w:w="992" w:type="dxa"/>
            <w:vAlign w:val="center"/>
          </w:tcPr>
          <w:p>
            <w:pPr>
              <w:spacing w:line="240" w:lineRule="auto"/>
              <w:ind w:firstLine="0" w:firstLineChars="0"/>
              <w:jc w:val="center"/>
              <w:rPr>
                <w:color w:val="000000"/>
                <w:sz w:val="21"/>
                <w:szCs w:val="21"/>
              </w:rPr>
            </w:pPr>
            <w:r>
              <w:rPr>
                <w:color w:val="000000"/>
                <w:sz w:val="21"/>
                <w:szCs w:val="21"/>
              </w:rPr>
              <w:t>第1次</w:t>
            </w:r>
          </w:p>
        </w:tc>
        <w:tc>
          <w:tcPr>
            <w:tcW w:w="567" w:type="dxa"/>
            <w:vMerge w:val="restart"/>
            <w:vAlign w:val="center"/>
          </w:tcPr>
          <w:p>
            <w:pPr>
              <w:ind w:firstLine="0" w:firstLineChars="0"/>
              <w:jc w:val="center"/>
              <w:rPr>
                <w:sz w:val="21"/>
                <w:szCs w:val="21"/>
              </w:rPr>
            </w:pPr>
            <w:r>
              <w:rPr>
                <w:rFonts w:hint="eastAsia"/>
                <w:sz w:val="21"/>
                <w:szCs w:val="21"/>
              </w:rPr>
              <w:t>15</w:t>
            </w:r>
          </w:p>
        </w:tc>
        <w:tc>
          <w:tcPr>
            <w:tcW w:w="709" w:type="dxa"/>
            <w:vAlign w:val="center"/>
          </w:tcPr>
          <w:p>
            <w:pPr>
              <w:ind w:firstLine="0" w:firstLineChars="0"/>
              <w:jc w:val="center"/>
              <w:rPr>
                <w:sz w:val="21"/>
                <w:szCs w:val="21"/>
              </w:rPr>
            </w:pPr>
            <w:r>
              <w:rPr>
                <w:rFonts w:hint="eastAsia"/>
                <w:sz w:val="21"/>
                <w:szCs w:val="21"/>
              </w:rPr>
              <w:t>1.93</w:t>
            </w:r>
          </w:p>
        </w:tc>
        <w:tc>
          <w:tcPr>
            <w:tcW w:w="709" w:type="dxa"/>
            <w:vAlign w:val="center"/>
          </w:tcPr>
          <w:p>
            <w:pPr>
              <w:ind w:firstLine="0" w:firstLineChars="0"/>
              <w:jc w:val="center"/>
              <w:rPr>
                <w:sz w:val="21"/>
                <w:szCs w:val="21"/>
              </w:rPr>
            </w:pPr>
            <w:r>
              <w:rPr>
                <w:rFonts w:hint="eastAsia"/>
                <w:sz w:val="21"/>
                <w:szCs w:val="21"/>
              </w:rPr>
              <w:t>28.4</w:t>
            </w:r>
          </w:p>
        </w:tc>
        <w:tc>
          <w:tcPr>
            <w:tcW w:w="567" w:type="dxa"/>
            <w:vAlign w:val="center"/>
          </w:tcPr>
          <w:p>
            <w:pPr>
              <w:ind w:firstLine="0" w:firstLineChars="0"/>
              <w:jc w:val="center"/>
              <w:rPr>
                <w:sz w:val="21"/>
                <w:szCs w:val="21"/>
              </w:rPr>
            </w:pPr>
            <w:r>
              <w:rPr>
                <w:rFonts w:hint="eastAsia"/>
                <w:sz w:val="21"/>
                <w:szCs w:val="21"/>
              </w:rPr>
              <w:t>2.5</w:t>
            </w:r>
          </w:p>
        </w:tc>
        <w:tc>
          <w:tcPr>
            <w:tcW w:w="708" w:type="dxa"/>
            <w:vAlign w:val="center"/>
          </w:tcPr>
          <w:p>
            <w:pPr>
              <w:ind w:firstLine="0" w:firstLineChars="0"/>
              <w:jc w:val="center"/>
              <w:rPr>
                <w:sz w:val="21"/>
                <w:szCs w:val="21"/>
              </w:rPr>
            </w:pPr>
            <w:r>
              <w:rPr>
                <w:rFonts w:hint="eastAsia"/>
                <w:sz w:val="21"/>
                <w:szCs w:val="21"/>
              </w:rPr>
              <w:t>563</w:t>
            </w:r>
          </w:p>
        </w:tc>
        <w:tc>
          <w:tcPr>
            <w:tcW w:w="809" w:type="dxa"/>
            <w:vAlign w:val="center"/>
          </w:tcPr>
          <w:p>
            <w:pPr>
              <w:ind w:firstLine="0" w:firstLineChars="0"/>
              <w:jc w:val="center"/>
              <w:rPr>
                <w:sz w:val="21"/>
                <w:szCs w:val="21"/>
              </w:rPr>
            </w:pPr>
            <w:r>
              <w:rPr>
                <w:rFonts w:hint="eastAsia"/>
                <w:sz w:val="21"/>
                <w:szCs w:val="21"/>
              </w:rPr>
              <w:t>3.61</w:t>
            </w:r>
          </w:p>
        </w:tc>
        <w:tc>
          <w:tcPr>
            <w:tcW w:w="1134" w:type="dxa"/>
            <w:vAlign w:val="center"/>
          </w:tcPr>
          <w:p>
            <w:pPr>
              <w:ind w:firstLine="0" w:firstLineChars="0"/>
              <w:jc w:val="center"/>
              <w:rPr>
                <w:sz w:val="21"/>
                <w:szCs w:val="21"/>
              </w:rPr>
            </w:pPr>
            <w:r>
              <w:rPr>
                <w:rFonts w:hint="eastAsia"/>
                <w:sz w:val="21"/>
                <w:szCs w:val="21"/>
              </w:rPr>
              <w:t>2.0</w:t>
            </w:r>
            <w:r>
              <w:rPr>
                <w:rFonts w:hint="eastAsia" w:ascii="宋体" w:hAnsi="宋体" w:eastAsia="宋体"/>
                <w:sz w:val="21"/>
                <w:szCs w:val="21"/>
              </w:rPr>
              <w:t>×</w:t>
            </w:r>
            <w:r>
              <w:rPr>
                <w:rFonts w:hint="eastAsia"/>
                <w:sz w:val="21"/>
                <w:szCs w:val="21"/>
              </w:rPr>
              <w:t>10</w:t>
            </w:r>
            <w:r>
              <w:rPr>
                <w:rFonts w:hint="eastAsia"/>
                <w:sz w:val="21"/>
                <w:szCs w:val="21"/>
                <w:vertAlign w:val="superscript"/>
              </w:rPr>
              <w:t>-3</w:t>
            </w:r>
          </w:p>
        </w:tc>
        <w:tc>
          <w:tcPr>
            <w:tcW w:w="850" w:type="dxa"/>
            <w:vMerge w:val="restart"/>
            <w:vAlign w:val="center"/>
          </w:tcPr>
          <w:p>
            <w:pPr>
              <w:ind w:firstLine="0" w:firstLineChars="0"/>
              <w:jc w:val="center"/>
              <w:rPr>
                <w:sz w:val="21"/>
                <w:szCs w:val="21"/>
              </w:rPr>
            </w:pPr>
            <w:r>
              <w:rPr>
                <w:rFonts w:hint="eastAsia"/>
                <w:sz w:val="21"/>
                <w:szCs w:val="21"/>
              </w:rPr>
              <w:t>——</w:t>
            </w:r>
          </w:p>
        </w:tc>
        <w:tc>
          <w:tcPr>
            <w:tcW w:w="759" w:type="dxa"/>
            <w:vMerge w:val="restart"/>
            <w:vAlign w:val="center"/>
          </w:tcPr>
          <w:p>
            <w:pPr>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第2次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1.93</w:t>
            </w:r>
          </w:p>
        </w:tc>
        <w:tc>
          <w:tcPr>
            <w:tcW w:w="709" w:type="dxa"/>
            <w:vAlign w:val="center"/>
          </w:tcPr>
          <w:p>
            <w:pPr>
              <w:ind w:firstLine="0" w:firstLineChars="0"/>
              <w:jc w:val="center"/>
              <w:rPr>
                <w:sz w:val="21"/>
                <w:szCs w:val="21"/>
              </w:rPr>
            </w:pPr>
            <w:r>
              <w:rPr>
                <w:rFonts w:hint="eastAsia"/>
                <w:sz w:val="21"/>
                <w:szCs w:val="21"/>
              </w:rPr>
              <w:t>29.1</w:t>
            </w:r>
          </w:p>
        </w:tc>
        <w:tc>
          <w:tcPr>
            <w:tcW w:w="567" w:type="dxa"/>
            <w:vAlign w:val="center"/>
          </w:tcPr>
          <w:p>
            <w:pPr>
              <w:ind w:firstLine="0" w:firstLineChars="0"/>
              <w:jc w:val="center"/>
              <w:rPr>
                <w:sz w:val="21"/>
                <w:szCs w:val="21"/>
              </w:rPr>
            </w:pPr>
            <w:r>
              <w:rPr>
                <w:rFonts w:hint="eastAsia"/>
                <w:sz w:val="21"/>
                <w:szCs w:val="21"/>
              </w:rPr>
              <w:t>2.8</w:t>
            </w:r>
          </w:p>
        </w:tc>
        <w:tc>
          <w:tcPr>
            <w:tcW w:w="708" w:type="dxa"/>
            <w:vAlign w:val="center"/>
          </w:tcPr>
          <w:p>
            <w:pPr>
              <w:ind w:firstLine="0" w:firstLineChars="0"/>
              <w:jc w:val="center"/>
              <w:rPr>
                <w:sz w:val="21"/>
                <w:szCs w:val="21"/>
              </w:rPr>
            </w:pPr>
            <w:r>
              <w:rPr>
                <w:rFonts w:hint="eastAsia"/>
                <w:sz w:val="21"/>
                <w:szCs w:val="21"/>
              </w:rPr>
              <w:t>629</w:t>
            </w:r>
          </w:p>
        </w:tc>
        <w:tc>
          <w:tcPr>
            <w:tcW w:w="809" w:type="dxa"/>
            <w:vAlign w:val="center"/>
          </w:tcPr>
          <w:p>
            <w:pPr>
              <w:ind w:firstLine="0" w:firstLineChars="0"/>
              <w:jc w:val="center"/>
              <w:rPr>
                <w:sz w:val="21"/>
                <w:szCs w:val="21"/>
              </w:rPr>
            </w:pPr>
            <w:r>
              <w:rPr>
                <w:rFonts w:hint="eastAsia"/>
                <w:sz w:val="21"/>
                <w:szCs w:val="21"/>
              </w:rPr>
              <w:t>1.48</w:t>
            </w:r>
          </w:p>
        </w:tc>
        <w:tc>
          <w:tcPr>
            <w:tcW w:w="1134" w:type="dxa"/>
            <w:vAlign w:val="center"/>
          </w:tcPr>
          <w:p>
            <w:pPr>
              <w:ind w:firstLine="0" w:firstLineChars="0"/>
              <w:jc w:val="center"/>
              <w:rPr>
                <w:sz w:val="21"/>
                <w:szCs w:val="21"/>
              </w:rPr>
            </w:pPr>
            <w:r>
              <w:rPr>
                <w:rFonts w:hint="eastAsia"/>
                <w:sz w:val="21"/>
                <w:szCs w:val="21"/>
              </w:rPr>
              <w:t>9.3</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第3次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1.86</w:t>
            </w:r>
          </w:p>
        </w:tc>
        <w:tc>
          <w:tcPr>
            <w:tcW w:w="709" w:type="dxa"/>
            <w:vAlign w:val="center"/>
          </w:tcPr>
          <w:p>
            <w:pPr>
              <w:ind w:firstLine="0" w:firstLineChars="0"/>
              <w:jc w:val="center"/>
              <w:rPr>
                <w:sz w:val="21"/>
                <w:szCs w:val="21"/>
              </w:rPr>
            </w:pPr>
            <w:r>
              <w:rPr>
                <w:rFonts w:hint="eastAsia"/>
                <w:sz w:val="21"/>
                <w:szCs w:val="21"/>
              </w:rPr>
              <w:t>28.1</w:t>
            </w:r>
          </w:p>
        </w:tc>
        <w:tc>
          <w:tcPr>
            <w:tcW w:w="567" w:type="dxa"/>
            <w:vAlign w:val="center"/>
          </w:tcPr>
          <w:p>
            <w:pPr>
              <w:ind w:firstLine="0" w:firstLineChars="0"/>
              <w:jc w:val="center"/>
              <w:rPr>
                <w:sz w:val="21"/>
                <w:szCs w:val="21"/>
              </w:rPr>
            </w:pPr>
            <w:r>
              <w:rPr>
                <w:rFonts w:hint="eastAsia"/>
                <w:sz w:val="21"/>
                <w:szCs w:val="21"/>
              </w:rPr>
              <w:t>2.5</w:t>
            </w:r>
          </w:p>
        </w:tc>
        <w:tc>
          <w:tcPr>
            <w:tcW w:w="708" w:type="dxa"/>
            <w:vAlign w:val="center"/>
          </w:tcPr>
          <w:p>
            <w:pPr>
              <w:ind w:firstLine="0" w:firstLineChars="0"/>
              <w:jc w:val="center"/>
              <w:rPr>
                <w:sz w:val="21"/>
                <w:szCs w:val="21"/>
              </w:rPr>
            </w:pPr>
            <w:r>
              <w:rPr>
                <w:rFonts w:hint="eastAsia"/>
                <w:sz w:val="21"/>
                <w:szCs w:val="21"/>
              </w:rPr>
              <w:t>563</w:t>
            </w:r>
          </w:p>
        </w:tc>
        <w:tc>
          <w:tcPr>
            <w:tcW w:w="809" w:type="dxa"/>
            <w:vAlign w:val="center"/>
          </w:tcPr>
          <w:p>
            <w:pPr>
              <w:ind w:firstLine="0" w:firstLineChars="0"/>
              <w:jc w:val="center"/>
              <w:rPr>
                <w:sz w:val="21"/>
                <w:szCs w:val="21"/>
              </w:rPr>
            </w:pPr>
            <w:r>
              <w:rPr>
                <w:rFonts w:hint="eastAsia"/>
                <w:sz w:val="21"/>
                <w:szCs w:val="21"/>
              </w:rPr>
              <w:t>1.33</w:t>
            </w:r>
          </w:p>
        </w:tc>
        <w:tc>
          <w:tcPr>
            <w:tcW w:w="1134" w:type="dxa"/>
            <w:vAlign w:val="center"/>
          </w:tcPr>
          <w:p>
            <w:pPr>
              <w:ind w:firstLine="0" w:firstLineChars="0"/>
              <w:jc w:val="center"/>
              <w:rPr>
                <w:sz w:val="21"/>
                <w:szCs w:val="21"/>
              </w:rPr>
            </w:pPr>
            <w:r>
              <w:rPr>
                <w:rFonts w:hint="eastAsia"/>
                <w:sz w:val="21"/>
                <w:szCs w:val="21"/>
              </w:rPr>
              <w:t>7.5</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2"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restart"/>
            <w:vAlign w:val="center"/>
          </w:tcPr>
          <w:p>
            <w:pPr>
              <w:spacing w:line="240" w:lineRule="auto"/>
              <w:ind w:firstLine="0" w:firstLineChars="0"/>
              <w:jc w:val="center"/>
              <w:rPr>
                <w:color w:val="000000"/>
                <w:sz w:val="21"/>
                <w:szCs w:val="21"/>
              </w:rPr>
            </w:pPr>
            <w:r>
              <w:rPr>
                <w:rFonts w:hint="eastAsia"/>
                <w:color w:val="000000"/>
                <w:sz w:val="21"/>
                <w:szCs w:val="21"/>
              </w:rPr>
              <w:t>处理后采样口</w:t>
            </w:r>
          </w:p>
        </w:tc>
        <w:tc>
          <w:tcPr>
            <w:tcW w:w="992" w:type="dxa"/>
            <w:vAlign w:val="center"/>
          </w:tcPr>
          <w:p>
            <w:pPr>
              <w:spacing w:line="240" w:lineRule="auto"/>
              <w:ind w:firstLine="0" w:firstLineChars="0"/>
              <w:jc w:val="center"/>
              <w:rPr>
                <w:color w:val="000000"/>
                <w:sz w:val="21"/>
                <w:szCs w:val="21"/>
              </w:rPr>
            </w:pPr>
            <w:r>
              <w:rPr>
                <w:color w:val="000000"/>
                <w:sz w:val="21"/>
                <w:szCs w:val="21"/>
              </w:rPr>
              <w:t>第1次</w:t>
            </w:r>
          </w:p>
        </w:tc>
        <w:tc>
          <w:tcPr>
            <w:tcW w:w="567" w:type="dxa"/>
            <w:vMerge w:val="restart"/>
            <w:vAlign w:val="center"/>
          </w:tcPr>
          <w:p>
            <w:pPr>
              <w:ind w:firstLine="0" w:firstLineChars="0"/>
              <w:jc w:val="center"/>
              <w:rPr>
                <w:sz w:val="21"/>
                <w:szCs w:val="21"/>
              </w:rPr>
            </w:pPr>
            <w:r>
              <w:rPr>
                <w:rFonts w:hint="eastAsia"/>
                <w:sz w:val="21"/>
                <w:szCs w:val="21"/>
              </w:rPr>
              <w:t>15</w:t>
            </w:r>
          </w:p>
        </w:tc>
        <w:tc>
          <w:tcPr>
            <w:tcW w:w="709" w:type="dxa"/>
            <w:vAlign w:val="center"/>
          </w:tcPr>
          <w:p>
            <w:pPr>
              <w:ind w:firstLine="0" w:firstLineChars="0"/>
              <w:jc w:val="center"/>
              <w:rPr>
                <w:sz w:val="21"/>
                <w:szCs w:val="21"/>
              </w:rPr>
            </w:pPr>
            <w:r>
              <w:rPr>
                <w:rFonts w:hint="eastAsia"/>
                <w:sz w:val="21"/>
                <w:szCs w:val="21"/>
              </w:rPr>
              <w:t>1.93</w:t>
            </w:r>
          </w:p>
        </w:tc>
        <w:tc>
          <w:tcPr>
            <w:tcW w:w="709" w:type="dxa"/>
            <w:vAlign w:val="center"/>
          </w:tcPr>
          <w:p>
            <w:pPr>
              <w:ind w:firstLine="0" w:firstLineChars="0"/>
              <w:jc w:val="center"/>
              <w:rPr>
                <w:sz w:val="21"/>
                <w:szCs w:val="21"/>
              </w:rPr>
            </w:pPr>
            <w:r>
              <w:rPr>
                <w:rFonts w:hint="eastAsia"/>
                <w:sz w:val="21"/>
                <w:szCs w:val="21"/>
              </w:rPr>
              <w:t>30.7</w:t>
            </w:r>
          </w:p>
        </w:tc>
        <w:tc>
          <w:tcPr>
            <w:tcW w:w="567" w:type="dxa"/>
            <w:vAlign w:val="center"/>
          </w:tcPr>
          <w:p>
            <w:pPr>
              <w:ind w:firstLine="0" w:firstLineChars="0"/>
              <w:jc w:val="center"/>
              <w:rPr>
                <w:sz w:val="21"/>
                <w:szCs w:val="21"/>
              </w:rPr>
            </w:pPr>
            <w:r>
              <w:rPr>
                <w:rFonts w:hint="eastAsia"/>
                <w:sz w:val="21"/>
                <w:szCs w:val="21"/>
              </w:rPr>
              <w:t>3.1</w:t>
            </w:r>
          </w:p>
        </w:tc>
        <w:tc>
          <w:tcPr>
            <w:tcW w:w="708" w:type="dxa"/>
            <w:vAlign w:val="center"/>
          </w:tcPr>
          <w:p>
            <w:pPr>
              <w:ind w:firstLine="0" w:firstLineChars="0"/>
              <w:jc w:val="center"/>
              <w:rPr>
                <w:sz w:val="21"/>
                <w:szCs w:val="21"/>
              </w:rPr>
            </w:pPr>
            <w:r>
              <w:rPr>
                <w:rFonts w:hint="eastAsia"/>
                <w:sz w:val="21"/>
                <w:szCs w:val="21"/>
              </w:rPr>
              <w:t>687</w:t>
            </w:r>
          </w:p>
        </w:tc>
        <w:tc>
          <w:tcPr>
            <w:tcW w:w="809" w:type="dxa"/>
            <w:vAlign w:val="center"/>
          </w:tcPr>
          <w:p>
            <w:pPr>
              <w:ind w:firstLine="0" w:firstLineChars="0"/>
              <w:jc w:val="center"/>
              <w:rPr>
                <w:sz w:val="21"/>
                <w:szCs w:val="21"/>
              </w:rPr>
            </w:pPr>
            <w:r>
              <w:rPr>
                <w:rFonts w:hint="eastAsia"/>
                <w:sz w:val="21"/>
                <w:szCs w:val="21"/>
              </w:rPr>
              <w:t>1.04</w:t>
            </w:r>
          </w:p>
        </w:tc>
        <w:tc>
          <w:tcPr>
            <w:tcW w:w="1134" w:type="dxa"/>
            <w:vAlign w:val="center"/>
          </w:tcPr>
          <w:p>
            <w:pPr>
              <w:ind w:firstLine="0" w:firstLineChars="0"/>
              <w:jc w:val="center"/>
              <w:rPr>
                <w:sz w:val="21"/>
                <w:szCs w:val="21"/>
              </w:rPr>
            </w:pPr>
            <w:r>
              <w:rPr>
                <w:rFonts w:hint="eastAsia"/>
                <w:sz w:val="21"/>
                <w:szCs w:val="21"/>
              </w:rPr>
              <w:t>7.1</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restart"/>
            <w:vAlign w:val="center"/>
          </w:tcPr>
          <w:p>
            <w:pPr>
              <w:ind w:firstLine="0" w:firstLineChars="0"/>
              <w:jc w:val="center"/>
              <w:rPr>
                <w:sz w:val="21"/>
                <w:szCs w:val="21"/>
              </w:rPr>
            </w:pPr>
            <w:r>
              <w:rPr>
                <w:rFonts w:hint="eastAsia"/>
                <w:sz w:val="21"/>
                <w:szCs w:val="21"/>
              </w:rPr>
              <w:t>30</w:t>
            </w:r>
          </w:p>
        </w:tc>
        <w:tc>
          <w:tcPr>
            <w:tcW w:w="759" w:type="dxa"/>
            <w:vMerge w:val="restart"/>
            <w:vAlign w:val="center"/>
          </w:tcPr>
          <w:p>
            <w:pPr>
              <w:ind w:firstLine="0" w:firstLineChars="0"/>
              <w:jc w:val="center"/>
              <w:rPr>
                <w:sz w:val="21"/>
                <w:szCs w:val="21"/>
              </w:rPr>
            </w:pPr>
            <w:r>
              <w:rPr>
                <w:rFonts w:hint="eastAsia"/>
                <w:sz w:val="21"/>
                <w:szCs w:val="21"/>
              </w:rPr>
              <w:t>1.45*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第2次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1.93</w:t>
            </w:r>
          </w:p>
        </w:tc>
        <w:tc>
          <w:tcPr>
            <w:tcW w:w="709" w:type="dxa"/>
            <w:vAlign w:val="center"/>
          </w:tcPr>
          <w:p>
            <w:pPr>
              <w:ind w:firstLine="0" w:firstLineChars="0"/>
              <w:jc w:val="center"/>
              <w:rPr>
                <w:sz w:val="21"/>
                <w:szCs w:val="21"/>
              </w:rPr>
            </w:pPr>
            <w:r>
              <w:rPr>
                <w:rFonts w:hint="eastAsia"/>
                <w:sz w:val="21"/>
                <w:szCs w:val="21"/>
              </w:rPr>
              <w:t>31.3</w:t>
            </w:r>
          </w:p>
        </w:tc>
        <w:tc>
          <w:tcPr>
            <w:tcW w:w="567" w:type="dxa"/>
            <w:vAlign w:val="center"/>
          </w:tcPr>
          <w:p>
            <w:pPr>
              <w:ind w:firstLine="0" w:firstLineChars="0"/>
              <w:jc w:val="center"/>
              <w:rPr>
                <w:sz w:val="21"/>
                <w:szCs w:val="21"/>
              </w:rPr>
            </w:pPr>
            <w:r>
              <w:rPr>
                <w:rFonts w:hint="eastAsia"/>
                <w:sz w:val="21"/>
                <w:szCs w:val="21"/>
              </w:rPr>
              <w:t>3.6</w:t>
            </w:r>
          </w:p>
        </w:tc>
        <w:tc>
          <w:tcPr>
            <w:tcW w:w="708" w:type="dxa"/>
            <w:vAlign w:val="center"/>
          </w:tcPr>
          <w:p>
            <w:pPr>
              <w:ind w:firstLine="0" w:firstLineChars="0"/>
              <w:jc w:val="center"/>
              <w:rPr>
                <w:sz w:val="21"/>
                <w:szCs w:val="21"/>
              </w:rPr>
            </w:pPr>
            <w:r>
              <w:rPr>
                <w:rFonts w:hint="eastAsia"/>
                <w:sz w:val="21"/>
                <w:szCs w:val="21"/>
              </w:rPr>
              <w:t>793</w:t>
            </w:r>
          </w:p>
        </w:tc>
        <w:tc>
          <w:tcPr>
            <w:tcW w:w="809" w:type="dxa"/>
            <w:vAlign w:val="center"/>
          </w:tcPr>
          <w:p>
            <w:pPr>
              <w:ind w:firstLine="0" w:firstLineChars="0"/>
              <w:jc w:val="center"/>
              <w:rPr>
                <w:sz w:val="21"/>
                <w:szCs w:val="21"/>
              </w:rPr>
            </w:pPr>
            <w:r>
              <w:rPr>
                <w:rFonts w:hint="eastAsia"/>
                <w:sz w:val="21"/>
                <w:szCs w:val="21"/>
              </w:rPr>
              <w:t>1.01</w:t>
            </w:r>
          </w:p>
        </w:tc>
        <w:tc>
          <w:tcPr>
            <w:tcW w:w="1134" w:type="dxa"/>
            <w:vAlign w:val="center"/>
          </w:tcPr>
          <w:p>
            <w:pPr>
              <w:ind w:firstLine="0" w:firstLineChars="0"/>
              <w:jc w:val="center"/>
              <w:rPr>
                <w:sz w:val="21"/>
                <w:szCs w:val="21"/>
              </w:rPr>
            </w:pPr>
            <w:r>
              <w:rPr>
                <w:rFonts w:hint="eastAsia"/>
                <w:sz w:val="21"/>
                <w:szCs w:val="21"/>
              </w:rPr>
              <w:t>8.0</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第3次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1.86</w:t>
            </w:r>
          </w:p>
        </w:tc>
        <w:tc>
          <w:tcPr>
            <w:tcW w:w="709" w:type="dxa"/>
            <w:vAlign w:val="center"/>
          </w:tcPr>
          <w:p>
            <w:pPr>
              <w:ind w:firstLine="0" w:firstLineChars="0"/>
              <w:jc w:val="center"/>
              <w:rPr>
                <w:sz w:val="21"/>
                <w:szCs w:val="21"/>
              </w:rPr>
            </w:pPr>
            <w:r>
              <w:rPr>
                <w:rFonts w:hint="eastAsia"/>
                <w:sz w:val="21"/>
                <w:szCs w:val="21"/>
              </w:rPr>
              <w:t>30.9</w:t>
            </w:r>
          </w:p>
        </w:tc>
        <w:tc>
          <w:tcPr>
            <w:tcW w:w="567" w:type="dxa"/>
            <w:vAlign w:val="center"/>
          </w:tcPr>
          <w:p>
            <w:pPr>
              <w:ind w:firstLine="0" w:firstLineChars="0"/>
              <w:jc w:val="center"/>
              <w:rPr>
                <w:sz w:val="21"/>
                <w:szCs w:val="21"/>
              </w:rPr>
            </w:pPr>
            <w:r>
              <w:rPr>
                <w:rFonts w:hint="eastAsia"/>
                <w:sz w:val="21"/>
                <w:szCs w:val="21"/>
              </w:rPr>
              <w:t>3.3</w:t>
            </w:r>
          </w:p>
        </w:tc>
        <w:tc>
          <w:tcPr>
            <w:tcW w:w="708" w:type="dxa"/>
            <w:vAlign w:val="center"/>
          </w:tcPr>
          <w:p>
            <w:pPr>
              <w:ind w:firstLine="0" w:firstLineChars="0"/>
              <w:jc w:val="center"/>
              <w:rPr>
                <w:sz w:val="21"/>
                <w:szCs w:val="21"/>
              </w:rPr>
            </w:pPr>
            <w:r>
              <w:rPr>
                <w:rFonts w:hint="eastAsia"/>
                <w:sz w:val="21"/>
                <w:szCs w:val="21"/>
              </w:rPr>
              <w:t>742</w:t>
            </w:r>
          </w:p>
        </w:tc>
        <w:tc>
          <w:tcPr>
            <w:tcW w:w="809" w:type="dxa"/>
            <w:vAlign w:val="center"/>
          </w:tcPr>
          <w:p>
            <w:pPr>
              <w:ind w:firstLine="0" w:firstLineChars="0"/>
              <w:jc w:val="center"/>
              <w:rPr>
                <w:sz w:val="21"/>
                <w:szCs w:val="21"/>
              </w:rPr>
            </w:pPr>
            <w:r>
              <w:rPr>
                <w:rFonts w:hint="eastAsia"/>
                <w:sz w:val="21"/>
                <w:szCs w:val="21"/>
              </w:rPr>
              <w:t>0.85</w:t>
            </w:r>
          </w:p>
        </w:tc>
        <w:tc>
          <w:tcPr>
            <w:tcW w:w="1134" w:type="dxa"/>
            <w:vAlign w:val="center"/>
          </w:tcPr>
          <w:p>
            <w:pPr>
              <w:ind w:firstLine="0" w:firstLineChars="0"/>
              <w:jc w:val="center"/>
              <w:rPr>
                <w:sz w:val="21"/>
                <w:szCs w:val="21"/>
              </w:rPr>
            </w:pPr>
            <w:r>
              <w:rPr>
                <w:rFonts w:hint="eastAsia"/>
                <w:sz w:val="21"/>
                <w:szCs w:val="21"/>
              </w:rPr>
              <w:t>6.3</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restart"/>
            <w:vAlign w:val="center"/>
          </w:tcPr>
          <w:p>
            <w:pPr>
              <w:spacing w:line="240" w:lineRule="auto"/>
              <w:ind w:firstLine="0" w:firstLineChars="0"/>
              <w:jc w:val="center"/>
              <w:rPr>
                <w:sz w:val="21"/>
                <w:szCs w:val="21"/>
              </w:rPr>
            </w:pPr>
            <w:r>
              <w:rPr>
                <w:rFonts w:hint="eastAsia"/>
                <w:sz w:val="21"/>
                <w:szCs w:val="21"/>
              </w:rPr>
              <w:t>2021.4.17</w:t>
            </w:r>
          </w:p>
        </w:tc>
        <w:tc>
          <w:tcPr>
            <w:tcW w:w="709" w:type="dxa"/>
            <w:vMerge w:val="restart"/>
            <w:vAlign w:val="center"/>
          </w:tcPr>
          <w:p>
            <w:pPr>
              <w:spacing w:line="240" w:lineRule="auto"/>
              <w:ind w:firstLine="0" w:firstLineChars="0"/>
              <w:jc w:val="center"/>
              <w:rPr>
                <w:color w:val="000000"/>
                <w:sz w:val="21"/>
                <w:szCs w:val="21"/>
              </w:rPr>
            </w:pPr>
            <w:r>
              <w:rPr>
                <w:rFonts w:hint="eastAsia"/>
                <w:color w:val="000000"/>
                <w:sz w:val="21"/>
                <w:szCs w:val="21"/>
              </w:rPr>
              <w:t>处理前采样口</w:t>
            </w:r>
          </w:p>
        </w:tc>
        <w:tc>
          <w:tcPr>
            <w:tcW w:w="992" w:type="dxa"/>
            <w:vAlign w:val="center"/>
          </w:tcPr>
          <w:p>
            <w:pPr>
              <w:spacing w:line="240" w:lineRule="auto"/>
              <w:ind w:firstLine="0" w:firstLineChars="0"/>
              <w:jc w:val="center"/>
              <w:rPr>
                <w:color w:val="000000"/>
                <w:sz w:val="21"/>
                <w:szCs w:val="21"/>
              </w:rPr>
            </w:pPr>
            <w:r>
              <w:rPr>
                <w:color w:val="000000"/>
                <w:sz w:val="21"/>
                <w:szCs w:val="21"/>
              </w:rPr>
              <w:t>第1次</w:t>
            </w:r>
          </w:p>
        </w:tc>
        <w:tc>
          <w:tcPr>
            <w:tcW w:w="567" w:type="dxa"/>
            <w:vMerge w:val="restart"/>
            <w:vAlign w:val="center"/>
          </w:tcPr>
          <w:p>
            <w:pPr>
              <w:ind w:firstLine="0" w:firstLineChars="0"/>
              <w:jc w:val="center"/>
              <w:rPr>
                <w:sz w:val="21"/>
                <w:szCs w:val="21"/>
              </w:rPr>
            </w:pPr>
            <w:r>
              <w:rPr>
                <w:rFonts w:hint="eastAsia"/>
                <w:sz w:val="21"/>
                <w:szCs w:val="21"/>
              </w:rPr>
              <w:t>15</w:t>
            </w:r>
          </w:p>
        </w:tc>
        <w:tc>
          <w:tcPr>
            <w:tcW w:w="709" w:type="dxa"/>
            <w:vAlign w:val="center"/>
          </w:tcPr>
          <w:p>
            <w:pPr>
              <w:ind w:firstLine="0" w:firstLineChars="0"/>
              <w:jc w:val="center"/>
              <w:rPr>
                <w:sz w:val="21"/>
                <w:szCs w:val="21"/>
              </w:rPr>
            </w:pPr>
            <w:r>
              <w:rPr>
                <w:rFonts w:hint="eastAsia"/>
                <w:sz w:val="21"/>
                <w:szCs w:val="21"/>
              </w:rPr>
              <w:t>1.55</w:t>
            </w:r>
          </w:p>
        </w:tc>
        <w:tc>
          <w:tcPr>
            <w:tcW w:w="709" w:type="dxa"/>
            <w:vAlign w:val="center"/>
          </w:tcPr>
          <w:p>
            <w:pPr>
              <w:ind w:firstLine="0" w:firstLineChars="0"/>
              <w:jc w:val="center"/>
              <w:rPr>
                <w:sz w:val="21"/>
                <w:szCs w:val="21"/>
              </w:rPr>
            </w:pPr>
            <w:r>
              <w:rPr>
                <w:rFonts w:hint="eastAsia"/>
                <w:sz w:val="21"/>
                <w:szCs w:val="21"/>
              </w:rPr>
              <w:t>26.3</w:t>
            </w:r>
          </w:p>
        </w:tc>
        <w:tc>
          <w:tcPr>
            <w:tcW w:w="567" w:type="dxa"/>
            <w:vAlign w:val="center"/>
          </w:tcPr>
          <w:p>
            <w:pPr>
              <w:ind w:firstLine="0" w:firstLineChars="0"/>
              <w:jc w:val="center"/>
              <w:rPr>
                <w:sz w:val="21"/>
                <w:szCs w:val="21"/>
              </w:rPr>
            </w:pPr>
            <w:r>
              <w:rPr>
                <w:rFonts w:hint="eastAsia"/>
                <w:sz w:val="21"/>
                <w:szCs w:val="21"/>
              </w:rPr>
              <w:t>2.8</w:t>
            </w:r>
          </w:p>
        </w:tc>
        <w:tc>
          <w:tcPr>
            <w:tcW w:w="708" w:type="dxa"/>
            <w:vAlign w:val="center"/>
          </w:tcPr>
          <w:p>
            <w:pPr>
              <w:ind w:firstLine="0" w:firstLineChars="0"/>
              <w:jc w:val="center"/>
              <w:rPr>
                <w:sz w:val="21"/>
                <w:szCs w:val="21"/>
              </w:rPr>
            </w:pPr>
            <w:r>
              <w:rPr>
                <w:rFonts w:hint="eastAsia"/>
                <w:sz w:val="21"/>
                <w:szCs w:val="21"/>
              </w:rPr>
              <w:t>635</w:t>
            </w:r>
          </w:p>
        </w:tc>
        <w:tc>
          <w:tcPr>
            <w:tcW w:w="809" w:type="dxa"/>
            <w:vAlign w:val="center"/>
          </w:tcPr>
          <w:p>
            <w:pPr>
              <w:ind w:firstLine="0" w:firstLineChars="0"/>
              <w:jc w:val="center"/>
              <w:rPr>
                <w:sz w:val="21"/>
                <w:szCs w:val="21"/>
              </w:rPr>
            </w:pPr>
            <w:r>
              <w:rPr>
                <w:rFonts w:hint="eastAsia"/>
                <w:sz w:val="21"/>
                <w:szCs w:val="21"/>
              </w:rPr>
              <w:t>4.00</w:t>
            </w:r>
          </w:p>
        </w:tc>
        <w:tc>
          <w:tcPr>
            <w:tcW w:w="1134" w:type="dxa"/>
            <w:vAlign w:val="center"/>
          </w:tcPr>
          <w:p>
            <w:pPr>
              <w:ind w:firstLine="0" w:firstLineChars="0"/>
              <w:jc w:val="center"/>
              <w:rPr>
                <w:sz w:val="21"/>
                <w:szCs w:val="21"/>
              </w:rPr>
            </w:pPr>
            <w:r>
              <w:rPr>
                <w:rFonts w:hint="eastAsia"/>
                <w:sz w:val="21"/>
                <w:szCs w:val="21"/>
              </w:rPr>
              <w:t>2.5</w:t>
            </w:r>
            <w:r>
              <w:rPr>
                <w:rFonts w:hint="eastAsia" w:ascii="宋体" w:hAnsi="宋体" w:eastAsia="宋体"/>
                <w:sz w:val="21"/>
                <w:szCs w:val="21"/>
              </w:rPr>
              <w:t>×</w:t>
            </w:r>
            <w:r>
              <w:rPr>
                <w:rFonts w:hint="eastAsia"/>
                <w:sz w:val="21"/>
                <w:szCs w:val="21"/>
              </w:rPr>
              <w:t>10</w:t>
            </w:r>
            <w:r>
              <w:rPr>
                <w:rFonts w:hint="eastAsia"/>
                <w:sz w:val="21"/>
                <w:szCs w:val="21"/>
                <w:vertAlign w:val="superscript"/>
              </w:rPr>
              <w:t>-3</w:t>
            </w:r>
          </w:p>
        </w:tc>
        <w:tc>
          <w:tcPr>
            <w:tcW w:w="850" w:type="dxa"/>
            <w:vMerge w:val="restart"/>
            <w:vAlign w:val="center"/>
          </w:tcPr>
          <w:p>
            <w:pPr>
              <w:ind w:firstLine="0" w:firstLineChars="0"/>
              <w:jc w:val="center"/>
              <w:rPr>
                <w:sz w:val="21"/>
                <w:szCs w:val="21"/>
              </w:rPr>
            </w:pPr>
            <w:r>
              <w:rPr>
                <w:rFonts w:hint="eastAsia"/>
                <w:sz w:val="21"/>
                <w:szCs w:val="21"/>
              </w:rPr>
              <w:t>——</w:t>
            </w:r>
          </w:p>
        </w:tc>
        <w:tc>
          <w:tcPr>
            <w:tcW w:w="759" w:type="dxa"/>
            <w:vMerge w:val="restart"/>
            <w:vAlign w:val="center"/>
          </w:tcPr>
          <w:p>
            <w:pPr>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第2次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1.60</w:t>
            </w:r>
          </w:p>
        </w:tc>
        <w:tc>
          <w:tcPr>
            <w:tcW w:w="709" w:type="dxa"/>
            <w:vAlign w:val="center"/>
          </w:tcPr>
          <w:p>
            <w:pPr>
              <w:ind w:firstLine="0" w:firstLineChars="0"/>
              <w:jc w:val="center"/>
              <w:rPr>
                <w:sz w:val="21"/>
                <w:szCs w:val="21"/>
              </w:rPr>
            </w:pPr>
            <w:r>
              <w:rPr>
                <w:rFonts w:hint="eastAsia"/>
                <w:sz w:val="21"/>
                <w:szCs w:val="21"/>
              </w:rPr>
              <w:t>27.0</w:t>
            </w:r>
          </w:p>
        </w:tc>
        <w:tc>
          <w:tcPr>
            <w:tcW w:w="567" w:type="dxa"/>
            <w:vAlign w:val="center"/>
          </w:tcPr>
          <w:p>
            <w:pPr>
              <w:ind w:firstLine="0" w:firstLineChars="0"/>
              <w:jc w:val="center"/>
              <w:rPr>
                <w:sz w:val="21"/>
                <w:szCs w:val="21"/>
              </w:rPr>
            </w:pPr>
            <w:r>
              <w:rPr>
                <w:rFonts w:hint="eastAsia"/>
                <w:sz w:val="21"/>
                <w:szCs w:val="21"/>
              </w:rPr>
              <w:t>3.1</w:t>
            </w:r>
          </w:p>
        </w:tc>
        <w:tc>
          <w:tcPr>
            <w:tcW w:w="708" w:type="dxa"/>
            <w:vAlign w:val="center"/>
          </w:tcPr>
          <w:p>
            <w:pPr>
              <w:ind w:firstLine="0" w:firstLineChars="0"/>
              <w:jc w:val="center"/>
              <w:rPr>
                <w:sz w:val="21"/>
                <w:szCs w:val="21"/>
              </w:rPr>
            </w:pPr>
            <w:r>
              <w:rPr>
                <w:rFonts w:hint="eastAsia"/>
                <w:sz w:val="21"/>
                <w:szCs w:val="21"/>
              </w:rPr>
              <w:t>693</w:t>
            </w:r>
          </w:p>
        </w:tc>
        <w:tc>
          <w:tcPr>
            <w:tcW w:w="809" w:type="dxa"/>
            <w:vAlign w:val="center"/>
          </w:tcPr>
          <w:p>
            <w:pPr>
              <w:ind w:firstLine="0" w:firstLineChars="0"/>
              <w:jc w:val="center"/>
              <w:rPr>
                <w:sz w:val="21"/>
                <w:szCs w:val="21"/>
              </w:rPr>
            </w:pPr>
            <w:r>
              <w:rPr>
                <w:rFonts w:hint="eastAsia"/>
                <w:sz w:val="21"/>
                <w:szCs w:val="21"/>
              </w:rPr>
              <w:t>1.35</w:t>
            </w:r>
          </w:p>
        </w:tc>
        <w:tc>
          <w:tcPr>
            <w:tcW w:w="1134" w:type="dxa"/>
            <w:vAlign w:val="center"/>
          </w:tcPr>
          <w:p>
            <w:pPr>
              <w:ind w:firstLine="0" w:firstLineChars="0"/>
              <w:jc w:val="center"/>
              <w:rPr>
                <w:sz w:val="21"/>
                <w:szCs w:val="21"/>
              </w:rPr>
            </w:pPr>
            <w:r>
              <w:rPr>
                <w:rFonts w:hint="eastAsia"/>
                <w:sz w:val="21"/>
                <w:szCs w:val="21"/>
              </w:rPr>
              <w:t>9.4</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第3次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1.47</w:t>
            </w:r>
          </w:p>
        </w:tc>
        <w:tc>
          <w:tcPr>
            <w:tcW w:w="709" w:type="dxa"/>
            <w:vAlign w:val="center"/>
          </w:tcPr>
          <w:p>
            <w:pPr>
              <w:ind w:firstLine="0" w:firstLineChars="0"/>
              <w:jc w:val="center"/>
              <w:rPr>
                <w:sz w:val="21"/>
                <w:szCs w:val="21"/>
              </w:rPr>
            </w:pPr>
            <w:r>
              <w:rPr>
                <w:rFonts w:hint="eastAsia"/>
                <w:sz w:val="21"/>
                <w:szCs w:val="21"/>
              </w:rPr>
              <w:t>26.7</w:t>
            </w:r>
          </w:p>
        </w:tc>
        <w:tc>
          <w:tcPr>
            <w:tcW w:w="567" w:type="dxa"/>
            <w:vAlign w:val="center"/>
          </w:tcPr>
          <w:p>
            <w:pPr>
              <w:ind w:firstLine="0" w:firstLineChars="0"/>
              <w:jc w:val="center"/>
              <w:rPr>
                <w:sz w:val="21"/>
                <w:szCs w:val="21"/>
              </w:rPr>
            </w:pPr>
            <w:r>
              <w:rPr>
                <w:rFonts w:hint="eastAsia"/>
                <w:sz w:val="21"/>
                <w:szCs w:val="21"/>
              </w:rPr>
              <w:t>2.8</w:t>
            </w:r>
          </w:p>
        </w:tc>
        <w:tc>
          <w:tcPr>
            <w:tcW w:w="708" w:type="dxa"/>
            <w:vAlign w:val="center"/>
          </w:tcPr>
          <w:p>
            <w:pPr>
              <w:ind w:firstLine="0" w:firstLineChars="0"/>
              <w:jc w:val="center"/>
              <w:rPr>
                <w:sz w:val="21"/>
                <w:szCs w:val="21"/>
              </w:rPr>
            </w:pPr>
            <w:r>
              <w:rPr>
                <w:rFonts w:hint="eastAsia"/>
                <w:sz w:val="21"/>
                <w:szCs w:val="21"/>
              </w:rPr>
              <w:t>632</w:t>
            </w:r>
          </w:p>
        </w:tc>
        <w:tc>
          <w:tcPr>
            <w:tcW w:w="809" w:type="dxa"/>
            <w:vAlign w:val="center"/>
          </w:tcPr>
          <w:p>
            <w:pPr>
              <w:ind w:firstLine="0" w:firstLineChars="0"/>
              <w:jc w:val="center"/>
              <w:rPr>
                <w:sz w:val="21"/>
                <w:szCs w:val="21"/>
              </w:rPr>
            </w:pPr>
            <w:r>
              <w:rPr>
                <w:rFonts w:hint="eastAsia"/>
                <w:sz w:val="21"/>
                <w:szCs w:val="21"/>
              </w:rPr>
              <w:t>1.24</w:t>
            </w:r>
          </w:p>
        </w:tc>
        <w:tc>
          <w:tcPr>
            <w:tcW w:w="1134" w:type="dxa"/>
            <w:vAlign w:val="center"/>
          </w:tcPr>
          <w:p>
            <w:pPr>
              <w:ind w:firstLine="0" w:firstLineChars="0"/>
              <w:jc w:val="center"/>
              <w:rPr>
                <w:sz w:val="21"/>
                <w:szCs w:val="21"/>
              </w:rPr>
            </w:pPr>
            <w:r>
              <w:rPr>
                <w:rFonts w:hint="eastAsia"/>
                <w:sz w:val="21"/>
                <w:szCs w:val="21"/>
              </w:rPr>
              <w:t>7.8</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restart"/>
            <w:vAlign w:val="center"/>
          </w:tcPr>
          <w:p>
            <w:pPr>
              <w:spacing w:line="240" w:lineRule="auto"/>
              <w:ind w:firstLine="0" w:firstLineChars="0"/>
              <w:jc w:val="center"/>
              <w:rPr>
                <w:color w:val="000000"/>
                <w:sz w:val="21"/>
                <w:szCs w:val="21"/>
              </w:rPr>
            </w:pPr>
            <w:r>
              <w:rPr>
                <w:rFonts w:hint="eastAsia"/>
                <w:color w:val="000000"/>
                <w:sz w:val="21"/>
                <w:szCs w:val="21"/>
              </w:rPr>
              <w:t>处理后采样口</w:t>
            </w:r>
          </w:p>
        </w:tc>
        <w:tc>
          <w:tcPr>
            <w:tcW w:w="992" w:type="dxa"/>
            <w:vAlign w:val="center"/>
          </w:tcPr>
          <w:p>
            <w:pPr>
              <w:spacing w:line="240" w:lineRule="auto"/>
              <w:ind w:firstLine="0" w:firstLineChars="0"/>
              <w:jc w:val="center"/>
              <w:rPr>
                <w:color w:val="000000"/>
                <w:sz w:val="21"/>
                <w:szCs w:val="21"/>
              </w:rPr>
            </w:pPr>
            <w:r>
              <w:rPr>
                <w:color w:val="000000"/>
                <w:sz w:val="21"/>
                <w:szCs w:val="21"/>
              </w:rPr>
              <w:t>第1次</w:t>
            </w:r>
          </w:p>
        </w:tc>
        <w:tc>
          <w:tcPr>
            <w:tcW w:w="567" w:type="dxa"/>
            <w:vMerge w:val="restart"/>
            <w:vAlign w:val="center"/>
          </w:tcPr>
          <w:p>
            <w:pPr>
              <w:ind w:firstLine="0" w:firstLineChars="0"/>
              <w:jc w:val="center"/>
              <w:rPr>
                <w:sz w:val="21"/>
                <w:szCs w:val="21"/>
              </w:rPr>
            </w:pPr>
            <w:r>
              <w:rPr>
                <w:rFonts w:hint="eastAsia"/>
                <w:sz w:val="21"/>
                <w:szCs w:val="21"/>
              </w:rPr>
              <w:t>15</w:t>
            </w:r>
          </w:p>
        </w:tc>
        <w:tc>
          <w:tcPr>
            <w:tcW w:w="709" w:type="dxa"/>
            <w:vAlign w:val="center"/>
          </w:tcPr>
          <w:p>
            <w:pPr>
              <w:ind w:firstLine="0" w:firstLineChars="0"/>
              <w:jc w:val="center"/>
              <w:rPr>
                <w:sz w:val="21"/>
                <w:szCs w:val="21"/>
              </w:rPr>
            </w:pPr>
            <w:r>
              <w:rPr>
                <w:rFonts w:hint="eastAsia"/>
                <w:sz w:val="21"/>
                <w:szCs w:val="21"/>
              </w:rPr>
              <w:t>1.55</w:t>
            </w:r>
          </w:p>
        </w:tc>
        <w:tc>
          <w:tcPr>
            <w:tcW w:w="709" w:type="dxa"/>
            <w:vAlign w:val="center"/>
          </w:tcPr>
          <w:p>
            <w:pPr>
              <w:ind w:firstLine="0" w:firstLineChars="0"/>
              <w:jc w:val="center"/>
              <w:rPr>
                <w:sz w:val="21"/>
                <w:szCs w:val="21"/>
              </w:rPr>
            </w:pPr>
            <w:r>
              <w:rPr>
                <w:rFonts w:hint="eastAsia"/>
                <w:sz w:val="21"/>
                <w:szCs w:val="21"/>
              </w:rPr>
              <w:t>29.4</w:t>
            </w:r>
          </w:p>
        </w:tc>
        <w:tc>
          <w:tcPr>
            <w:tcW w:w="567" w:type="dxa"/>
            <w:vAlign w:val="center"/>
          </w:tcPr>
          <w:p>
            <w:pPr>
              <w:ind w:firstLine="0" w:firstLineChars="0"/>
              <w:jc w:val="center"/>
              <w:rPr>
                <w:sz w:val="21"/>
                <w:szCs w:val="21"/>
              </w:rPr>
            </w:pPr>
            <w:r>
              <w:rPr>
                <w:rFonts w:hint="eastAsia"/>
                <w:sz w:val="21"/>
                <w:szCs w:val="21"/>
              </w:rPr>
              <w:t>3.1</w:t>
            </w:r>
          </w:p>
        </w:tc>
        <w:tc>
          <w:tcPr>
            <w:tcW w:w="708" w:type="dxa"/>
            <w:vAlign w:val="center"/>
          </w:tcPr>
          <w:p>
            <w:pPr>
              <w:ind w:firstLine="0" w:firstLineChars="0"/>
              <w:jc w:val="center"/>
              <w:rPr>
                <w:sz w:val="21"/>
                <w:szCs w:val="21"/>
              </w:rPr>
            </w:pPr>
            <w:r>
              <w:rPr>
                <w:rFonts w:hint="eastAsia"/>
                <w:sz w:val="21"/>
                <w:szCs w:val="21"/>
              </w:rPr>
              <w:t>692</w:t>
            </w:r>
          </w:p>
        </w:tc>
        <w:tc>
          <w:tcPr>
            <w:tcW w:w="809" w:type="dxa"/>
            <w:vAlign w:val="center"/>
          </w:tcPr>
          <w:p>
            <w:pPr>
              <w:ind w:firstLine="0" w:firstLineChars="0"/>
              <w:jc w:val="center"/>
              <w:rPr>
                <w:sz w:val="21"/>
                <w:szCs w:val="21"/>
              </w:rPr>
            </w:pPr>
            <w:r>
              <w:rPr>
                <w:rFonts w:hint="eastAsia"/>
                <w:sz w:val="21"/>
                <w:szCs w:val="21"/>
              </w:rPr>
              <w:t>1.09</w:t>
            </w:r>
          </w:p>
        </w:tc>
        <w:tc>
          <w:tcPr>
            <w:tcW w:w="1134" w:type="dxa"/>
            <w:vAlign w:val="center"/>
          </w:tcPr>
          <w:p>
            <w:pPr>
              <w:ind w:firstLine="0" w:firstLineChars="0"/>
              <w:jc w:val="center"/>
              <w:rPr>
                <w:sz w:val="21"/>
                <w:szCs w:val="21"/>
              </w:rPr>
            </w:pPr>
            <w:r>
              <w:rPr>
                <w:rFonts w:hint="eastAsia"/>
                <w:sz w:val="21"/>
                <w:szCs w:val="21"/>
              </w:rPr>
              <w:t>7.5</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restart"/>
            <w:vAlign w:val="center"/>
          </w:tcPr>
          <w:p>
            <w:pPr>
              <w:ind w:firstLine="0" w:firstLineChars="0"/>
              <w:jc w:val="center"/>
              <w:rPr>
                <w:sz w:val="21"/>
                <w:szCs w:val="21"/>
              </w:rPr>
            </w:pPr>
            <w:r>
              <w:rPr>
                <w:rFonts w:hint="eastAsia"/>
                <w:sz w:val="21"/>
                <w:szCs w:val="21"/>
              </w:rPr>
              <w:t>30</w:t>
            </w:r>
          </w:p>
        </w:tc>
        <w:tc>
          <w:tcPr>
            <w:tcW w:w="759" w:type="dxa"/>
            <w:vMerge w:val="restart"/>
            <w:vAlign w:val="center"/>
          </w:tcPr>
          <w:p>
            <w:pPr>
              <w:ind w:firstLine="0" w:firstLineChars="0"/>
              <w:jc w:val="center"/>
              <w:rPr>
                <w:sz w:val="21"/>
                <w:szCs w:val="21"/>
              </w:rPr>
            </w:pPr>
            <w:r>
              <w:rPr>
                <w:rFonts w:hint="eastAsia"/>
                <w:sz w:val="21"/>
                <w:szCs w:val="21"/>
              </w:rPr>
              <w:t>1.45*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第2次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1.60</w:t>
            </w:r>
          </w:p>
        </w:tc>
        <w:tc>
          <w:tcPr>
            <w:tcW w:w="709" w:type="dxa"/>
            <w:vAlign w:val="center"/>
          </w:tcPr>
          <w:p>
            <w:pPr>
              <w:ind w:firstLine="0" w:firstLineChars="0"/>
              <w:jc w:val="center"/>
              <w:rPr>
                <w:sz w:val="21"/>
                <w:szCs w:val="21"/>
              </w:rPr>
            </w:pPr>
            <w:r>
              <w:rPr>
                <w:rFonts w:hint="eastAsia"/>
                <w:sz w:val="21"/>
                <w:szCs w:val="21"/>
              </w:rPr>
              <w:t>30.2</w:t>
            </w:r>
          </w:p>
        </w:tc>
        <w:tc>
          <w:tcPr>
            <w:tcW w:w="567" w:type="dxa"/>
            <w:vAlign w:val="center"/>
          </w:tcPr>
          <w:p>
            <w:pPr>
              <w:ind w:firstLine="0" w:firstLineChars="0"/>
              <w:jc w:val="center"/>
              <w:rPr>
                <w:sz w:val="21"/>
                <w:szCs w:val="21"/>
              </w:rPr>
            </w:pPr>
            <w:r>
              <w:rPr>
                <w:rFonts w:hint="eastAsia"/>
                <w:sz w:val="21"/>
                <w:szCs w:val="21"/>
              </w:rPr>
              <w:t>3.8</w:t>
            </w:r>
          </w:p>
        </w:tc>
        <w:tc>
          <w:tcPr>
            <w:tcW w:w="708" w:type="dxa"/>
            <w:vAlign w:val="center"/>
          </w:tcPr>
          <w:p>
            <w:pPr>
              <w:ind w:firstLine="0" w:firstLineChars="0"/>
              <w:jc w:val="center"/>
              <w:rPr>
                <w:sz w:val="21"/>
                <w:szCs w:val="21"/>
              </w:rPr>
            </w:pPr>
            <w:r>
              <w:rPr>
                <w:rFonts w:hint="eastAsia"/>
                <w:sz w:val="21"/>
                <w:szCs w:val="21"/>
              </w:rPr>
              <w:t>844</w:t>
            </w:r>
          </w:p>
        </w:tc>
        <w:tc>
          <w:tcPr>
            <w:tcW w:w="809" w:type="dxa"/>
            <w:vAlign w:val="center"/>
          </w:tcPr>
          <w:p>
            <w:pPr>
              <w:ind w:firstLine="0" w:firstLineChars="0"/>
              <w:jc w:val="center"/>
              <w:rPr>
                <w:sz w:val="21"/>
                <w:szCs w:val="21"/>
              </w:rPr>
            </w:pPr>
            <w:r>
              <w:rPr>
                <w:rFonts w:hint="eastAsia"/>
                <w:sz w:val="21"/>
                <w:szCs w:val="21"/>
              </w:rPr>
              <w:t>0.93</w:t>
            </w:r>
          </w:p>
        </w:tc>
        <w:tc>
          <w:tcPr>
            <w:tcW w:w="1134" w:type="dxa"/>
            <w:vAlign w:val="center"/>
          </w:tcPr>
          <w:p>
            <w:pPr>
              <w:ind w:firstLine="0" w:firstLineChars="0"/>
              <w:jc w:val="center"/>
              <w:rPr>
                <w:sz w:val="21"/>
                <w:szCs w:val="21"/>
              </w:rPr>
            </w:pPr>
            <w:r>
              <w:rPr>
                <w:rFonts w:hint="eastAsia"/>
                <w:sz w:val="21"/>
                <w:szCs w:val="21"/>
              </w:rPr>
              <w:t>7.8</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9" w:hRule="atLeast"/>
          <w:jc w:val="center"/>
        </w:trPr>
        <w:tc>
          <w:tcPr>
            <w:tcW w:w="1135" w:type="dxa"/>
            <w:vMerge w:val="continue"/>
            <w:vAlign w:val="center"/>
          </w:tcPr>
          <w:p>
            <w:pPr>
              <w:spacing w:line="240" w:lineRule="auto"/>
              <w:ind w:firstLine="0" w:firstLineChars="0"/>
              <w:jc w:val="center"/>
              <w:rPr>
                <w:sz w:val="21"/>
                <w:szCs w:val="21"/>
              </w:rPr>
            </w:pPr>
          </w:p>
        </w:tc>
        <w:tc>
          <w:tcPr>
            <w:tcW w:w="709"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color w:val="000000"/>
                <w:sz w:val="21"/>
                <w:szCs w:val="21"/>
              </w:rPr>
            </w:pPr>
            <w:r>
              <w:rPr>
                <w:color w:val="000000"/>
                <w:sz w:val="21"/>
                <w:szCs w:val="21"/>
              </w:rPr>
              <w:t>第3次</w:t>
            </w:r>
          </w:p>
        </w:tc>
        <w:tc>
          <w:tcPr>
            <w:tcW w:w="567" w:type="dxa"/>
            <w:vMerge w:val="continue"/>
            <w:vAlign w:val="center"/>
          </w:tcPr>
          <w:p>
            <w:pPr>
              <w:ind w:firstLine="0" w:firstLineChars="0"/>
              <w:jc w:val="center"/>
              <w:rPr>
                <w:sz w:val="21"/>
                <w:szCs w:val="21"/>
              </w:rPr>
            </w:pPr>
          </w:p>
        </w:tc>
        <w:tc>
          <w:tcPr>
            <w:tcW w:w="709" w:type="dxa"/>
            <w:vAlign w:val="center"/>
          </w:tcPr>
          <w:p>
            <w:pPr>
              <w:ind w:firstLine="0" w:firstLineChars="0"/>
              <w:jc w:val="center"/>
              <w:rPr>
                <w:sz w:val="21"/>
                <w:szCs w:val="21"/>
              </w:rPr>
            </w:pPr>
            <w:r>
              <w:rPr>
                <w:rFonts w:hint="eastAsia"/>
                <w:sz w:val="21"/>
                <w:szCs w:val="21"/>
              </w:rPr>
              <w:t>1.47</w:t>
            </w:r>
          </w:p>
        </w:tc>
        <w:tc>
          <w:tcPr>
            <w:tcW w:w="709" w:type="dxa"/>
            <w:vAlign w:val="center"/>
          </w:tcPr>
          <w:p>
            <w:pPr>
              <w:ind w:firstLine="0" w:firstLineChars="0"/>
              <w:jc w:val="center"/>
              <w:rPr>
                <w:sz w:val="21"/>
                <w:szCs w:val="21"/>
              </w:rPr>
            </w:pPr>
            <w:r>
              <w:rPr>
                <w:rFonts w:hint="eastAsia"/>
                <w:sz w:val="21"/>
                <w:szCs w:val="21"/>
              </w:rPr>
              <w:t>30.5</w:t>
            </w:r>
          </w:p>
        </w:tc>
        <w:tc>
          <w:tcPr>
            <w:tcW w:w="567" w:type="dxa"/>
            <w:vAlign w:val="center"/>
          </w:tcPr>
          <w:p>
            <w:pPr>
              <w:ind w:firstLine="0" w:firstLineChars="0"/>
              <w:jc w:val="center"/>
              <w:rPr>
                <w:sz w:val="21"/>
                <w:szCs w:val="21"/>
              </w:rPr>
            </w:pPr>
            <w:r>
              <w:rPr>
                <w:rFonts w:hint="eastAsia"/>
                <w:sz w:val="21"/>
                <w:szCs w:val="21"/>
              </w:rPr>
              <w:t>3.6</w:t>
            </w:r>
          </w:p>
        </w:tc>
        <w:tc>
          <w:tcPr>
            <w:tcW w:w="708" w:type="dxa"/>
            <w:vAlign w:val="center"/>
          </w:tcPr>
          <w:p>
            <w:pPr>
              <w:ind w:firstLine="0" w:firstLineChars="0"/>
              <w:jc w:val="center"/>
              <w:rPr>
                <w:sz w:val="21"/>
                <w:szCs w:val="21"/>
              </w:rPr>
            </w:pPr>
            <w:r>
              <w:rPr>
                <w:rFonts w:hint="eastAsia"/>
                <w:sz w:val="21"/>
                <w:szCs w:val="21"/>
              </w:rPr>
              <w:t>798</w:t>
            </w:r>
          </w:p>
        </w:tc>
        <w:tc>
          <w:tcPr>
            <w:tcW w:w="809" w:type="dxa"/>
            <w:vAlign w:val="center"/>
          </w:tcPr>
          <w:p>
            <w:pPr>
              <w:ind w:firstLine="0" w:firstLineChars="0"/>
              <w:jc w:val="center"/>
              <w:rPr>
                <w:sz w:val="21"/>
                <w:szCs w:val="21"/>
              </w:rPr>
            </w:pPr>
            <w:r>
              <w:rPr>
                <w:rFonts w:hint="eastAsia"/>
                <w:sz w:val="21"/>
                <w:szCs w:val="21"/>
              </w:rPr>
              <w:t>0.82</w:t>
            </w:r>
          </w:p>
        </w:tc>
        <w:tc>
          <w:tcPr>
            <w:tcW w:w="1134" w:type="dxa"/>
            <w:vAlign w:val="center"/>
          </w:tcPr>
          <w:p>
            <w:pPr>
              <w:ind w:firstLine="0" w:firstLineChars="0"/>
              <w:jc w:val="center"/>
              <w:rPr>
                <w:sz w:val="21"/>
                <w:szCs w:val="21"/>
              </w:rPr>
            </w:pPr>
            <w:r>
              <w:rPr>
                <w:rFonts w:hint="eastAsia"/>
                <w:sz w:val="21"/>
                <w:szCs w:val="21"/>
              </w:rPr>
              <w:t>6.5</w:t>
            </w:r>
            <w:r>
              <w:rPr>
                <w:rFonts w:hint="eastAsia" w:ascii="宋体" w:hAnsi="宋体" w:eastAsia="宋体"/>
                <w:sz w:val="21"/>
                <w:szCs w:val="21"/>
              </w:rPr>
              <w:t>×</w:t>
            </w:r>
            <w:r>
              <w:rPr>
                <w:rFonts w:hint="eastAsia"/>
                <w:sz w:val="21"/>
                <w:szCs w:val="21"/>
              </w:rPr>
              <w:t>10</w:t>
            </w:r>
            <w:r>
              <w:rPr>
                <w:rFonts w:hint="eastAsia"/>
                <w:sz w:val="21"/>
                <w:szCs w:val="21"/>
                <w:vertAlign w:val="superscript"/>
              </w:rPr>
              <w:t>-4</w:t>
            </w:r>
          </w:p>
        </w:tc>
        <w:tc>
          <w:tcPr>
            <w:tcW w:w="850" w:type="dxa"/>
            <w:vMerge w:val="continue"/>
            <w:vAlign w:val="center"/>
          </w:tcPr>
          <w:p>
            <w:pPr>
              <w:ind w:firstLine="0" w:firstLineChars="0"/>
              <w:jc w:val="center"/>
              <w:rPr>
                <w:sz w:val="21"/>
                <w:szCs w:val="21"/>
              </w:rPr>
            </w:pPr>
          </w:p>
        </w:tc>
        <w:tc>
          <w:tcPr>
            <w:tcW w:w="759" w:type="dxa"/>
            <w:vMerge w:val="continue"/>
            <w:vAlign w:val="center"/>
          </w:tcPr>
          <w:p>
            <w:pPr>
              <w:ind w:firstLine="0" w:firstLineChars="0"/>
              <w:jc w:val="center"/>
              <w:rPr>
                <w:sz w:val="21"/>
                <w:szCs w:val="21"/>
              </w:rPr>
            </w:pPr>
          </w:p>
        </w:tc>
      </w:tr>
    </w:tbl>
    <w:p>
      <w:pPr>
        <w:pStyle w:val="4"/>
      </w:pPr>
      <w:bookmarkStart w:id="90" w:name="_Toc72396101"/>
      <w:r>
        <w:rPr>
          <w:rFonts w:hint="eastAsia"/>
        </w:rPr>
        <w:t>8.1.3废气检测结果分析</w:t>
      </w:r>
      <w:bookmarkEnd w:id="90"/>
    </w:p>
    <w:p>
      <w:pPr>
        <w:ind w:firstLine="480"/>
        <w:rPr>
          <w:kern w:val="0"/>
          <w:szCs w:val="24"/>
          <w:highlight w:val="yellow"/>
        </w:rPr>
      </w:pPr>
      <w:r>
        <w:rPr>
          <w:rFonts w:hint="eastAsia"/>
        </w:rPr>
        <w:t>本项</w:t>
      </w:r>
      <w:r>
        <w:rPr>
          <w:rFonts w:hint="eastAsia"/>
          <w:kern w:val="0"/>
          <w:szCs w:val="24"/>
        </w:rPr>
        <w:t>目有</w:t>
      </w:r>
      <w:r>
        <w:rPr>
          <w:rFonts w:hint="eastAsia"/>
          <w:szCs w:val="24"/>
        </w:rPr>
        <w:t>组织废气总</w:t>
      </w:r>
      <w:r>
        <w:rPr>
          <w:szCs w:val="24"/>
        </w:rPr>
        <w:t>VOCs</w:t>
      </w:r>
      <w:r>
        <w:rPr>
          <w:rFonts w:hint="eastAsia"/>
          <w:szCs w:val="24"/>
        </w:rPr>
        <w:t>污染因子排放浓度达到</w:t>
      </w:r>
      <w:r>
        <w:rPr>
          <w:szCs w:val="24"/>
        </w:rPr>
        <w:t>《家具制造行业挥发性有机化合物排放标准》（DB44/814-2010）表1中VOCs的第</w:t>
      </w:r>
      <w:r>
        <w:rPr>
          <w:rFonts w:hint="eastAsia"/>
          <w:szCs w:val="24"/>
        </w:rPr>
        <w:t>Ⅱ</w:t>
      </w:r>
      <w:r>
        <w:rPr>
          <w:szCs w:val="24"/>
        </w:rPr>
        <w:t>时段排放监控限值</w:t>
      </w:r>
      <w:r>
        <w:rPr>
          <w:rFonts w:hint="eastAsia"/>
          <w:szCs w:val="24"/>
        </w:rPr>
        <w:t>；厂界无组织废气颗粒物达到广东省地方标准《大气污染物排放标准》（DB 44/27-2001）表2第二时段无组织排放监控浓度限值，</w:t>
      </w:r>
      <w:r>
        <w:rPr>
          <w:szCs w:val="24"/>
        </w:rPr>
        <w:t>VOCs污染因子排放限值</w:t>
      </w:r>
      <w:r>
        <w:rPr>
          <w:rFonts w:hint="eastAsia"/>
          <w:szCs w:val="24"/>
        </w:rPr>
        <w:t>达到</w:t>
      </w:r>
      <w:r>
        <w:rPr>
          <w:szCs w:val="24"/>
        </w:rPr>
        <w:t>广东省地方标准《家具制造行业挥发性有机化合物排放标准》（DB44/814-2010）表1</w:t>
      </w:r>
      <w:r>
        <w:rPr>
          <w:rFonts w:hint="eastAsia"/>
          <w:szCs w:val="24"/>
        </w:rPr>
        <w:t>无组织</w:t>
      </w:r>
      <w:r>
        <w:rPr>
          <w:szCs w:val="24"/>
        </w:rPr>
        <w:t>排放监控限值。</w:t>
      </w:r>
      <w:r>
        <w:rPr>
          <w:rFonts w:hint="eastAsia"/>
        </w:rPr>
        <w:t>项目总VOCs排放量为0.0017t/a。</w:t>
      </w:r>
    </w:p>
    <w:p>
      <w:pPr>
        <w:pStyle w:val="4"/>
      </w:pPr>
      <w:bookmarkStart w:id="91" w:name="_Toc72396102"/>
      <w:bookmarkStart w:id="92" w:name="_Toc531082184"/>
      <w:bookmarkStart w:id="93" w:name="_Toc531082181"/>
      <w:r>
        <w:rPr>
          <w:rFonts w:hint="eastAsia"/>
        </w:rPr>
        <w:t>8</w:t>
      </w:r>
      <w:r>
        <w:t>.</w:t>
      </w:r>
      <w:r>
        <w:rPr>
          <w:rFonts w:hint="eastAsia"/>
        </w:rPr>
        <w:t>2</w:t>
      </w:r>
      <w:r>
        <w:t>废水</w:t>
      </w:r>
      <w:r>
        <w:rPr>
          <w:rFonts w:hint="eastAsia"/>
        </w:rPr>
        <w:t>检测</w:t>
      </w:r>
      <w:bookmarkEnd w:id="91"/>
      <w:bookmarkEnd w:id="92"/>
    </w:p>
    <w:p>
      <w:pPr>
        <w:ind w:firstLine="480"/>
      </w:pPr>
      <w:r>
        <w:rPr>
          <w:rFonts w:hAnsi="宋体" w:eastAsia="宋体" w:cs="Times New Roman"/>
          <w:szCs w:val="28"/>
        </w:rPr>
        <w:t>本项目</w:t>
      </w:r>
      <w:r>
        <w:rPr>
          <w:rFonts w:hint="eastAsia" w:hAnsi="宋体" w:eastAsia="宋体" w:cs="Times New Roman"/>
          <w:szCs w:val="28"/>
        </w:rPr>
        <w:t>产生的废水主要为生活污水。</w:t>
      </w:r>
      <w:r>
        <w:rPr>
          <w:rFonts w:hAnsi="宋体" w:eastAsia="宋体" w:cs="Times New Roman"/>
          <w:szCs w:val="28"/>
        </w:rPr>
        <w:t>生活污水经三级化粪池预处理后</w:t>
      </w:r>
      <w:r>
        <w:rPr>
          <w:rFonts w:hint="eastAsia" w:hAnsi="宋体" w:eastAsia="宋体" w:cs="Times New Roman"/>
          <w:szCs w:val="28"/>
        </w:rPr>
        <w:t>，定期由吸污车清运</w:t>
      </w:r>
      <w:r>
        <w:rPr>
          <w:rFonts w:eastAsia="宋体" w:cs="Times New Roman"/>
          <w:szCs w:val="24"/>
        </w:rPr>
        <w:t>，</w:t>
      </w:r>
      <w:r>
        <w:rPr>
          <w:rFonts w:hint="eastAsia" w:eastAsia="宋体" w:cs="Times New Roman"/>
          <w:szCs w:val="24"/>
        </w:rPr>
        <w:t>用于果树园林灌溉</w:t>
      </w:r>
      <w:r>
        <w:rPr>
          <w:rFonts w:hAnsi="宋体" w:eastAsia="宋体" w:cs="Times New Roman"/>
          <w:szCs w:val="28"/>
        </w:rPr>
        <w:t>。</w:t>
      </w:r>
      <w:r>
        <w:rPr>
          <w:rFonts w:hint="eastAsia" w:hAnsi="宋体" w:eastAsia="宋体" w:cs="Times New Roman"/>
        </w:rPr>
        <w:t>由于项目使用地埋式三级化粪池，无标准采样口，本次验收不对生活污水进行采样检测。</w:t>
      </w:r>
    </w:p>
    <w:p>
      <w:pPr>
        <w:pStyle w:val="3"/>
        <w:rPr>
          <w:szCs w:val="21"/>
        </w:rPr>
      </w:pPr>
      <w:bookmarkStart w:id="94" w:name="_Toc72396103"/>
      <w:r>
        <w:rPr>
          <w:rFonts w:hint="eastAsia"/>
          <w:szCs w:val="21"/>
        </w:rPr>
        <w:t>8</w:t>
      </w:r>
      <w:r>
        <w:rPr>
          <w:szCs w:val="21"/>
        </w:rPr>
        <w:t>.</w:t>
      </w:r>
      <w:r>
        <w:rPr>
          <w:rFonts w:hint="eastAsia"/>
          <w:szCs w:val="21"/>
        </w:rPr>
        <w:t>3噪声检测</w:t>
      </w:r>
      <w:bookmarkEnd w:id="93"/>
      <w:bookmarkEnd w:id="94"/>
    </w:p>
    <w:p>
      <w:pPr>
        <w:pStyle w:val="4"/>
      </w:pPr>
      <w:bookmarkStart w:id="95" w:name="_Toc531082182"/>
      <w:bookmarkStart w:id="96" w:name="_Toc72396104"/>
      <w:r>
        <w:rPr>
          <w:rFonts w:hint="eastAsia"/>
        </w:rPr>
        <w:t>8</w:t>
      </w:r>
      <w:r>
        <w:t>.</w:t>
      </w:r>
      <w:r>
        <w:rPr>
          <w:rFonts w:hint="eastAsia"/>
        </w:rPr>
        <w:t>3</w:t>
      </w:r>
      <w:r>
        <w:t>.1</w:t>
      </w:r>
      <w:r>
        <w:rPr>
          <w:rFonts w:hint="eastAsia"/>
        </w:rPr>
        <w:t>噪声检测</w:t>
      </w:r>
      <w:r>
        <w:t>结果</w:t>
      </w:r>
      <w:bookmarkEnd w:id="95"/>
      <w:bookmarkEnd w:id="96"/>
    </w:p>
    <w:p>
      <w:pPr>
        <w:ind w:firstLine="0" w:firstLineChars="0"/>
        <w:jc w:val="center"/>
        <w:rPr>
          <w:b/>
        </w:rPr>
      </w:pPr>
      <w:r>
        <w:rPr>
          <w:rFonts w:hint="eastAsia"/>
          <w:b/>
        </w:rPr>
        <w:t>表8.3-1 噪声检测结果</w:t>
      </w:r>
    </w:p>
    <w:tbl>
      <w:tblPr>
        <w:tblStyle w:val="26"/>
        <w:tblW w:w="7331" w:type="dxa"/>
        <w:jc w:val="center"/>
        <w:tblInd w:w="6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4"/>
        <w:gridCol w:w="916"/>
        <w:gridCol w:w="895"/>
        <w:gridCol w:w="917"/>
        <w:gridCol w:w="895"/>
        <w:gridCol w:w="717"/>
        <w:gridCol w:w="7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Merge w:val="restart"/>
            <w:vAlign w:val="center"/>
          </w:tcPr>
          <w:p>
            <w:pPr>
              <w:spacing w:line="240" w:lineRule="auto"/>
              <w:ind w:firstLine="0" w:firstLineChars="0"/>
              <w:jc w:val="center"/>
              <w:rPr>
                <w:sz w:val="21"/>
                <w:szCs w:val="21"/>
              </w:rPr>
            </w:pPr>
            <w:r>
              <w:rPr>
                <w:rFonts w:hint="eastAsia"/>
                <w:sz w:val="21"/>
                <w:szCs w:val="21"/>
              </w:rPr>
              <w:t>采样点位</w:t>
            </w:r>
          </w:p>
        </w:tc>
        <w:tc>
          <w:tcPr>
            <w:tcW w:w="3623" w:type="dxa"/>
            <w:gridSpan w:val="4"/>
            <w:vAlign w:val="center"/>
          </w:tcPr>
          <w:p>
            <w:pPr>
              <w:spacing w:line="240" w:lineRule="auto"/>
              <w:ind w:firstLine="0" w:firstLineChars="0"/>
              <w:jc w:val="center"/>
              <w:rPr>
                <w:sz w:val="21"/>
                <w:szCs w:val="21"/>
              </w:rPr>
            </w:pPr>
            <w:r>
              <w:rPr>
                <w:rFonts w:hint="eastAsia"/>
                <w:sz w:val="21"/>
                <w:szCs w:val="21"/>
              </w:rPr>
              <w:t>检测结果Leq[dB（A）]</w:t>
            </w:r>
          </w:p>
        </w:tc>
        <w:tc>
          <w:tcPr>
            <w:tcW w:w="1434" w:type="dxa"/>
            <w:gridSpan w:val="2"/>
            <w:vMerge w:val="restart"/>
            <w:vAlign w:val="center"/>
          </w:tcPr>
          <w:p>
            <w:pPr>
              <w:spacing w:line="240" w:lineRule="auto"/>
              <w:ind w:firstLine="0" w:firstLineChars="0"/>
              <w:jc w:val="center"/>
              <w:rPr>
                <w:sz w:val="21"/>
                <w:szCs w:val="21"/>
              </w:rPr>
            </w:pPr>
            <w:r>
              <w:rPr>
                <w:rFonts w:hint="eastAsia"/>
                <w:sz w:val="21"/>
                <w:szCs w:val="21"/>
              </w:rPr>
              <w:t>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Merge w:val="continue"/>
            <w:vAlign w:val="center"/>
          </w:tcPr>
          <w:p>
            <w:pPr>
              <w:spacing w:line="240" w:lineRule="auto"/>
              <w:ind w:firstLine="0" w:firstLineChars="0"/>
              <w:jc w:val="center"/>
              <w:rPr>
                <w:sz w:val="21"/>
                <w:szCs w:val="21"/>
              </w:rPr>
            </w:pPr>
          </w:p>
        </w:tc>
        <w:tc>
          <w:tcPr>
            <w:tcW w:w="1811" w:type="dxa"/>
            <w:gridSpan w:val="2"/>
            <w:vAlign w:val="center"/>
          </w:tcPr>
          <w:p>
            <w:pPr>
              <w:spacing w:line="240" w:lineRule="auto"/>
              <w:ind w:firstLine="0" w:firstLineChars="0"/>
              <w:jc w:val="center"/>
              <w:rPr>
                <w:sz w:val="21"/>
                <w:szCs w:val="21"/>
              </w:rPr>
            </w:pPr>
            <w:r>
              <w:rPr>
                <w:rFonts w:hint="eastAsia"/>
                <w:sz w:val="21"/>
                <w:szCs w:val="21"/>
              </w:rPr>
              <w:t>2021.04.16</w:t>
            </w:r>
          </w:p>
        </w:tc>
        <w:tc>
          <w:tcPr>
            <w:tcW w:w="1812" w:type="dxa"/>
            <w:gridSpan w:val="2"/>
            <w:vAlign w:val="center"/>
          </w:tcPr>
          <w:p>
            <w:pPr>
              <w:spacing w:line="240" w:lineRule="auto"/>
              <w:ind w:firstLine="0" w:firstLineChars="0"/>
              <w:jc w:val="center"/>
              <w:rPr>
                <w:sz w:val="21"/>
                <w:szCs w:val="21"/>
              </w:rPr>
            </w:pPr>
            <w:r>
              <w:rPr>
                <w:rFonts w:hint="eastAsia"/>
                <w:sz w:val="21"/>
                <w:szCs w:val="21"/>
              </w:rPr>
              <w:t>2021.04.17</w:t>
            </w:r>
          </w:p>
        </w:tc>
        <w:tc>
          <w:tcPr>
            <w:tcW w:w="1434" w:type="dxa"/>
            <w:gridSpan w:val="2"/>
            <w:vMerge w:val="continue"/>
            <w:vAlign w:val="center"/>
          </w:tcPr>
          <w:p>
            <w:pPr>
              <w:spacing w:line="240" w:lineRule="auto"/>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Merge w:val="continue"/>
            <w:vAlign w:val="center"/>
          </w:tcPr>
          <w:p>
            <w:pPr>
              <w:spacing w:line="240" w:lineRule="auto"/>
              <w:ind w:firstLine="0" w:firstLineChars="0"/>
              <w:jc w:val="center"/>
              <w:rPr>
                <w:sz w:val="21"/>
                <w:szCs w:val="21"/>
              </w:rPr>
            </w:pPr>
          </w:p>
        </w:tc>
        <w:tc>
          <w:tcPr>
            <w:tcW w:w="916" w:type="dxa"/>
            <w:vAlign w:val="center"/>
          </w:tcPr>
          <w:p>
            <w:pPr>
              <w:spacing w:line="240" w:lineRule="auto"/>
              <w:ind w:firstLine="0" w:firstLineChars="0"/>
              <w:jc w:val="center"/>
              <w:rPr>
                <w:sz w:val="21"/>
                <w:szCs w:val="21"/>
              </w:rPr>
            </w:pPr>
            <w:r>
              <w:rPr>
                <w:rFonts w:hint="eastAsia"/>
                <w:sz w:val="21"/>
                <w:szCs w:val="21"/>
              </w:rPr>
              <w:t>昼间</w:t>
            </w:r>
          </w:p>
        </w:tc>
        <w:tc>
          <w:tcPr>
            <w:tcW w:w="895" w:type="dxa"/>
            <w:vAlign w:val="center"/>
          </w:tcPr>
          <w:p>
            <w:pPr>
              <w:spacing w:line="240" w:lineRule="auto"/>
              <w:ind w:firstLine="0" w:firstLineChars="0"/>
              <w:jc w:val="center"/>
              <w:rPr>
                <w:sz w:val="21"/>
                <w:szCs w:val="21"/>
              </w:rPr>
            </w:pPr>
            <w:r>
              <w:rPr>
                <w:rFonts w:hint="eastAsia"/>
                <w:sz w:val="21"/>
                <w:szCs w:val="21"/>
              </w:rPr>
              <w:t>夜间</w:t>
            </w:r>
          </w:p>
        </w:tc>
        <w:tc>
          <w:tcPr>
            <w:tcW w:w="917" w:type="dxa"/>
            <w:vAlign w:val="center"/>
          </w:tcPr>
          <w:p>
            <w:pPr>
              <w:spacing w:line="240" w:lineRule="auto"/>
              <w:ind w:firstLine="0" w:firstLineChars="0"/>
              <w:jc w:val="center"/>
              <w:rPr>
                <w:sz w:val="21"/>
                <w:szCs w:val="21"/>
              </w:rPr>
            </w:pPr>
            <w:r>
              <w:rPr>
                <w:rFonts w:hint="eastAsia"/>
                <w:sz w:val="21"/>
                <w:szCs w:val="21"/>
              </w:rPr>
              <w:t>昼间</w:t>
            </w:r>
          </w:p>
        </w:tc>
        <w:tc>
          <w:tcPr>
            <w:tcW w:w="895" w:type="dxa"/>
            <w:vAlign w:val="center"/>
          </w:tcPr>
          <w:p>
            <w:pPr>
              <w:spacing w:line="240" w:lineRule="auto"/>
              <w:ind w:firstLine="0" w:firstLineChars="0"/>
              <w:jc w:val="center"/>
              <w:rPr>
                <w:sz w:val="21"/>
                <w:szCs w:val="21"/>
              </w:rPr>
            </w:pPr>
            <w:r>
              <w:rPr>
                <w:rFonts w:hint="eastAsia"/>
                <w:sz w:val="21"/>
                <w:szCs w:val="21"/>
              </w:rPr>
              <w:t>夜间</w:t>
            </w:r>
          </w:p>
        </w:tc>
        <w:tc>
          <w:tcPr>
            <w:tcW w:w="717" w:type="dxa"/>
            <w:vAlign w:val="center"/>
          </w:tcPr>
          <w:p>
            <w:pPr>
              <w:spacing w:line="240" w:lineRule="auto"/>
              <w:ind w:firstLine="0" w:firstLineChars="0"/>
              <w:jc w:val="center"/>
              <w:rPr>
                <w:sz w:val="21"/>
                <w:szCs w:val="21"/>
              </w:rPr>
            </w:pPr>
            <w:r>
              <w:rPr>
                <w:rFonts w:hint="eastAsia"/>
                <w:sz w:val="21"/>
                <w:szCs w:val="21"/>
              </w:rPr>
              <w:t>昼间</w:t>
            </w:r>
          </w:p>
        </w:tc>
        <w:tc>
          <w:tcPr>
            <w:tcW w:w="717" w:type="dxa"/>
            <w:vAlign w:val="center"/>
          </w:tcPr>
          <w:p>
            <w:pPr>
              <w:spacing w:line="240" w:lineRule="auto"/>
              <w:ind w:firstLine="0" w:firstLineChars="0"/>
              <w:jc w:val="center"/>
              <w:rPr>
                <w:sz w:val="21"/>
                <w:szCs w:val="21"/>
              </w:rPr>
            </w:pPr>
            <w:r>
              <w:rPr>
                <w:rFonts w:hint="eastAsia"/>
                <w:sz w:val="21"/>
                <w:szCs w:val="21"/>
              </w:rPr>
              <w:t>夜间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Align w:val="center"/>
          </w:tcPr>
          <w:p>
            <w:pPr>
              <w:spacing w:line="240" w:lineRule="auto"/>
              <w:ind w:firstLine="0" w:firstLineChars="0"/>
              <w:jc w:val="center"/>
              <w:rPr>
                <w:color w:val="000000"/>
                <w:sz w:val="21"/>
                <w:szCs w:val="21"/>
              </w:rPr>
            </w:pPr>
            <w:r>
              <w:rPr>
                <w:rFonts w:hint="eastAsia"/>
                <w:color w:val="000000"/>
                <w:sz w:val="21"/>
                <w:szCs w:val="21"/>
              </w:rPr>
              <w:t>厂界北面外1m 处N1</w:t>
            </w:r>
          </w:p>
        </w:tc>
        <w:tc>
          <w:tcPr>
            <w:tcW w:w="916" w:type="dxa"/>
            <w:vAlign w:val="center"/>
          </w:tcPr>
          <w:p>
            <w:pPr>
              <w:spacing w:line="240" w:lineRule="auto"/>
              <w:ind w:firstLine="0" w:firstLineChars="0"/>
              <w:jc w:val="center"/>
              <w:rPr>
                <w:sz w:val="21"/>
                <w:szCs w:val="21"/>
              </w:rPr>
            </w:pPr>
            <w:r>
              <w:rPr>
                <w:rFonts w:hint="eastAsia"/>
                <w:sz w:val="21"/>
                <w:szCs w:val="21"/>
              </w:rPr>
              <w:t>56</w:t>
            </w:r>
          </w:p>
        </w:tc>
        <w:tc>
          <w:tcPr>
            <w:tcW w:w="895" w:type="dxa"/>
            <w:vAlign w:val="center"/>
          </w:tcPr>
          <w:p>
            <w:pPr>
              <w:spacing w:line="240" w:lineRule="auto"/>
              <w:ind w:firstLine="0" w:firstLineChars="0"/>
              <w:jc w:val="center"/>
              <w:rPr>
                <w:sz w:val="21"/>
                <w:szCs w:val="21"/>
              </w:rPr>
            </w:pPr>
            <w:r>
              <w:rPr>
                <w:rFonts w:hint="eastAsia"/>
                <w:sz w:val="21"/>
                <w:szCs w:val="21"/>
              </w:rPr>
              <w:t>46</w:t>
            </w:r>
          </w:p>
        </w:tc>
        <w:tc>
          <w:tcPr>
            <w:tcW w:w="917" w:type="dxa"/>
            <w:vAlign w:val="center"/>
          </w:tcPr>
          <w:p>
            <w:pPr>
              <w:spacing w:line="240" w:lineRule="auto"/>
              <w:ind w:firstLine="0" w:firstLineChars="0"/>
              <w:jc w:val="center"/>
              <w:rPr>
                <w:sz w:val="21"/>
                <w:szCs w:val="21"/>
              </w:rPr>
            </w:pPr>
            <w:r>
              <w:rPr>
                <w:rFonts w:hint="eastAsia"/>
                <w:sz w:val="21"/>
                <w:szCs w:val="21"/>
              </w:rPr>
              <w:t>57</w:t>
            </w:r>
          </w:p>
        </w:tc>
        <w:tc>
          <w:tcPr>
            <w:tcW w:w="895" w:type="dxa"/>
            <w:vAlign w:val="center"/>
          </w:tcPr>
          <w:p>
            <w:pPr>
              <w:spacing w:line="240" w:lineRule="auto"/>
              <w:ind w:firstLine="0" w:firstLineChars="0"/>
              <w:jc w:val="center"/>
              <w:rPr>
                <w:sz w:val="21"/>
                <w:szCs w:val="21"/>
              </w:rPr>
            </w:pPr>
            <w:r>
              <w:rPr>
                <w:rFonts w:hint="eastAsia"/>
                <w:sz w:val="21"/>
                <w:szCs w:val="21"/>
              </w:rPr>
              <w:t>45</w:t>
            </w:r>
          </w:p>
        </w:tc>
        <w:tc>
          <w:tcPr>
            <w:tcW w:w="717" w:type="dxa"/>
            <w:vAlign w:val="center"/>
          </w:tcPr>
          <w:p>
            <w:pPr>
              <w:spacing w:line="240" w:lineRule="auto"/>
              <w:ind w:firstLine="0" w:firstLineChars="0"/>
              <w:jc w:val="center"/>
              <w:rPr>
                <w:sz w:val="21"/>
                <w:szCs w:val="21"/>
              </w:rPr>
            </w:pPr>
            <w:r>
              <w:rPr>
                <w:rFonts w:hint="eastAsia"/>
                <w:sz w:val="21"/>
                <w:szCs w:val="21"/>
              </w:rPr>
              <w:t>60</w:t>
            </w:r>
          </w:p>
        </w:tc>
        <w:tc>
          <w:tcPr>
            <w:tcW w:w="717" w:type="dxa"/>
            <w:vAlign w:val="center"/>
          </w:tcPr>
          <w:p>
            <w:pPr>
              <w:spacing w:line="240" w:lineRule="auto"/>
              <w:ind w:firstLine="0" w:firstLineChars="0"/>
              <w:jc w:val="center"/>
              <w:rPr>
                <w:sz w:val="21"/>
                <w:szCs w:val="21"/>
              </w:rPr>
            </w:pPr>
            <w:r>
              <w:rPr>
                <w:rFonts w:hint="eastAsia"/>
                <w:sz w:val="21"/>
                <w:szCs w:val="21"/>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Align w:val="center"/>
          </w:tcPr>
          <w:p>
            <w:pPr>
              <w:spacing w:line="240" w:lineRule="auto"/>
              <w:ind w:firstLine="0" w:firstLineChars="0"/>
              <w:jc w:val="center"/>
              <w:rPr>
                <w:color w:val="000000"/>
                <w:sz w:val="21"/>
                <w:szCs w:val="21"/>
              </w:rPr>
            </w:pPr>
            <w:r>
              <w:rPr>
                <w:rFonts w:hint="eastAsia"/>
                <w:color w:val="000000"/>
                <w:sz w:val="21"/>
                <w:szCs w:val="21"/>
              </w:rPr>
              <w:t>厂界东面外1m 处N2</w:t>
            </w:r>
          </w:p>
        </w:tc>
        <w:tc>
          <w:tcPr>
            <w:tcW w:w="916" w:type="dxa"/>
            <w:vAlign w:val="center"/>
          </w:tcPr>
          <w:p>
            <w:pPr>
              <w:spacing w:line="240" w:lineRule="auto"/>
              <w:ind w:firstLine="0" w:firstLineChars="0"/>
              <w:jc w:val="center"/>
              <w:rPr>
                <w:sz w:val="21"/>
                <w:szCs w:val="21"/>
              </w:rPr>
            </w:pPr>
            <w:r>
              <w:rPr>
                <w:rFonts w:hint="eastAsia"/>
                <w:sz w:val="21"/>
                <w:szCs w:val="21"/>
              </w:rPr>
              <w:t>57</w:t>
            </w:r>
          </w:p>
        </w:tc>
        <w:tc>
          <w:tcPr>
            <w:tcW w:w="895" w:type="dxa"/>
            <w:vAlign w:val="center"/>
          </w:tcPr>
          <w:p>
            <w:pPr>
              <w:spacing w:line="240" w:lineRule="auto"/>
              <w:ind w:firstLine="0" w:firstLineChars="0"/>
              <w:jc w:val="center"/>
              <w:rPr>
                <w:sz w:val="21"/>
                <w:szCs w:val="21"/>
              </w:rPr>
            </w:pPr>
            <w:r>
              <w:rPr>
                <w:rFonts w:hint="eastAsia"/>
                <w:sz w:val="21"/>
                <w:szCs w:val="21"/>
              </w:rPr>
              <w:t>48</w:t>
            </w:r>
          </w:p>
        </w:tc>
        <w:tc>
          <w:tcPr>
            <w:tcW w:w="917" w:type="dxa"/>
            <w:vAlign w:val="center"/>
          </w:tcPr>
          <w:p>
            <w:pPr>
              <w:spacing w:line="240" w:lineRule="auto"/>
              <w:ind w:firstLine="0" w:firstLineChars="0"/>
              <w:jc w:val="center"/>
              <w:rPr>
                <w:sz w:val="21"/>
                <w:szCs w:val="21"/>
              </w:rPr>
            </w:pPr>
            <w:r>
              <w:rPr>
                <w:rFonts w:hint="eastAsia"/>
                <w:sz w:val="21"/>
                <w:szCs w:val="21"/>
              </w:rPr>
              <w:t>55</w:t>
            </w:r>
          </w:p>
        </w:tc>
        <w:tc>
          <w:tcPr>
            <w:tcW w:w="895" w:type="dxa"/>
            <w:vAlign w:val="center"/>
          </w:tcPr>
          <w:p>
            <w:pPr>
              <w:spacing w:line="240" w:lineRule="auto"/>
              <w:ind w:firstLine="0" w:firstLineChars="0"/>
              <w:jc w:val="center"/>
              <w:rPr>
                <w:sz w:val="21"/>
                <w:szCs w:val="21"/>
              </w:rPr>
            </w:pPr>
            <w:r>
              <w:rPr>
                <w:rFonts w:hint="eastAsia"/>
                <w:sz w:val="21"/>
                <w:szCs w:val="21"/>
              </w:rPr>
              <w:t>46</w:t>
            </w:r>
          </w:p>
        </w:tc>
        <w:tc>
          <w:tcPr>
            <w:tcW w:w="717" w:type="dxa"/>
            <w:vAlign w:val="center"/>
          </w:tcPr>
          <w:p>
            <w:pPr>
              <w:spacing w:line="240" w:lineRule="auto"/>
              <w:ind w:firstLine="0" w:firstLineChars="0"/>
              <w:jc w:val="center"/>
              <w:rPr>
                <w:sz w:val="21"/>
                <w:szCs w:val="21"/>
              </w:rPr>
            </w:pPr>
            <w:r>
              <w:rPr>
                <w:rFonts w:hint="eastAsia"/>
                <w:sz w:val="21"/>
                <w:szCs w:val="21"/>
              </w:rPr>
              <w:t>70</w:t>
            </w:r>
          </w:p>
        </w:tc>
        <w:tc>
          <w:tcPr>
            <w:tcW w:w="717" w:type="dxa"/>
            <w:vAlign w:val="center"/>
          </w:tcPr>
          <w:p>
            <w:pPr>
              <w:spacing w:line="240" w:lineRule="auto"/>
              <w:ind w:firstLine="0" w:firstLineChars="0"/>
              <w:jc w:val="center"/>
              <w:rPr>
                <w:sz w:val="21"/>
                <w:szCs w:val="21"/>
              </w:rPr>
            </w:pPr>
            <w:r>
              <w:rPr>
                <w:rFonts w:hint="eastAsia"/>
                <w:sz w:val="21"/>
                <w:szCs w:val="21"/>
              </w:rPr>
              <w:t>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7" w:hRule="atLeast"/>
          <w:jc w:val="center"/>
        </w:trPr>
        <w:tc>
          <w:tcPr>
            <w:tcW w:w="2274" w:type="dxa"/>
            <w:vAlign w:val="center"/>
          </w:tcPr>
          <w:p>
            <w:pPr>
              <w:spacing w:line="240" w:lineRule="auto"/>
              <w:ind w:firstLine="0" w:firstLineChars="0"/>
              <w:jc w:val="center"/>
              <w:rPr>
                <w:color w:val="000000"/>
                <w:sz w:val="21"/>
                <w:szCs w:val="21"/>
              </w:rPr>
            </w:pPr>
            <w:r>
              <w:rPr>
                <w:rFonts w:hint="eastAsia"/>
                <w:color w:val="000000"/>
                <w:sz w:val="21"/>
                <w:szCs w:val="21"/>
              </w:rPr>
              <w:t>厂界南面外1m 处N3</w:t>
            </w:r>
          </w:p>
        </w:tc>
        <w:tc>
          <w:tcPr>
            <w:tcW w:w="916" w:type="dxa"/>
            <w:vAlign w:val="center"/>
          </w:tcPr>
          <w:p>
            <w:pPr>
              <w:spacing w:line="240" w:lineRule="auto"/>
              <w:ind w:firstLine="0" w:firstLineChars="0"/>
              <w:jc w:val="center"/>
              <w:rPr>
                <w:sz w:val="21"/>
                <w:szCs w:val="21"/>
              </w:rPr>
            </w:pPr>
            <w:r>
              <w:rPr>
                <w:rFonts w:hint="eastAsia"/>
                <w:sz w:val="21"/>
                <w:szCs w:val="21"/>
              </w:rPr>
              <w:t>56</w:t>
            </w:r>
          </w:p>
        </w:tc>
        <w:tc>
          <w:tcPr>
            <w:tcW w:w="895" w:type="dxa"/>
            <w:vAlign w:val="center"/>
          </w:tcPr>
          <w:p>
            <w:pPr>
              <w:spacing w:line="240" w:lineRule="auto"/>
              <w:ind w:firstLine="0" w:firstLineChars="0"/>
              <w:jc w:val="center"/>
              <w:rPr>
                <w:sz w:val="21"/>
                <w:szCs w:val="21"/>
              </w:rPr>
            </w:pPr>
            <w:r>
              <w:rPr>
                <w:rFonts w:hint="eastAsia"/>
                <w:sz w:val="21"/>
                <w:szCs w:val="21"/>
              </w:rPr>
              <w:t>45</w:t>
            </w:r>
          </w:p>
        </w:tc>
        <w:tc>
          <w:tcPr>
            <w:tcW w:w="917" w:type="dxa"/>
            <w:vAlign w:val="center"/>
          </w:tcPr>
          <w:p>
            <w:pPr>
              <w:spacing w:line="240" w:lineRule="auto"/>
              <w:ind w:firstLine="0" w:firstLineChars="0"/>
              <w:jc w:val="center"/>
              <w:rPr>
                <w:sz w:val="21"/>
                <w:szCs w:val="21"/>
              </w:rPr>
            </w:pPr>
            <w:r>
              <w:rPr>
                <w:rFonts w:hint="eastAsia"/>
                <w:sz w:val="21"/>
                <w:szCs w:val="21"/>
              </w:rPr>
              <w:t>56</w:t>
            </w:r>
          </w:p>
        </w:tc>
        <w:tc>
          <w:tcPr>
            <w:tcW w:w="895" w:type="dxa"/>
            <w:vAlign w:val="center"/>
          </w:tcPr>
          <w:p>
            <w:pPr>
              <w:spacing w:line="240" w:lineRule="auto"/>
              <w:ind w:firstLine="0" w:firstLineChars="0"/>
              <w:jc w:val="center"/>
              <w:rPr>
                <w:sz w:val="21"/>
                <w:szCs w:val="21"/>
              </w:rPr>
            </w:pPr>
            <w:r>
              <w:rPr>
                <w:rFonts w:hint="eastAsia"/>
                <w:sz w:val="21"/>
                <w:szCs w:val="21"/>
              </w:rPr>
              <w:t>47</w:t>
            </w:r>
          </w:p>
        </w:tc>
        <w:tc>
          <w:tcPr>
            <w:tcW w:w="717" w:type="dxa"/>
            <w:vAlign w:val="center"/>
          </w:tcPr>
          <w:p>
            <w:pPr>
              <w:spacing w:line="240" w:lineRule="auto"/>
              <w:ind w:firstLine="0" w:firstLineChars="0"/>
              <w:jc w:val="center"/>
              <w:rPr>
                <w:sz w:val="21"/>
                <w:szCs w:val="21"/>
              </w:rPr>
            </w:pPr>
            <w:r>
              <w:rPr>
                <w:rFonts w:hint="eastAsia"/>
                <w:sz w:val="21"/>
                <w:szCs w:val="21"/>
              </w:rPr>
              <w:t>60</w:t>
            </w:r>
          </w:p>
        </w:tc>
        <w:tc>
          <w:tcPr>
            <w:tcW w:w="717" w:type="dxa"/>
            <w:vAlign w:val="center"/>
          </w:tcPr>
          <w:p>
            <w:pPr>
              <w:spacing w:line="240" w:lineRule="auto"/>
              <w:ind w:firstLine="0" w:firstLineChars="0"/>
              <w:jc w:val="center"/>
              <w:rPr>
                <w:sz w:val="21"/>
                <w:szCs w:val="21"/>
              </w:rPr>
            </w:pPr>
            <w:r>
              <w:rPr>
                <w:rFonts w:hint="eastAsia"/>
                <w:sz w:val="21"/>
                <w:szCs w:val="21"/>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2274" w:type="dxa"/>
            <w:vAlign w:val="center"/>
          </w:tcPr>
          <w:p>
            <w:pPr>
              <w:spacing w:line="240" w:lineRule="auto"/>
              <w:ind w:firstLine="0" w:firstLineChars="0"/>
              <w:jc w:val="center"/>
              <w:rPr>
                <w:sz w:val="21"/>
                <w:szCs w:val="21"/>
              </w:rPr>
            </w:pPr>
            <w:r>
              <w:rPr>
                <w:rFonts w:hint="eastAsia"/>
                <w:color w:val="000000"/>
                <w:sz w:val="21"/>
                <w:szCs w:val="21"/>
              </w:rPr>
              <w:t>厂界西面外1m 处N4</w:t>
            </w:r>
          </w:p>
        </w:tc>
        <w:tc>
          <w:tcPr>
            <w:tcW w:w="916" w:type="dxa"/>
            <w:vAlign w:val="center"/>
          </w:tcPr>
          <w:p>
            <w:pPr>
              <w:spacing w:line="240" w:lineRule="auto"/>
              <w:ind w:firstLine="0" w:firstLineChars="0"/>
              <w:jc w:val="center"/>
              <w:rPr>
                <w:sz w:val="21"/>
                <w:szCs w:val="21"/>
              </w:rPr>
            </w:pPr>
            <w:r>
              <w:rPr>
                <w:rFonts w:hint="eastAsia"/>
                <w:sz w:val="21"/>
                <w:szCs w:val="21"/>
              </w:rPr>
              <w:t>55</w:t>
            </w:r>
          </w:p>
        </w:tc>
        <w:tc>
          <w:tcPr>
            <w:tcW w:w="895" w:type="dxa"/>
            <w:vAlign w:val="center"/>
          </w:tcPr>
          <w:p>
            <w:pPr>
              <w:spacing w:line="240" w:lineRule="auto"/>
              <w:ind w:firstLine="0" w:firstLineChars="0"/>
              <w:jc w:val="center"/>
              <w:rPr>
                <w:sz w:val="21"/>
                <w:szCs w:val="21"/>
              </w:rPr>
            </w:pPr>
            <w:r>
              <w:rPr>
                <w:rFonts w:hint="eastAsia"/>
                <w:sz w:val="21"/>
                <w:szCs w:val="21"/>
              </w:rPr>
              <w:t>47</w:t>
            </w:r>
          </w:p>
        </w:tc>
        <w:tc>
          <w:tcPr>
            <w:tcW w:w="917" w:type="dxa"/>
            <w:vAlign w:val="center"/>
          </w:tcPr>
          <w:p>
            <w:pPr>
              <w:spacing w:line="240" w:lineRule="auto"/>
              <w:ind w:firstLine="0" w:firstLineChars="0"/>
              <w:jc w:val="center"/>
              <w:rPr>
                <w:sz w:val="21"/>
                <w:szCs w:val="21"/>
              </w:rPr>
            </w:pPr>
            <w:r>
              <w:rPr>
                <w:rFonts w:hint="eastAsia"/>
                <w:sz w:val="21"/>
                <w:szCs w:val="21"/>
              </w:rPr>
              <w:t>58</w:t>
            </w:r>
          </w:p>
        </w:tc>
        <w:tc>
          <w:tcPr>
            <w:tcW w:w="895" w:type="dxa"/>
            <w:vAlign w:val="center"/>
          </w:tcPr>
          <w:p>
            <w:pPr>
              <w:spacing w:line="240" w:lineRule="auto"/>
              <w:ind w:firstLine="0" w:firstLineChars="0"/>
              <w:jc w:val="center"/>
              <w:rPr>
                <w:sz w:val="21"/>
                <w:szCs w:val="21"/>
              </w:rPr>
            </w:pPr>
            <w:r>
              <w:rPr>
                <w:rFonts w:hint="eastAsia"/>
                <w:sz w:val="21"/>
                <w:szCs w:val="21"/>
              </w:rPr>
              <w:t>46</w:t>
            </w:r>
          </w:p>
        </w:tc>
        <w:tc>
          <w:tcPr>
            <w:tcW w:w="717" w:type="dxa"/>
            <w:vAlign w:val="center"/>
          </w:tcPr>
          <w:p>
            <w:pPr>
              <w:spacing w:line="240" w:lineRule="auto"/>
              <w:ind w:firstLine="0" w:firstLineChars="0"/>
              <w:jc w:val="center"/>
              <w:rPr>
                <w:sz w:val="21"/>
                <w:szCs w:val="21"/>
              </w:rPr>
            </w:pPr>
            <w:r>
              <w:rPr>
                <w:rFonts w:hint="eastAsia"/>
                <w:sz w:val="21"/>
                <w:szCs w:val="21"/>
              </w:rPr>
              <w:t>60</w:t>
            </w:r>
          </w:p>
        </w:tc>
        <w:tc>
          <w:tcPr>
            <w:tcW w:w="717" w:type="dxa"/>
            <w:vAlign w:val="center"/>
          </w:tcPr>
          <w:p>
            <w:pPr>
              <w:spacing w:line="240" w:lineRule="auto"/>
              <w:ind w:firstLine="0" w:firstLineChars="0"/>
              <w:jc w:val="center"/>
              <w:rPr>
                <w:sz w:val="21"/>
                <w:szCs w:val="21"/>
              </w:rPr>
            </w:pPr>
            <w:r>
              <w:rPr>
                <w:rFonts w:hint="eastAsia"/>
                <w:sz w:val="21"/>
                <w:szCs w:val="21"/>
              </w:rPr>
              <w:t>50</w:t>
            </w:r>
          </w:p>
        </w:tc>
      </w:tr>
    </w:tbl>
    <w:p>
      <w:pPr>
        <w:pStyle w:val="4"/>
      </w:pPr>
      <w:bookmarkStart w:id="97" w:name="_Toc72396105"/>
      <w:r>
        <w:rPr>
          <w:rFonts w:hint="eastAsia"/>
        </w:rPr>
        <w:t>8.3.2噪声检测结果分析</w:t>
      </w:r>
      <w:bookmarkEnd w:id="97"/>
    </w:p>
    <w:p>
      <w:pPr>
        <w:adjustRightInd w:val="0"/>
        <w:spacing w:line="500" w:lineRule="exact"/>
        <w:ind w:firstLine="480"/>
        <w:rPr>
          <w:rFonts w:cs="Times New Roman"/>
        </w:rPr>
      </w:pPr>
      <w:r>
        <w:rPr>
          <w:rFonts w:hint="eastAsia"/>
          <w:szCs w:val="24"/>
        </w:rPr>
        <w:t>由表8.3-1可知，</w:t>
      </w:r>
      <w:r>
        <w:rPr>
          <w:rFonts w:hint="eastAsia" w:cs="Times New Roman"/>
          <w:bCs/>
          <w:szCs w:val="28"/>
        </w:rPr>
        <w:t>项目东面厂界噪声符合</w:t>
      </w:r>
      <w:r>
        <w:rPr>
          <w:rFonts w:cs="Times New Roman"/>
        </w:rPr>
        <w:t>《工业企业厂界环境噪声排放标准》(GB12348-2008)</w:t>
      </w:r>
      <w:r>
        <w:rPr>
          <w:rFonts w:hint="eastAsia" w:cs="Times New Roman"/>
        </w:rPr>
        <w:t>4</w:t>
      </w:r>
      <w:r>
        <w:rPr>
          <w:rFonts w:cs="Times New Roman"/>
        </w:rPr>
        <w:t>类标准</w:t>
      </w:r>
      <w:r>
        <w:rPr>
          <w:rFonts w:hint="eastAsia" w:cs="Times New Roman"/>
        </w:rPr>
        <w:t>，南面、西面、北面</w:t>
      </w:r>
      <w:r>
        <w:rPr>
          <w:rFonts w:hint="eastAsia" w:cs="Times New Roman"/>
          <w:bCs/>
          <w:szCs w:val="28"/>
        </w:rPr>
        <w:t>厂界噪声符合</w:t>
      </w:r>
      <w:r>
        <w:rPr>
          <w:rFonts w:cs="Times New Roman"/>
        </w:rPr>
        <w:t>《工业企业厂界环境噪声排放标准》(GB12348-2008)</w:t>
      </w:r>
      <w:r>
        <w:rPr>
          <w:rFonts w:hint="eastAsia" w:cs="Times New Roman"/>
        </w:rPr>
        <w:t>2</w:t>
      </w:r>
      <w:r>
        <w:rPr>
          <w:rFonts w:cs="Times New Roman"/>
        </w:rPr>
        <w:t>类标准</w:t>
      </w:r>
      <w:r>
        <w:rPr>
          <w:rFonts w:hint="eastAsia"/>
          <w:szCs w:val="21"/>
        </w:rPr>
        <w:t>。</w:t>
      </w:r>
    </w:p>
    <w:p>
      <w:pPr>
        <w:pStyle w:val="2"/>
        <w:ind w:firstLine="200"/>
        <w:sectPr>
          <w:pgSz w:w="11906" w:h="16838"/>
          <w:pgMar w:top="1440" w:right="1800" w:bottom="1440" w:left="1800" w:header="851" w:footer="850" w:gutter="0"/>
          <w:cols w:space="425" w:num="1"/>
          <w:docGrid w:type="lines" w:linePitch="326" w:charSpace="0"/>
        </w:sectPr>
      </w:pPr>
    </w:p>
    <w:p>
      <w:pPr>
        <w:pStyle w:val="2"/>
        <w:rPr>
          <w:szCs w:val="21"/>
        </w:rPr>
      </w:pPr>
      <w:bookmarkStart w:id="98" w:name="_Toc531082187"/>
      <w:bookmarkStart w:id="99" w:name="_Toc72396106"/>
      <w:r>
        <w:rPr>
          <w:rFonts w:hint="eastAsia"/>
        </w:rPr>
        <w:t>9</w:t>
      </w:r>
      <w:r>
        <w:t>验收结论</w:t>
      </w:r>
      <w:bookmarkEnd w:id="98"/>
      <w:bookmarkEnd w:id="99"/>
    </w:p>
    <w:p>
      <w:pPr>
        <w:pStyle w:val="3"/>
      </w:pPr>
      <w:bookmarkStart w:id="100" w:name="_Toc531082188"/>
      <w:bookmarkStart w:id="101" w:name="_Toc72396107"/>
      <w:r>
        <w:rPr>
          <w:rFonts w:hint="eastAsia"/>
        </w:rPr>
        <w:t>9</w:t>
      </w:r>
      <w:r>
        <w:t>.1</w:t>
      </w:r>
      <w:r>
        <w:rPr>
          <w:rFonts w:hint="eastAsia"/>
        </w:rPr>
        <w:t>项目基本情况</w:t>
      </w:r>
      <w:bookmarkEnd w:id="100"/>
      <w:bookmarkEnd w:id="101"/>
    </w:p>
    <w:p>
      <w:pPr>
        <w:ind w:firstLine="480"/>
        <w:rPr>
          <w:rFonts w:cs="Times New Roman"/>
          <w:szCs w:val="24"/>
        </w:rPr>
      </w:pPr>
      <w:r>
        <w:rPr>
          <w:rFonts w:hint="eastAsia" w:cs="Times New Roman"/>
          <w:szCs w:val="24"/>
        </w:rPr>
        <w:t>广东玉塑管道有限公司</w:t>
      </w:r>
      <w:r>
        <w:rPr>
          <w:rFonts w:hint="eastAsia" w:cs="Times New Roman" w:hAnsiTheme="minorEastAsia"/>
          <w:szCs w:val="24"/>
        </w:rPr>
        <w:t>投资300万元建设“</w:t>
      </w:r>
      <w:r>
        <w:rPr>
          <w:rFonts w:hint="eastAsia" w:cs="Times New Roman"/>
          <w:szCs w:val="24"/>
        </w:rPr>
        <w:t>广东玉塑管道有限公司年产5000吨PVC管材建设项目</w:t>
      </w:r>
      <w:r>
        <w:rPr>
          <w:rFonts w:hint="eastAsia" w:cs="Times New Roman" w:hAnsiTheme="minorEastAsia"/>
          <w:szCs w:val="24"/>
        </w:rPr>
        <w:t>”</w:t>
      </w:r>
      <w:r>
        <w:rPr>
          <w:rFonts w:hint="eastAsia" w:cs="Times New Roman"/>
          <w:szCs w:val="24"/>
        </w:rPr>
        <w:t>，</w:t>
      </w:r>
      <w:r>
        <w:rPr>
          <w:rFonts w:cs="Times New Roman" w:hAnsiTheme="minorEastAsia"/>
          <w:szCs w:val="24"/>
        </w:rPr>
        <w:t>本项目位于</w:t>
      </w:r>
      <w:r>
        <w:rPr>
          <w:rFonts w:hint="eastAsia" w:cs="Times New Roman"/>
          <w:szCs w:val="24"/>
        </w:rPr>
        <w:t>梅州市梅县区白渡镇沙坪村三丫塘A栋1号</w:t>
      </w:r>
      <w:r>
        <w:rPr>
          <w:rFonts w:cs="Times New Roman" w:hAnsiTheme="minorEastAsia"/>
          <w:szCs w:val="24"/>
        </w:rPr>
        <w:t>（坐标：</w:t>
      </w:r>
      <w:r>
        <w:rPr>
          <w:rFonts w:hint="eastAsia" w:cs="Times New Roman"/>
          <w:szCs w:val="24"/>
        </w:rPr>
        <w:t>北纬N 24°29'26.26"东经E116°11'17.72"</w:t>
      </w:r>
      <w:r>
        <w:rPr>
          <w:rFonts w:cs="Times New Roman" w:hAnsiTheme="minorEastAsia"/>
          <w:szCs w:val="24"/>
        </w:rPr>
        <w:t>），</w:t>
      </w:r>
      <w:r>
        <w:rPr>
          <w:rFonts w:hint="eastAsia" w:cs="Times New Roman" w:hAnsiTheme="minorEastAsia"/>
          <w:szCs w:val="24"/>
        </w:rPr>
        <w:t>占地面积3000</w:t>
      </w:r>
      <w:r>
        <w:rPr>
          <w:rFonts w:hint="eastAsia" w:cs="Times New Roman"/>
          <w:szCs w:val="24"/>
        </w:rPr>
        <w:t>m</w:t>
      </w:r>
      <w:r>
        <w:rPr>
          <w:rFonts w:hint="eastAsia" w:cs="Times New Roman"/>
          <w:szCs w:val="24"/>
          <w:vertAlign w:val="superscript"/>
        </w:rPr>
        <w:t>2</w:t>
      </w:r>
      <w:r>
        <w:rPr>
          <w:rFonts w:cs="Times New Roman" w:hAnsiTheme="minorEastAsia"/>
          <w:szCs w:val="24"/>
        </w:rPr>
        <w:t>，</w:t>
      </w:r>
      <w:r>
        <w:rPr>
          <w:rFonts w:hint="eastAsia" w:cs="Times New Roman" w:hAnsiTheme="minorEastAsia"/>
          <w:szCs w:val="24"/>
        </w:rPr>
        <w:t>建筑面积3000</w:t>
      </w:r>
      <w:r>
        <w:rPr>
          <w:rFonts w:hint="eastAsia" w:cs="Times New Roman"/>
          <w:szCs w:val="24"/>
        </w:rPr>
        <w:t>m</w:t>
      </w:r>
      <w:r>
        <w:rPr>
          <w:rFonts w:cs="Times New Roman"/>
          <w:szCs w:val="24"/>
          <w:vertAlign w:val="superscript"/>
        </w:rPr>
        <w:t>2</w:t>
      </w:r>
      <w:r>
        <w:rPr>
          <w:rFonts w:cs="Times New Roman" w:hAnsiTheme="minorEastAsia"/>
          <w:szCs w:val="24"/>
        </w:rPr>
        <w:t>，</w:t>
      </w:r>
      <w:r>
        <w:rPr>
          <w:rFonts w:hint="eastAsia" w:cs="Times New Roman" w:hAnsiTheme="minorEastAsia"/>
          <w:szCs w:val="24"/>
        </w:rPr>
        <w:t>建筑</w:t>
      </w:r>
      <w:r>
        <w:rPr>
          <w:rFonts w:cs="Times New Roman" w:hAnsiTheme="minorEastAsia"/>
          <w:szCs w:val="24"/>
        </w:rPr>
        <w:t>主要</w:t>
      </w:r>
      <w:r>
        <w:rPr>
          <w:rFonts w:hint="eastAsia" w:cs="Times New Roman" w:hAnsiTheme="minorEastAsia"/>
          <w:szCs w:val="24"/>
        </w:rPr>
        <w:t>分为四个区域，分别</w:t>
      </w:r>
      <w:r>
        <w:rPr>
          <w:rFonts w:cs="Times New Roman" w:hAnsiTheme="minorEastAsia"/>
          <w:szCs w:val="24"/>
        </w:rPr>
        <w:t>包括：</w:t>
      </w:r>
      <w:r>
        <w:rPr>
          <w:rFonts w:hint="eastAsia" w:cs="Times New Roman" w:hAnsiTheme="minorEastAsia"/>
          <w:szCs w:val="24"/>
        </w:rPr>
        <w:t>原料区、生产区、产品区、配件区以及办公区。</w:t>
      </w:r>
      <w:r>
        <w:rPr>
          <w:rFonts w:hint="eastAsia" w:cs="Times New Roman" w:hAnsiTheme="minorEastAsia"/>
          <w:bCs/>
          <w:szCs w:val="24"/>
        </w:rPr>
        <w:t>招员工20人</w:t>
      </w:r>
      <w:r>
        <w:rPr>
          <w:rFonts w:cs="Times New Roman" w:hAnsiTheme="minorEastAsia"/>
          <w:bCs/>
          <w:szCs w:val="24"/>
        </w:rPr>
        <w:t>，</w:t>
      </w:r>
      <w:r>
        <w:rPr>
          <w:rFonts w:hint="eastAsia" w:cs="Times New Roman" w:hAnsiTheme="minorEastAsia"/>
          <w:bCs/>
          <w:szCs w:val="24"/>
        </w:rPr>
        <w:t>项目建成后</w:t>
      </w:r>
      <w:r>
        <w:rPr>
          <w:rFonts w:hint="eastAsia" w:cs="Times New Roman"/>
          <w:szCs w:val="24"/>
        </w:rPr>
        <w:t>年产5000吨PVC管材</w:t>
      </w:r>
      <w:r>
        <w:rPr>
          <w:rFonts w:cs="Times New Roman" w:hAnsiTheme="minorEastAsia"/>
          <w:bCs/>
          <w:szCs w:val="24"/>
        </w:rPr>
        <w:t>。</w:t>
      </w:r>
    </w:p>
    <w:p>
      <w:pPr>
        <w:ind w:firstLine="480"/>
        <w:rPr>
          <w:rFonts w:hAnsi="宋体" w:cs="Times New Roman"/>
          <w:bCs/>
        </w:rPr>
      </w:pPr>
      <w:r>
        <w:rPr>
          <w:rFonts w:hint="eastAsia"/>
          <w:color w:val="000000"/>
          <w:szCs w:val="24"/>
        </w:rPr>
        <w:t>广东玉塑管道有限公司</w:t>
      </w:r>
      <w:r>
        <w:rPr>
          <w:rFonts w:hint="eastAsia"/>
        </w:rPr>
        <w:t>于2021年4月16日至17日委托粤珠环保科技（广东）有限公司进行了竣工验收检测并出具检测报告</w:t>
      </w:r>
      <w:r>
        <w:rPr>
          <w:rFonts w:hint="eastAsia" w:cs="Times New Roman"/>
          <w:szCs w:val="24"/>
        </w:rPr>
        <w:t>。</w:t>
      </w:r>
      <w:r>
        <w:rPr>
          <w:rFonts w:hint="eastAsia"/>
        </w:rPr>
        <w:t>验收检测期间，公司生产正常，设施运行稳定，生产负荷达到75%以上，满足验收检测技术规范要求。</w:t>
      </w:r>
    </w:p>
    <w:p>
      <w:pPr>
        <w:pStyle w:val="4"/>
        <w:rPr>
          <w:szCs w:val="21"/>
        </w:rPr>
      </w:pPr>
      <w:bookmarkStart w:id="102" w:name="_Toc531082189"/>
      <w:bookmarkStart w:id="103" w:name="_Toc72396108"/>
      <w:r>
        <w:rPr>
          <w:rFonts w:hint="eastAsia"/>
        </w:rPr>
        <w:t>9</w:t>
      </w:r>
      <w:r>
        <w:t>.1.1</w:t>
      </w:r>
      <w:r>
        <w:rPr>
          <w:rFonts w:hint="eastAsia"/>
        </w:rPr>
        <w:t>废气</w:t>
      </w:r>
      <w:bookmarkEnd w:id="102"/>
      <w:r>
        <w:rPr>
          <w:rFonts w:hint="eastAsia"/>
        </w:rPr>
        <w:t>验收结论</w:t>
      </w:r>
      <w:bookmarkEnd w:id="103"/>
    </w:p>
    <w:p>
      <w:pPr>
        <w:ind w:firstLine="480"/>
        <w:rPr>
          <w:szCs w:val="24"/>
        </w:rPr>
      </w:pPr>
      <w:r>
        <w:rPr>
          <w:rFonts w:hint="eastAsia"/>
        </w:rPr>
        <w:t>本项</w:t>
      </w:r>
      <w:r>
        <w:rPr>
          <w:rFonts w:hint="eastAsia"/>
          <w:kern w:val="0"/>
          <w:szCs w:val="24"/>
        </w:rPr>
        <w:t>目有</w:t>
      </w:r>
      <w:r>
        <w:rPr>
          <w:rFonts w:hint="eastAsia"/>
          <w:szCs w:val="24"/>
        </w:rPr>
        <w:t>组织废气总</w:t>
      </w:r>
      <w:r>
        <w:rPr>
          <w:szCs w:val="24"/>
        </w:rPr>
        <w:t>VOCs</w:t>
      </w:r>
      <w:r>
        <w:rPr>
          <w:rFonts w:hint="eastAsia"/>
          <w:szCs w:val="24"/>
        </w:rPr>
        <w:t>污染因子排放浓度达到</w:t>
      </w:r>
      <w:r>
        <w:rPr>
          <w:szCs w:val="24"/>
        </w:rPr>
        <w:t>《家具制造行业挥发性有机化合物排放标准》（DB44/814-2010）表1中VOCs的第</w:t>
      </w:r>
      <w:r>
        <w:rPr>
          <w:rFonts w:hint="eastAsia"/>
          <w:szCs w:val="24"/>
        </w:rPr>
        <w:t>Ⅱ</w:t>
      </w:r>
      <w:r>
        <w:rPr>
          <w:szCs w:val="24"/>
        </w:rPr>
        <w:t>时段排放监控限值</w:t>
      </w:r>
      <w:r>
        <w:rPr>
          <w:rFonts w:hint="eastAsia"/>
          <w:szCs w:val="24"/>
        </w:rPr>
        <w:t>；厂界无组织废气颗粒物达到广东省地方标准《大气污染物排放标准》（DB 44/27-2001）表2第二时段无组织排放监控浓度限值，</w:t>
      </w:r>
      <w:r>
        <w:rPr>
          <w:szCs w:val="24"/>
        </w:rPr>
        <w:t>VOCs污染因子排放限值</w:t>
      </w:r>
      <w:r>
        <w:rPr>
          <w:rFonts w:hint="eastAsia"/>
          <w:szCs w:val="24"/>
        </w:rPr>
        <w:t>达到</w:t>
      </w:r>
      <w:r>
        <w:rPr>
          <w:szCs w:val="24"/>
        </w:rPr>
        <w:t>广东省地方标准《家具制造行业挥发性有机化合物排放标准》（DB44/814-2010）表1</w:t>
      </w:r>
      <w:r>
        <w:rPr>
          <w:rFonts w:hint="eastAsia"/>
          <w:szCs w:val="24"/>
        </w:rPr>
        <w:t>无组织</w:t>
      </w:r>
      <w:r>
        <w:rPr>
          <w:szCs w:val="24"/>
        </w:rPr>
        <w:t>排放监控限值。</w:t>
      </w:r>
    </w:p>
    <w:p>
      <w:pPr>
        <w:pStyle w:val="4"/>
        <w:rPr>
          <w:szCs w:val="21"/>
        </w:rPr>
      </w:pPr>
      <w:bookmarkStart w:id="104" w:name="_Toc531082190"/>
      <w:bookmarkStart w:id="105" w:name="_Toc72396109"/>
      <w:r>
        <w:rPr>
          <w:rFonts w:hint="eastAsia"/>
        </w:rPr>
        <w:t>9</w:t>
      </w:r>
      <w:r>
        <w:t>.1.2</w:t>
      </w:r>
      <w:r>
        <w:rPr>
          <w:rFonts w:hint="eastAsia"/>
        </w:rPr>
        <w:t>废水</w:t>
      </w:r>
      <w:bookmarkEnd w:id="104"/>
      <w:r>
        <w:rPr>
          <w:rFonts w:hint="eastAsia"/>
        </w:rPr>
        <w:t>验收结论</w:t>
      </w:r>
      <w:bookmarkEnd w:id="105"/>
    </w:p>
    <w:p>
      <w:pPr>
        <w:ind w:firstLine="480"/>
      </w:pPr>
      <w:bookmarkStart w:id="106" w:name="_Toc531082191"/>
      <w:r>
        <w:rPr>
          <w:rFonts w:hAnsi="宋体" w:eastAsia="宋体" w:cs="Times New Roman"/>
          <w:szCs w:val="28"/>
        </w:rPr>
        <w:t>本项目</w:t>
      </w:r>
      <w:r>
        <w:rPr>
          <w:rFonts w:hint="eastAsia" w:hAnsi="宋体" w:eastAsia="宋体" w:cs="Times New Roman"/>
          <w:szCs w:val="28"/>
        </w:rPr>
        <w:t>产生的废水主要为生活污水。</w:t>
      </w:r>
      <w:r>
        <w:rPr>
          <w:rFonts w:hAnsi="宋体" w:eastAsia="宋体" w:cs="Times New Roman"/>
          <w:szCs w:val="28"/>
        </w:rPr>
        <w:t>生活污水经三级化粪池预处理后</w:t>
      </w:r>
      <w:r>
        <w:rPr>
          <w:rFonts w:hint="eastAsia" w:hAnsi="宋体" w:eastAsia="宋体" w:cs="Times New Roman"/>
          <w:szCs w:val="28"/>
        </w:rPr>
        <w:t>，定期由吸污车清运</w:t>
      </w:r>
      <w:r>
        <w:rPr>
          <w:rFonts w:eastAsia="宋体" w:cs="Times New Roman"/>
          <w:szCs w:val="24"/>
        </w:rPr>
        <w:t>，</w:t>
      </w:r>
      <w:r>
        <w:rPr>
          <w:rFonts w:hint="eastAsia" w:eastAsia="宋体" w:cs="Times New Roman"/>
          <w:szCs w:val="24"/>
        </w:rPr>
        <w:t>用于果树园林灌溉</w:t>
      </w:r>
      <w:r>
        <w:rPr>
          <w:rFonts w:hAnsi="宋体" w:eastAsia="宋体" w:cs="Times New Roman"/>
          <w:szCs w:val="28"/>
        </w:rPr>
        <w:t>。</w:t>
      </w:r>
      <w:r>
        <w:rPr>
          <w:rFonts w:hint="eastAsia" w:hAnsi="宋体" w:eastAsia="宋体" w:cs="Times New Roman"/>
        </w:rPr>
        <w:t>由于项目使用地埋式三级化粪池，无标准采样口，本次验收不对生活污水进行采样检测。</w:t>
      </w:r>
    </w:p>
    <w:p>
      <w:pPr>
        <w:pStyle w:val="4"/>
      </w:pPr>
      <w:bookmarkStart w:id="107" w:name="_Toc72396110"/>
      <w:r>
        <w:rPr>
          <w:rFonts w:hint="eastAsia"/>
        </w:rPr>
        <w:t>9</w:t>
      </w:r>
      <w:r>
        <w:t>.1.</w:t>
      </w:r>
      <w:r>
        <w:rPr>
          <w:rFonts w:hint="eastAsia"/>
        </w:rPr>
        <w:t>3噪声</w:t>
      </w:r>
      <w:bookmarkEnd w:id="106"/>
      <w:r>
        <w:rPr>
          <w:rFonts w:hint="eastAsia"/>
        </w:rPr>
        <w:t>验收结论</w:t>
      </w:r>
      <w:bookmarkEnd w:id="107"/>
    </w:p>
    <w:p>
      <w:pPr>
        <w:adjustRightInd w:val="0"/>
        <w:spacing w:line="500" w:lineRule="exact"/>
        <w:ind w:firstLine="480"/>
        <w:rPr>
          <w:rFonts w:cs="Times New Roman"/>
        </w:rPr>
      </w:pPr>
      <w:r>
        <w:rPr>
          <w:rFonts w:hint="eastAsia"/>
        </w:rPr>
        <w:t>验收检测期间，</w:t>
      </w:r>
      <w:r>
        <w:rPr>
          <w:rFonts w:hint="eastAsia" w:cs="Times New Roman"/>
          <w:bCs/>
          <w:szCs w:val="28"/>
        </w:rPr>
        <w:t>项目东面厂界噪声符合</w:t>
      </w:r>
      <w:r>
        <w:rPr>
          <w:rFonts w:cs="Times New Roman"/>
        </w:rPr>
        <w:t>《工业企业厂界环境噪声排放标准》(GB12348-2008)</w:t>
      </w:r>
      <w:r>
        <w:rPr>
          <w:rFonts w:hint="eastAsia" w:cs="Times New Roman"/>
        </w:rPr>
        <w:t>4</w:t>
      </w:r>
      <w:r>
        <w:rPr>
          <w:rFonts w:cs="Times New Roman"/>
        </w:rPr>
        <w:t>类标准</w:t>
      </w:r>
      <w:r>
        <w:rPr>
          <w:rFonts w:hint="eastAsia" w:cs="Times New Roman"/>
        </w:rPr>
        <w:t>，南面、西面、北面</w:t>
      </w:r>
      <w:r>
        <w:rPr>
          <w:rFonts w:hint="eastAsia" w:cs="Times New Roman"/>
          <w:bCs/>
          <w:szCs w:val="28"/>
        </w:rPr>
        <w:t>厂界噪声符合</w:t>
      </w:r>
      <w:r>
        <w:rPr>
          <w:rFonts w:cs="Times New Roman"/>
        </w:rPr>
        <w:t>《工业企业厂界环境噪声排放标准》(GB12348-2008)</w:t>
      </w:r>
      <w:r>
        <w:rPr>
          <w:rFonts w:hint="eastAsia" w:cs="Times New Roman"/>
        </w:rPr>
        <w:t>2</w:t>
      </w:r>
      <w:r>
        <w:rPr>
          <w:rFonts w:cs="Times New Roman"/>
        </w:rPr>
        <w:t>类标准</w:t>
      </w:r>
      <w:r>
        <w:rPr>
          <w:rFonts w:hint="eastAsia"/>
          <w:szCs w:val="21"/>
        </w:rPr>
        <w:t>。</w:t>
      </w:r>
    </w:p>
    <w:p>
      <w:pPr>
        <w:ind w:firstLine="480"/>
        <w:rPr>
          <w:rFonts w:hAnsi="宋体"/>
          <w:color w:val="000000"/>
          <w:szCs w:val="24"/>
        </w:rPr>
      </w:pPr>
    </w:p>
    <w:p>
      <w:pPr>
        <w:pStyle w:val="4"/>
      </w:pPr>
      <w:bookmarkStart w:id="108" w:name="_Toc72396111"/>
      <w:r>
        <w:rPr>
          <w:rFonts w:hint="eastAsia"/>
        </w:rPr>
        <w:t>9</w:t>
      </w:r>
      <w:r>
        <w:t>.1.</w:t>
      </w:r>
      <w:r>
        <w:rPr>
          <w:rFonts w:hint="eastAsia"/>
        </w:rPr>
        <w:t>4固废验收结论</w:t>
      </w:r>
      <w:bookmarkEnd w:id="108"/>
    </w:p>
    <w:p>
      <w:pPr>
        <w:ind w:firstLine="480"/>
        <w:rPr>
          <w:rFonts w:hAnsi="宋体" w:eastAsia="宋体" w:cs="Times New Roman"/>
        </w:rPr>
      </w:pPr>
      <w:r>
        <w:rPr>
          <w:rFonts w:hint="eastAsia"/>
        </w:rPr>
        <w:t>项目</w:t>
      </w:r>
      <w:r>
        <w:rPr>
          <w:rFonts w:hint="eastAsia" w:hAnsi="宋体" w:eastAsia="宋体" w:cs="Times New Roman"/>
        </w:rPr>
        <w:t>一般固废符合</w:t>
      </w:r>
      <w:r>
        <w:rPr>
          <w:rFonts w:hAnsi="宋体" w:eastAsia="宋体" w:cs="Times New Roman"/>
        </w:rPr>
        <w:t>《一般工业固体废物贮存、处置场污染控制标准》</w:t>
      </w:r>
      <w:r>
        <w:rPr>
          <w:rFonts w:eastAsia="宋体" w:cs="Times New Roman"/>
        </w:rPr>
        <w:t>(GB18599-20</w:t>
      </w:r>
      <w:r>
        <w:rPr>
          <w:rFonts w:hAnsi="宋体" w:eastAsia="宋体" w:cs="Times New Roman"/>
        </w:rPr>
        <w:t>01) 及其2013年修改单相关要求。</w:t>
      </w:r>
    </w:p>
    <w:p>
      <w:pPr>
        <w:pStyle w:val="3"/>
      </w:pPr>
      <w:bookmarkStart w:id="109" w:name="_Toc72396112"/>
      <w:r>
        <w:rPr>
          <w:rFonts w:hint="eastAsia"/>
        </w:rPr>
        <w:t>9.2 综合结论</w:t>
      </w:r>
      <w:bookmarkEnd w:id="109"/>
    </w:p>
    <w:p>
      <w:pPr>
        <w:ind w:firstLine="480"/>
        <w:rPr>
          <w:rFonts w:hAnsi="宋体" w:eastAsia="宋体" w:cs="Times New Roman"/>
        </w:rPr>
      </w:pPr>
      <w:r>
        <w:rPr>
          <w:rFonts w:hAnsi="宋体" w:eastAsia="宋体" w:cs="Times New Roman"/>
        </w:rPr>
        <w:t>项目建设过程中，执行了环评法和“三同时”制度，环保审查、审批手续完备、试生产报批手续基本齐全，环保设施与主体工程同时设计、同时施工、同时投入使用。项目</w:t>
      </w:r>
      <w:r>
        <w:rPr>
          <w:rFonts w:hint="eastAsia"/>
          <w:color w:val="000000"/>
          <w:szCs w:val="24"/>
        </w:rPr>
        <w:t>总投资300万元，其中环保投资10万元</w:t>
      </w:r>
      <w:r>
        <w:rPr>
          <w:rFonts w:hAnsi="宋体" w:eastAsia="宋体" w:cs="Times New Roman"/>
        </w:rPr>
        <w:t>。</w:t>
      </w:r>
    </w:p>
    <w:p>
      <w:pPr>
        <w:ind w:firstLine="480"/>
        <w:rPr>
          <w:rFonts w:hAnsi="宋体" w:eastAsia="宋体" w:cs="Times New Roman"/>
        </w:rPr>
      </w:pPr>
      <w:r>
        <w:rPr>
          <w:rFonts w:hAnsi="宋体" w:eastAsia="宋体" w:cs="Times New Roman"/>
        </w:rPr>
        <w:t>本项目在设计、施工期及试运行期均采取了有效地污染防治措施，执行环保审批与“三同时”制度，符合环境影响报告表及其批复文件中的要求。“</w:t>
      </w:r>
      <w:r>
        <w:rPr>
          <w:rFonts w:hint="eastAsia"/>
          <w:color w:val="000000"/>
          <w:szCs w:val="24"/>
        </w:rPr>
        <w:t>广东玉塑管道有限公司年产5000吨PVC管材建设项目</w:t>
      </w:r>
      <w:r>
        <w:rPr>
          <w:rFonts w:hAnsi="宋体" w:eastAsia="宋体" w:cs="Times New Roman"/>
        </w:rPr>
        <w:t>”符合竣工环境保护验收要求。</w:t>
      </w:r>
    </w:p>
    <w:p>
      <w:pPr>
        <w:ind w:firstLine="480"/>
        <w:rPr>
          <w:rFonts w:hAnsi="宋体" w:eastAsia="宋体" w:cs="Times New Roman"/>
        </w:rPr>
      </w:pPr>
    </w:p>
    <w:p>
      <w:pPr>
        <w:ind w:firstLine="480"/>
        <w:sectPr>
          <w:pgSz w:w="11906" w:h="16838"/>
          <w:pgMar w:top="1440" w:right="1800" w:bottom="1440" w:left="1800" w:header="851" w:footer="850" w:gutter="0"/>
          <w:cols w:space="425" w:num="1"/>
          <w:docGrid w:type="lines" w:linePitch="326" w:charSpace="0"/>
        </w:sectPr>
      </w:pPr>
    </w:p>
    <w:p>
      <w:pPr>
        <w:ind w:firstLine="562"/>
        <w:jc w:val="center"/>
        <w:rPr>
          <w:rFonts w:eastAsia="黑体"/>
          <w:b/>
          <w:color w:val="000000"/>
          <w:sz w:val="28"/>
          <w:szCs w:val="21"/>
        </w:rPr>
      </w:pPr>
      <w:r>
        <w:rPr>
          <w:rFonts w:eastAsia="黑体"/>
          <w:b/>
          <w:color w:val="000000"/>
          <w:sz w:val="28"/>
          <w:szCs w:val="21"/>
        </w:rPr>
        <w:t>建设项目竣工环境保护</w:t>
      </w:r>
      <w:r>
        <w:rPr>
          <w:rFonts w:hint="eastAsia" w:eastAsia="黑体"/>
          <w:b/>
          <w:color w:val="000000"/>
          <w:sz w:val="28"/>
          <w:szCs w:val="21"/>
        </w:rPr>
        <w:t>“</w:t>
      </w:r>
      <w:r>
        <w:rPr>
          <w:rFonts w:eastAsia="黑体"/>
          <w:b/>
          <w:color w:val="000000"/>
          <w:sz w:val="28"/>
          <w:szCs w:val="21"/>
        </w:rPr>
        <w:t>三同时</w:t>
      </w:r>
      <w:r>
        <w:rPr>
          <w:rFonts w:hint="eastAsia" w:eastAsia="黑体"/>
          <w:b/>
          <w:color w:val="000000"/>
          <w:sz w:val="28"/>
          <w:szCs w:val="21"/>
        </w:rPr>
        <w:t>”</w:t>
      </w:r>
      <w:r>
        <w:rPr>
          <w:rFonts w:eastAsia="黑体"/>
          <w:b/>
          <w:color w:val="000000"/>
          <w:sz w:val="28"/>
          <w:szCs w:val="21"/>
        </w:rPr>
        <w:t>验收登记表</w:t>
      </w:r>
    </w:p>
    <w:p>
      <w:pPr>
        <w:spacing w:line="240" w:lineRule="auto"/>
        <w:ind w:firstLine="422"/>
        <w:rPr>
          <w:sz w:val="21"/>
          <w:szCs w:val="21"/>
        </w:rPr>
      </w:pPr>
      <w:r>
        <w:rPr>
          <w:rFonts w:ascii="宋体" w:hAnsi="宋体" w:eastAsia="宋体"/>
          <w:b/>
          <w:color w:val="000000"/>
          <w:sz w:val="21"/>
          <w:szCs w:val="21"/>
        </w:rPr>
        <w:t>填表单位（盖章）：</w:t>
      </w:r>
      <w:r>
        <w:rPr>
          <w:rFonts w:hint="eastAsia"/>
          <w:sz w:val="21"/>
          <w:szCs w:val="21"/>
        </w:rPr>
        <w:t>广东玉塑管道有限公司</w:t>
      </w:r>
      <w:r>
        <w:rPr>
          <w:rFonts w:hint="eastAsia"/>
        </w:rPr>
        <w:t xml:space="preserve">                                 </w:t>
      </w:r>
      <w:r>
        <w:rPr>
          <w:rFonts w:ascii="宋体" w:hAnsi="宋体" w:eastAsia="宋体"/>
          <w:b/>
          <w:color w:val="000000"/>
          <w:sz w:val="21"/>
          <w:szCs w:val="21"/>
        </w:rPr>
        <w:t>填表人（签字）：</w:t>
      </w:r>
      <w:r>
        <w:rPr>
          <w:rFonts w:hint="eastAsia"/>
          <w:sz w:val="21"/>
          <w:szCs w:val="21"/>
        </w:rPr>
        <w:t>徐瑞刚</w:t>
      </w:r>
      <w:r>
        <w:rPr>
          <w:rFonts w:ascii="宋体" w:hAnsi="宋体" w:eastAsia="宋体"/>
          <w:b/>
          <w:color w:val="000000"/>
          <w:sz w:val="21"/>
          <w:szCs w:val="21"/>
        </w:rPr>
        <w:t xml:space="preserve">                      </w:t>
      </w:r>
      <w:r>
        <w:rPr>
          <w:rFonts w:hint="eastAsia" w:ascii="宋体" w:hAnsi="宋体" w:eastAsia="宋体"/>
          <w:b/>
          <w:color w:val="000000"/>
          <w:sz w:val="21"/>
          <w:szCs w:val="21"/>
        </w:rPr>
        <w:t xml:space="preserve">         </w:t>
      </w:r>
      <w:r>
        <w:rPr>
          <w:rFonts w:ascii="宋体" w:hAnsi="宋体" w:eastAsia="宋体"/>
          <w:b/>
          <w:color w:val="000000"/>
          <w:sz w:val="21"/>
          <w:szCs w:val="21"/>
        </w:rPr>
        <w:t xml:space="preserve">     项目经办人（签字）：</w:t>
      </w:r>
      <w:r>
        <w:rPr>
          <w:rFonts w:hint="eastAsia"/>
          <w:sz w:val="21"/>
          <w:szCs w:val="21"/>
        </w:rPr>
        <w:t>徐瑞刚</w:t>
      </w:r>
    </w:p>
    <w:tbl>
      <w:tblPr>
        <w:tblStyle w:val="25"/>
        <w:tblW w:w="2209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29"/>
        <w:gridCol w:w="1505"/>
        <w:gridCol w:w="954"/>
        <w:gridCol w:w="1134"/>
        <w:gridCol w:w="1886"/>
        <w:gridCol w:w="1500"/>
        <w:gridCol w:w="1352"/>
        <w:gridCol w:w="7"/>
        <w:gridCol w:w="700"/>
        <w:gridCol w:w="805"/>
        <w:gridCol w:w="1556"/>
        <w:gridCol w:w="1117"/>
        <w:gridCol w:w="226"/>
        <w:gridCol w:w="2465"/>
        <w:gridCol w:w="1395"/>
        <w:gridCol w:w="10"/>
        <w:gridCol w:w="1704"/>
        <w:gridCol w:w="663"/>
        <w:gridCol w:w="846"/>
        <w:gridCol w:w="14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 w:hRule="atLeast"/>
          <w:jc w:val="center"/>
        </w:trPr>
        <w:tc>
          <w:tcPr>
            <w:tcW w:w="586" w:type="dxa"/>
            <w:vMerge w:val="restart"/>
            <w:tcMar>
              <w:left w:w="57" w:type="dxa"/>
              <w:right w:w="57" w:type="dxa"/>
            </w:tcMar>
            <w:textDirection w:val="tbRlV"/>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建设项目</w:t>
            </w:r>
          </w:p>
        </w:tc>
        <w:tc>
          <w:tcPr>
            <w:tcW w:w="2688" w:type="dxa"/>
            <w:gridSpan w:val="3"/>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项目名称</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sz w:val="21"/>
                <w:szCs w:val="21"/>
              </w:rPr>
              <w:t>广东玉塑管道有限公司年产5000吨PVC管材建设项目</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项目代码</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2020-441403-29-03-038600</w:t>
            </w:r>
          </w:p>
        </w:tc>
        <w:tc>
          <w:tcPr>
            <w:tcW w:w="139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建设地点</w:t>
            </w:r>
          </w:p>
        </w:tc>
        <w:tc>
          <w:tcPr>
            <w:tcW w:w="4678" w:type="dxa"/>
            <w:gridSpan w:val="5"/>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梅州市梅县区白渡镇沙坪村三丫塘A栋1号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行业类别（分类管理名录）</w:t>
            </w:r>
          </w:p>
        </w:tc>
        <w:tc>
          <w:tcPr>
            <w:tcW w:w="7384" w:type="dxa"/>
            <w:gridSpan w:val="7"/>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C2922塑料板、管、型材制造</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建设性质</w:t>
            </w:r>
          </w:p>
        </w:tc>
        <w:tc>
          <w:tcPr>
            <w:tcW w:w="4086"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b/>
                <w:color w:val="000000"/>
                <w:sz w:val="21"/>
                <w:szCs w:val="21"/>
              </w:rPr>
              <w:t>■</w:t>
            </w:r>
            <w:r>
              <w:rPr>
                <w:rFonts w:cs="Times New Roman" w:hAnsiTheme="minorEastAsia"/>
                <w:b/>
                <w:color w:val="000000"/>
                <w:sz w:val="21"/>
                <w:szCs w:val="21"/>
              </w:rPr>
              <w:t>新建</w:t>
            </w:r>
            <w:r>
              <w:rPr>
                <w:rFonts w:cs="Times New Roman"/>
                <w:b/>
                <w:color w:val="000000"/>
                <w:sz w:val="21"/>
                <w:szCs w:val="21"/>
              </w:rPr>
              <w:t xml:space="preserve">  □ </w:t>
            </w:r>
            <w:r>
              <w:rPr>
                <w:rFonts w:cs="Times New Roman" w:hAnsiTheme="minorEastAsia"/>
                <w:b/>
                <w:color w:val="000000"/>
                <w:sz w:val="21"/>
                <w:szCs w:val="21"/>
              </w:rPr>
              <w:t>改扩建</w:t>
            </w:r>
            <w:r>
              <w:rPr>
                <w:rFonts w:cs="Times New Roman"/>
                <w:b/>
                <w:color w:val="000000"/>
                <w:sz w:val="21"/>
                <w:szCs w:val="21"/>
              </w:rPr>
              <w:t xml:space="preserve">  □</w:t>
            </w:r>
            <w:r>
              <w:rPr>
                <w:rFonts w:cs="Times New Roman" w:hAnsiTheme="minorEastAsia"/>
                <w:b/>
                <w:color w:val="000000"/>
                <w:sz w:val="21"/>
                <w:szCs w:val="21"/>
              </w:rPr>
              <w:t>技术改造</w:t>
            </w:r>
          </w:p>
        </w:tc>
        <w:tc>
          <w:tcPr>
            <w:tcW w:w="2377" w:type="dxa"/>
            <w:gridSpan w:val="3"/>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项目厂区中心经度</w:t>
            </w:r>
            <w:r>
              <w:rPr>
                <w:rFonts w:cs="Times New Roman"/>
                <w:b/>
                <w:color w:val="000000"/>
                <w:sz w:val="21"/>
                <w:szCs w:val="21"/>
              </w:rPr>
              <w:t>/</w:t>
            </w:r>
            <w:r>
              <w:rPr>
                <w:rFonts w:cs="Times New Roman" w:hAnsiTheme="minorEastAsia"/>
                <w:b/>
                <w:color w:val="000000"/>
                <w:sz w:val="21"/>
                <w:szCs w:val="21"/>
              </w:rPr>
              <w:t>纬度</w:t>
            </w:r>
          </w:p>
        </w:tc>
        <w:tc>
          <w:tcPr>
            <w:tcW w:w="2301" w:type="dxa"/>
            <w:gridSpan w:val="2"/>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北纬N 24°29'26.26"</w:t>
            </w:r>
          </w:p>
          <w:p>
            <w:pPr>
              <w:spacing w:line="240" w:lineRule="auto"/>
              <w:ind w:firstLine="0" w:firstLineChars="0"/>
              <w:contextualSpacing/>
              <w:jc w:val="center"/>
              <w:rPr>
                <w:sz w:val="21"/>
                <w:szCs w:val="21"/>
              </w:rPr>
            </w:pPr>
            <w:r>
              <w:rPr>
                <w:rFonts w:hint="eastAsia"/>
                <w:sz w:val="21"/>
                <w:szCs w:val="21"/>
              </w:rPr>
              <w:t>东经E116° 11'17.72"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设计生产能力</w:t>
            </w:r>
          </w:p>
        </w:tc>
        <w:tc>
          <w:tcPr>
            <w:tcW w:w="7384" w:type="dxa"/>
            <w:gridSpan w:val="7"/>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年产5000吨PVC管材</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实际生产能力</w:t>
            </w:r>
          </w:p>
        </w:tc>
        <w:tc>
          <w:tcPr>
            <w:tcW w:w="2691" w:type="dxa"/>
            <w:gridSpan w:val="2"/>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年产5000吨PVC管材</w:t>
            </w:r>
          </w:p>
        </w:tc>
        <w:tc>
          <w:tcPr>
            <w:tcW w:w="139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环评单位</w:t>
            </w:r>
          </w:p>
        </w:tc>
        <w:tc>
          <w:tcPr>
            <w:tcW w:w="4678" w:type="dxa"/>
            <w:gridSpan w:val="5"/>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佛山市思环环保科技有限公司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环评文件审批机关</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hAnsiTheme="minorEastAsia"/>
                <w:color w:val="000000"/>
                <w:sz w:val="21"/>
                <w:szCs w:val="21"/>
              </w:rPr>
              <w:t>梅州市生态环境局梅县分局</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审批文号</w:t>
            </w:r>
          </w:p>
        </w:tc>
        <w:tc>
          <w:tcPr>
            <w:tcW w:w="2691" w:type="dxa"/>
            <w:gridSpan w:val="2"/>
            <w:tcMar>
              <w:left w:w="57" w:type="dxa"/>
              <w:right w:w="57" w:type="dxa"/>
            </w:tcMar>
            <w:vAlign w:val="center"/>
          </w:tcPr>
          <w:p>
            <w:pPr>
              <w:spacing w:line="240" w:lineRule="auto"/>
              <w:ind w:firstLine="0" w:firstLineChars="0"/>
              <w:contextualSpacing/>
              <w:jc w:val="center"/>
              <w:rPr>
                <w:sz w:val="21"/>
                <w:szCs w:val="21"/>
              </w:rPr>
            </w:pPr>
            <w:r>
              <w:rPr>
                <w:rFonts w:hint="eastAsia"/>
                <w:sz w:val="21"/>
                <w:szCs w:val="21"/>
              </w:rPr>
              <w:t>梅县区环审</w:t>
            </w:r>
            <w:r>
              <w:rPr>
                <w:sz w:val="21"/>
                <w:szCs w:val="21"/>
              </w:rPr>
              <w:t>【20</w:t>
            </w:r>
            <w:r>
              <w:rPr>
                <w:rFonts w:hint="eastAsia"/>
                <w:sz w:val="21"/>
                <w:szCs w:val="21"/>
              </w:rPr>
              <w:t>20</w:t>
            </w:r>
            <w:r>
              <w:rPr>
                <w:sz w:val="21"/>
                <w:szCs w:val="21"/>
              </w:rPr>
              <w:t>】</w:t>
            </w:r>
            <w:r>
              <w:rPr>
                <w:rFonts w:hint="eastAsia"/>
                <w:sz w:val="21"/>
                <w:szCs w:val="21"/>
              </w:rPr>
              <w:t>47</w:t>
            </w:r>
            <w:r>
              <w:rPr>
                <w:sz w:val="21"/>
                <w:szCs w:val="21"/>
              </w:rPr>
              <w:t>号</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环评文件类型</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cs="Times New Roman" w:hAnsiTheme="minorEastAsia"/>
                <w:color w:val="000000"/>
                <w:sz w:val="21"/>
                <w:szCs w:val="21"/>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开工日期</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sz w:val="21"/>
                <w:szCs w:val="21"/>
              </w:rPr>
              <w:t>2020年10月</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竣工日期</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cs="Times New Roman" w:hAnsiTheme="minorEastAsia"/>
                <w:color w:val="000000"/>
                <w:sz w:val="21"/>
                <w:szCs w:val="21"/>
              </w:rPr>
              <w:t>2021年3月</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排污许可证申领时间</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环保设施设计单位</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hint="eastAsia" w:cs="Times New Roman"/>
                <w:b/>
                <w:color w:val="000000"/>
                <w:sz w:val="21"/>
                <w:szCs w:val="21"/>
              </w:rPr>
              <w:t>——</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环保设施施工单位</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cs="Times New Roman" w:hAnsiTheme="minorEastAsia"/>
                <w:color w:val="000000"/>
                <w:sz w:val="21"/>
                <w:szCs w:val="21"/>
              </w:rPr>
              <w:t>——</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本工程排污许可证编号</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验收单位</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color w:val="000000"/>
                <w:sz w:val="21"/>
                <w:szCs w:val="21"/>
              </w:rPr>
              <w:t>广东新金穗环保有限公司</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环保设施监测单位</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cs="Times New Roman" w:hAnsiTheme="minorEastAsia"/>
                <w:color w:val="000000"/>
                <w:sz w:val="21"/>
                <w:szCs w:val="21"/>
              </w:rPr>
              <w:t>粤珠环保科技（广东）有限公司</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验收监测时</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工况</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大于75</w:t>
            </w:r>
            <w:r>
              <w:rPr>
                <w:rFonts w:cs="Times New Roman"/>
                <w:color w:val="000000"/>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投资总概算（万元）</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300</w:t>
            </w:r>
          </w:p>
        </w:tc>
        <w:tc>
          <w:tcPr>
            <w:tcW w:w="2673" w:type="dxa"/>
            <w:gridSpan w:val="2"/>
            <w:tcMar>
              <w:left w:w="57" w:type="dxa"/>
              <w:right w:w="57" w:type="dxa"/>
            </w:tcMar>
            <w:vAlign w:val="center"/>
          </w:tcPr>
          <w:p>
            <w:pPr>
              <w:tabs>
                <w:tab w:val="left" w:pos="690"/>
              </w:tabs>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环保投资总概算（万元）</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cs="Times New Roman" w:hAnsiTheme="minorEastAsia"/>
                <w:color w:val="000000"/>
                <w:sz w:val="21"/>
                <w:szCs w:val="21"/>
              </w:rPr>
              <w:t>10</w:t>
            </w:r>
          </w:p>
        </w:tc>
        <w:tc>
          <w:tcPr>
            <w:tcW w:w="1395" w:type="dxa"/>
            <w:tcMar>
              <w:left w:w="57" w:type="dxa"/>
              <w:right w:w="57" w:type="dxa"/>
            </w:tcMar>
            <w:vAlign w:val="center"/>
          </w:tcPr>
          <w:p>
            <w:pPr>
              <w:tabs>
                <w:tab w:val="left" w:pos="690"/>
              </w:tabs>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所占比例（</w:t>
            </w:r>
            <w:r>
              <w:rPr>
                <w:rFonts w:cs="Times New Roman"/>
                <w:b/>
                <w:color w:val="000000"/>
                <w:sz w:val="21"/>
                <w:szCs w:val="21"/>
              </w:rPr>
              <w:t>%</w:t>
            </w:r>
            <w:r>
              <w:rPr>
                <w:rFonts w:cs="Times New Roman" w:hAnsiTheme="minorEastAsia"/>
                <w:b/>
                <w:color w:val="000000"/>
                <w:sz w:val="21"/>
                <w:szCs w:val="21"/>
              </w:rPr>
              <w:t>）</w:t>
            </w:r>
          </w:p>
        </w:tc>
        <w:tc>
          <w:tcPr>
            <w:tcW w:w="4678" w:type="dxa"/>
            <w:gridSpan w:val="5"/>
            <w:tcMar>
              <w:left w:w="57" w:type="dxa"/>
              <w:right w:w="57" w:type="dxa"/>
            </w:tcMar>
            <w:vAlign w:val="center"/>
          </w:tcPr>
          <w:p>
            <w:pPr>
              <w:tabs>
                <w:tab w:val="left" w:pos="690"/>
              </w:tabs>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实际总投资</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300</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实际环保投资（万元）</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10</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所占比例（</w:t>
            </w:r>
            <w:r>
              <w:rPr>
                <w:rFonts w:cs="Times New Roman"/>
                <w:b/>
                <w:color w:val="000000"/>
                <w:sz w:val="21"/>
                <w:szCs w:val="21"/>
              </w:rPr>
              <w:t>%</w:t>
            </w:r>
            <w:r>
              <w:rPr>
                <w:rFonts w:cs="Times New Roman" w:hAnsiTheme="minorEastAsia"/>
                <w:b/>
                <w:color w:val="000000"/>
                <w:sz w:val="21"/>
                <w:szCs w:val="21"/>
              </w:rPr>
              <w:t>）</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废水治理（万元）</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2</w:t>
            </w:r>
          </w:p>
        </w:tc>
        <w:tc>
          <w:tcPr>
            <w:tcW w:w="1886"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废气治理（万元）</w:t>
            </w: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5</w:t>
            </w:r>
          </w:p>
        </w:tc>
        <w:tc>
          <w:tcPr>
            <w:tcW w:w="2059" w:type="dxa"/>
            <w:gridSpan w:val="3"/>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噪声治理（万元）</w:t>
            </w:r>
          </w:p>
        </w:tc>
        <w:tc>
          <w:tcPr>
            <w:tcW w:w="80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1</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固体废物治理（万元）</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2</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绿化及生态（万元）</w:t>
            </w:r>
          </w:p>
        </w:tc>
        <w:tc>
          <w:tcPr>
            <w:tcW w:w="1714"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c>
          <w:tcPr>
            <w:tcW w:w="150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其他（万元）</w:t>
            </w: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586" w:type="dxa"/>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688" w:type="dxa"/>
            <w:gridSpan w:val="3"/>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新增废水处理设施能力</w:t>
            </w:r>
          </w:p>
        </w:tc>
        <w:tc>
          <w:tcPr>
            <w:tcW w:w="7384" w:type="dxa"/>
            <w:gridSpan w:val="7"/>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c>
          <w:tcPr>
            <w:tcW w:w="267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新增废气处理设施能力</w:t>
            </w:r>
          </w:p>
        </w:tc>
        <w:tc>
          <w:tcPr>
            <w:tcW w:w="2691"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760m</w:t>
            </w:r>
            <w:r>
              <w:rPr>
                <w:rFonts w:hint="eastAsia" w:cs="Times New Roman"/>
                <w:color w:val="000000"/>
                <w:sz w:val="21"/>
                <w:szCs w:val="21"/>
                <w:vertAlign w:val="superscript"/>
              </w:rPr>
              <w:t>3</w:t>
            </w:r>
            <w:r>
              <w:rPr>
                <w:rFonts w:hint="eastAsia" w:cs="Times New Roman"/>
                <w:color w:val="000000"/>
                <w:sz w:val="21"/>
                <w:szCs w:val="21"/>
              </w:rPr>
              <w:t>/h</w:t>
            </w:r>
          </w:p>
        </w:tc>
        <w:tc>
          <w:tcPr>
            <w:tcW w:w="139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年平均工作时</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8" w:hRule="atLeast"/>
          <w:jc w:val="center"/>
        </w:trPr>
        <w:tc>
          <w:tcPr>
            <w:tcW w:w="3274" w:type="dxa"/>
            <w:gridSpan w:val="4"/>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运营单位</w:t>
            </w:r>
          </w:p>
        </w:tc>
        <w:tc>
          <w:tcPr>
            <w:tcW w:w="5872" w:type="dxa"/>
            <w:gridSpan w:val="4"/>
            <w:tcMar>
              <w:left w:w="57" w:type="dxa"/>
              <w:right w:w="57" w:type="dxa"/>
            </w:tcMar>
            <w:vAlign w:val="center"/>
          </w:tcPr>
          <w:p>
            <w:pPr>
              <w:spacing w:line="240" w:lineRule="auto"/>
              <w:ind w:firstLine="0" w:firstLineChars="0"/>
              <w:contextualSpacing/>
              <w:jc w:val="center"/>
              <w:rPr>
                <w:rFonts w:cs="Times New Roman" w:hAnsiTheme="minorEastAsia"/>
                <w:color w:val="000000"/>
                <w:sz w:val="21"/>
                <w:szCs w:val="21"/>
              </w:rPr>
            </w:pPr>
            <w:r>
              <w:rPr>
                <w:rFonts w:hint="eastAsia"/>
                <w:sz w:val="21"/>
                <w:szCs w:val="21"/>
              </w:rPr>
              <w:t>广东玉塑管道有限公司</w:t>
            </w:r>
            <w:r>
              <w:rPr>
                <w:rFonts w:hint="eastAsia"/>
              </w:rPr>
              <w:t xml:space="preserve">  </w:t>
            </w:r>
          </w:p>
        </w:tc>
        <w:tc>
          <w:tcPr>
            <w:tcW w:w="4411" w:type="dxa"/>
            <w:gridSpan w:val="6"/>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运营单位社会统一信用代码（或组织机构代码）</w:t>
            </w: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91441403MA54KXEE2G</w:t>
            </w:r>
          </w:p>
        </w:tc>
        <w:tc>
          <w:tcPr>
            <w:tcW w:w="1395"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验收时间</w:t>
            </w:r>
          </w:p>
        </w:tc>
        <w:tc>
          <w:tcPr>
            <w:tcW w:w="4678" w:type="dxa"/>
            <w:gridSpan w:val="5"/>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color w:val="000000"/>
                <w:sz w:val="21"/>
                <w:szCs w:val="21"/>
              </w:rPr>
              <w:t>20</w:t>
            </w:r>
            <w:r>
              <w:rPr>
                <w:rFonts w:hint="eastAsia" w:cs="Times New Roman"/>
                <w:color w:val="000000"/>
                <w:sz w:val="21"/>
                <w:szCs w:val="21"/>
              </w:rPr>
              <w:t>21年4月16日-17日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42" w:hRule="atLeast"/>
          <w:jc w:val="center"/>
        </w:trPr>
        <w:tc>
          <w:tcPr>
            <w:tcW w:w="815" w:type="dxa"/>
            <w:gridSpan w:val="2"/>
            <w:vMerge w:val="restart"/>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污染</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物排</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放达</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标与</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总量</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控制（工</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业建</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设项</w:t>
            </w:r>
          </w:p>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目详填）</w:t>
            </w:r>
          </w:p>
        </w:tc>
        <w:tc>
          <w:tcPr>
            <w:tcW w:w="24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污染物</w:t>
            </w:r>
          </w:p>
        </w:tc>
        <w:tc>
          <w:tcPr>
            <w:tcW w:w="1134"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原有排放量</w:t>
            </w:r>
            <w:r>
              <w:rPr>
                <w:rFonts w:cs="Times New Roman"/>
                <w:b/>
                <w:color w:val="000000"/>
                <w:sz w:val="21"/>
                <w:szCs w:val="21"/>
              </w:rPr>
              <w:t>(1)</w:t>
            </w:r>
          </w:p>
        </w:tc>
        <w:tc>
          <w:tcPr>
            <w:tcW w:w="1886" w:type="dxa"/>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本期工程实际排放浓度</w:t>
            </w:r>
            <w:r>
              <w:rPr>
                <w:rFonts w:cs="Times New Roman"/>
                <w:b/>
                <w:color w:val="000000"/>
                <w:sz w:val="21"/>
                <w:szCs w:val="21"/>
              </w:rPr>
              <w:t>(2)</w:t>
            </w:r>
          </w:p>
        </w:tc>
        <w:tc>
          <w:tcPr>
            <w:tcW w:w="1500"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本期工程允许排放浓度</w:t>
            </w:r>
            <w:r>
              <w:rPr>
                <w:rFonts w:cs="Times New Roman"/>
                <w:b/>
                <w:color w:val="000000"/>
                <w:sz w:val="21"/>
                <w:szCs w:val="21"/>
              </w:rPr>
              <w:t>(3)</w:t>
            </w:r>
          </w:p>
        </w:tc>
        <w:tc>
          <w:tcPr>
            <w:tcW w:w="1359" w:type="dxa"/>
            <w:gridSpan w:val="2"/>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本期工程产生量</w:t>
            </w:r>
            <w:r>
              <w:rPr>
                <w:rFonts w:cs="Times New Roman"/>
                <w:b/>
                <w:color w:val="000000"/>
                <w:sz w:val="21"/>
                <w:szCs w:val="21"/>
              </w:rPr>
              <w:t>(4)</w:t>
            </w:r>
          </w:p>
        </w:tc>
        <w:tc>
          <w:tcPr>
            <w:tcW w:w="1505" w:type="dxa"/>
            <w:gridSpan w:val="2"/>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本期工程自身削减量</w:t>
            </w:r>
            <w:r>
              <w:rPr>
                <w:rFonts w:cs="Times New Roman"/>
                <w:b/>
                <w:color w:val="000000"/>
                <w:sz w:val="21"/>
                <w:szCs w:val="21"/>
              </w:rPr>
              <w:t>(5)</w:t>
            </w:r>
          </w:p>
        </w:tc>
        <w:tc>
          <w:tcPr>
            <w:tcW w:w="1556"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本期工程实际排放量</w:t>
            </w:r>
            <w:r>
              <w:rPr>
                <w:rFonts w:cs="Times New Roman"/>
                <w:b/>
                <w:color w:val="000000"/>
                <w:sz w:val="21"/>
                <w:szCs w:val="21"/>
              </w:rPr>
              <w:t>(6)</w:t>
            </w:r>
          </w:p>
        </w:tc>
        <w:tc>
          <w:tcPr>
            <w:tcW w:w="1343" w:type="dxa"/>
            <w:gridSpan w:val="2"/>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本期工程核定排放总量</w:t>
            </w:r>
            <w:r>
              <w:rPr>
                <w:rFonts w:cs="Times New Roman"/>
                <w:b/>
                <w:color w:val="000000"/>
                <w:sz w:val="21"/>
                <w:szCs w:val="21"/>
              </w:rPr>
              <w:t>(7)</w:t>
            </w:r>
          </w:p>
        </w:tc>
        <w:tc>
          <w:tcPr>
            <w:tcW w:w="2465"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本期工程</w:t>
            </w:r>
            <w:r>
              <w:rPr>
                <w:rFonts w:cs="Times New Roman"/>
                <w:b/>
                <w:color w:val="000000"/>
                <w:sz w:val="21"/>
                <w:szCs w:val="21"/>
              </w:rPr>
              <w:t>“</w:t>
            </w:r>
            <w:r>
              <w:rPr>
                <w:rFonts w:cs="Times New Roman" w:hAnsiTheme="minorEastAsia"/>
                <w:b/>
                <w:color w:val="000000"/>
                <w:sz w:val="21"/>
                <w:szCs w:val="21"/>
              </w:rPr>
              <w:t>以新带老</w:t>
            </w:r>
            <w:r>
              <w:rPr>
                <w:rFonts w:cs="Times New Roman"/>
                <w:b/>
                <w:color w:val="000000"/>
                <w:sz w:val="21"/>
                <w:szCs w:val="21"/>
              </w:rPr>
              <w:t>”</w:t>
            </w:r>
            <w:r>
              <w:rPr>
                <w:rFonts w:cs="Times New Roman" w:hAnsiTheme="minorEastAsia"/>
                <w:b/>
                <w:color w:val="000000"/>
                <w:sz w:val="21"/>
                <w:szCs w:val="21"/>
              </w:rPr>
              <w:t>削减量</w:t>
            </w:r>
            <w:r>
              <w:rPr>
                <w:rFonts w:cs="Times New Roman"/>
                <w:b/>
                <w:color w:val="000000"/>
                <w:sz w:val="21"/>
                <w:szCs w:val="21"/>
              </w:rPr>
              <w:t>(8)</w:t>
            </w:r>
          </w:p>
        </w:tc>
        <w:tc>
          <w:tcPr>
            <w:tcW w:w="1405" w:type="dxa"/>
            <w:gridSpan w:val="2"/>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全厂实际排放总量</w:t>
            </w:r>
            <w:r>
              <w:rPr>
                <w:rFonts w:cs="Times New Roman"/>
                <w:b/>
                <w:color w:val="000000"/>
                <w:sz w:val="21"/>
                <w:szCs w:val="21"/>
              </w:rPr>
              <w:t>(9)</w:t>
            </w:r>
          </w:p>
        </w:tc>
        <w:tc>
          <w:tcPr>
            <w:tcW w:w="1704"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全厂核定排放总量</w:t>
            </w:r>
            <w:r>
              <w:rPr>
                <w:rFonts w:cs="Times New Roman"/>
                <w:b/>
                <w:color w:val="000000"/>
                <w:sz w:val="21"/>
                <w:szCs w:val="21"/>
              </w:rPr>
              <w:t>(10)</w:t>
            </w:r>
          </w:p>
        </w:tc>
        <w:tc>
          <w:tcPr>
            <w:tcW w:w="1509" w:type="dxa"/>
            <w:gridSpan w:val="2"/>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区域平衡替代削减量</w:t>
            </w:r>
            <w:r>
              <w:rPr>
                <w:rFonts w:cs="Times New Roman"/>
                <w:b/>
                <w:color w:val="000000"/>
                <w:sz w:val="21"/>
                <w:szCs w:val="21"/>
              </w:rPr>
              <w:t>(11)</w:t>
            </w:r>
          </w:p>
        </w:tc>
        <w:tc>
          <w:tcPr>
            <w:tcW w:w="1455" w:type="dxa"/>
            <w:tcMar>
              <w:left w:w="57" w:type="dxa"/>
              <w:right w:w="57" w:type="dxa"/>
            </w:tcMar>
            <w:vAlign w:val="center"/>
          </w:tcPr>
          <w:p>
            <w:pPr>
              <w:spacing w:line="240" w:lineRule="atLeast"/>
              <w:ind w:firstLine="0" w:firstLineChars="0"/>
              <w:contextualSpacing/>
              <w:jc w:val="center"/>
              <w:rPr>
                <w:rFonts w:cs="Times New Roman"/>
                <w:b/>
                <w:color w:val="000000"/>
                <w:sz w:val="21"/>
                <w:szCs w:val="21"/>
              </w:rPr>
            </w:pPr>
            <w:r>
              <w:rPr>
                <w:rFonts w:cs="Times New Roman" w:hAnsiTheme="minorEastAsia"/>
                <w:b/>
                <w:color w:val="000000"/>
                <w:sz w:val="21"/>
                <w:szCs w:val="21"/>
              </w:rPr>
              <w:t>排放增减量</w:t>
            </w:r>
            <w:r>
              <w:rPr>
                <w:rFonts w:cs="Times New Roman"/>
                <w:b/>
                <w:color w:val="000000"/>
                <w:sz w:val="21"/>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5"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废水</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化学需氧量</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氨氮</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石油类</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废气</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w:t>
            </w: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w:t>
            </w: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182.4</w:t>
            </w: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182.4</w:t>
            </w: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182.4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二氧化硫</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烟尘</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工业粉尘</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氮氧化物</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textAlignment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59" w:type="dxa"/>
            <w:gridSpan w:val="2"/>
            <w:tcMar>
              <w:left w:w="57" w:type="dxa"/>
              <w:right w:w="57" w:type="dxa"/>
            </w:tcMar>
            <w:vAlign w:val="center"/>
          </w:tcPr>
          <w:p>
            <w:pPr>
              <w:spacing w:line="240" w:lineRule="auto"/>
              <w:ind w:firstLine="0" w:firstLineChars="0"/>
              <w:contextualSpacing/>
              <w:jc w:val="center"/>
              <w:rPr>
                <w:rFonts w:cs="Times New Roman"/>
                <w:b/>
                <w:color w:val="000000"/>
                <w:sz w:val="21"/>
                <w:szCs w:val="21"/>
              </w:rPr>
            </w:pPr>
            <w:r>
              <w:rPr>
                <w:rFonts w:cs="Times New Roman" w:hAnsiTheme="minorEastAsia"/>
                <w:b/>
                <w:color w:val="000000"/>
                <w:sz w:val="21"/>
                <w:szCs w:val="21"/>
              </w:rPr>
              <w:t>工业固体废物</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vMerge w:val="restart"/>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cs="Times New Roman" w:hAnsiTheme="minorEastAsia"/>
                <w:b/>
                <w:color w:val="000000"/>
                <w:sz w:val="21"/>
                <w:szCs w:val="21"/>
              </w:rPr>
              <w:t>与项目有关的其他特征污染物</w:t>
            </w:r>
          </w:p>
        </w:tc>
        <w:tc>
          <w:tcPr>
            <w:tcW w:w="95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VOCs</w:t>
            </w: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w:t>
            </w: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0.96</w:t>
            </w: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30</w:t>
            </w: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0.0017</w:t>
            </w: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0.0017</w:t>
            </w: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r>
              <w:rPr>
                <w:rFonts w:hint="eastAsia" w:cs="Times New Roman"/>
                <w:color w:val="000000"/>
                <w:sz w:val="21"/>
                <w:szCs w:val="21"/>
              </w:rPr>
              <w:t>0.0017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vMerge w:val="continue"/>
            <w:tcMar>
              <w:left w:w="57" w:type="dxa"/>
              <w:right w:w="57" w:type="dxa"/>
            </w:tcMar>
            <w:vAlign w:val="center"/>
          </w:tcPr>
          <w:p>
            <w:pPr>
              <w:spacing w:line="240" w:lineRule="auto"/>
              <w:ind w:firstLine="0" w:firstLineChars="0"/>
              <w:contextualSpacing/>
              <w:jc w:val="center"/>
              <w:rPr>
                <w:rFonts w:cs="Times New Roman"/>
                <w:b/>
                <w:color w:val="000000"/>
                <w:sz w:val="21"/>
                <w:szCs w:val="21"/>
              </w:rPr>
            </w:pPr>
          </w:p>
        </w:tc>
        <w:tc>
          <w:tcPr>
            <w:tcW w:w="95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815" w:type="dxa"/>
            <w:gridSpan w:val="2"/>
            <w:vMerge w:val="continue"/>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vMerge w:val="continue"/>
            <w:tcMar>
              <w:left w:w="57" w:type="dxa"/>
              <w:right w:w="57" w:type="dxa"/>
            </w:tcMar>
            <w:vAlign w:val="center"/>
          </w:tcPr>
          <w:p>
            <w:pPr>
              <w:spacing w:line="240" w:lineRule="auto"/>
              <w:ind w:firstLine="0" w:firstLineChars="0"/>
              <w:contextualSpacing/>
              <w:jc w:val="center"/>
              <w:rPr>
                <w:rFonts w:cs="Times New Roman"/>
                <w:b/>
                <w:color w:val="000000"/>
                <w:sz w:val="21"/>
                <w:szCs w:val="21"/>
              </w:rPr>
            </w:pPr>
          </w:p>
        </w:tc>
        <w:tc>
          <w:tcPr>
            <w:tcW w:w="95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13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88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0"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5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56"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343"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246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05"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704"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509" w:type="dxa"/>
            <w:gridSpan w:val="2"/>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c>
          <w:tcPr>
            <w:tcW w:w="1455" w:type="dxa"/>
            <w:tcMar>
              <w:left w:w="57" w:type="dxa"/>
              <w:right w:w="57" w:type="dxa"/>
            </w:tcMar>
            <w:vAlign w:val="center"/>
          </w:tcPr>
          <w:p>
            <w:pPr>
              <w:spacing w:line="240" w:lineRule="auto"/>
              <w:ind w:firstLine="0" w:firstLineChars="0"/>
              <w:contextualSpacing/>
              <w:jc w:val="center"/>
              <w:rPr>
                <w:rFonts w:cs="Times New Roman"/>
                <w:color w:val="000000"/>
                <w:sz w:val="21"/>
                <w:szCs w:val="21"/>
              </w:rPr>
            </w:pPr>
          </w:p>
        </w:tc>
      </w:tr>
    </w:tbl>
    <w:p>
      <w:pPr>
        <w:ind w:firstLine="0" w:firstLineChars="0"/>
        <w:jc w:val="left"/>
        <w:rPr>
          <w:color w:val="000000"/>
          <w:spacing w:val="-4"/>
          <w:sz w:val="21"/>
          <w:szCs w:val="15"/>
        </w:rPr>
      </w:pPr>
      <w:r>
        <w:rPr>
          <w:b/>
          <w:color w:val="000000"/>
          <w:sz w:val="21"/>
          <w:szCs w:val="15"/>
        </w:rPr>
        <w:t>注</w:t>
      </w:r>
      <w:r>
        <w:rPr>
          <w:color w:val="000000"/>
          <w:sz w:val="21"/>
          <w:szCs w:val="15"/>
        </w:rPr>
        <w:t>：1、</w:t>
      </w:r>
      <w:r>
        <w:rPr>
          <w:color w:val="000000"/>
          <w:spacing w:val="-4"/>
          <w:sz w:val="21"/>
          <w:szCs w:val="15"/>
        </w:rPr>
        <w:t>排放增减量：（+）表示增加，（-）表示减少。2、(12)=(6)-(8)-(11)，（9）= (4)-(5)-(8)- (11) +（1）。</w:t>
      </w:r>
    </w:p>
    <w:p>
      <w:pPr>
        <w:ind w:firstLine="0" w:firstLineChars="0"/>
        <w:jc w:val="left"/>
        <w:rPr>
          <w:color w:val="000000"/>
          <w:sz w:val="21"/>
          <w:szCs w:val="15"/>
        </w:rPr>
        <w:sectPr>
          <w:pgSz w:w="23814" w:h="16839" w:orient="landscape"/>
          <w:pgMar w:top="1440" w:right="1800" w:bottom="1440" w:left="1800" w:header="283" w:footer="851" w:gutter="0"/>
          <w:cols w:space="425" w:num="1"/>
          <w:docGrid w:type="lines" w:linePitch="326" w:charSpace="0"/>
        </w:sectPr>
      </w:pPr>
      <w:r>
        <w:rPr>
          <w:color w:val="000000"/>
          <w:spacing w:val="-4"/>
          <w:sz w:val="21"/>
          <w:szCs w:val="15"/>
        </w:rPr>
        <w:t>3、计量单位：废水排放量——万吨/年；废气排放量——万标立方米/年；工业固体废物排放</w:t>
      </w:r>
      <w:r>
        <w:rPr>
          <w:color w:val="000000"/>
          <w:sz w:val="21"/>
          <w:szCs w:val="15"/>
        </w:rPr>
        <w:t>量——万吨/年；水污染物排放浓度——毫克/升</w:t>
      </w:r>
    </w:p>
    <w:p>
      <w:pPr>
        <w:pStyle w:val="5"/>
      </w:pPr>
      <w:r>
        <w:rPr>
          <w:rFonts w:hint="eastAsia"/>
        </w:rPr>
        <w:t>附件1验收报告编制委托书</w:t>
      </w:r>
    </w:p>
    <w:p>
      <w:pPr>
        <w:ind w:firstLine="0" w:firstLineChars="0"/>
        <w:jc w:val="center"/>
        <w:rPr>
          <w:b/>
          <w:sz w:val="40"/>
          <w:szCs w:val="28"/>
        </w:rPr>
      </w:pPr>
    </w:p>
    <w:p>
      <w:pPr>
        <w:ind w:firstLine="0" w:firstLineChars="0"/>
        <w:jc w:val="center"/>
        <w:rPr>
          <w:b/>
          <w:sz w:val="40"/>
          <w:szCs w:val="28"/>
        </w:rPr>
      </w:pPr>
      <w:r>
        <w:rPr>
          <w:rFonts w:hint="eastAsia"/>
          <w:b/>
          <w:sz w:val="40"/>
          <w:szCs w:val="28"/>
        </w:rPr>
        <w:t>委托书</w:t>
      </w:r>
    </w:p>
    <w:p>
      <w:pPr>
        <w:ind w:firstLine="0" w:firstLineChars="0"/>
        <w:rPr>
          <w:sz w:val="28"/>
          <w:szCs w:val="28"/>
        </w:rPr>
      </w:pPr>
    </w:p>
    <w:p>
      <w:pPr>
        <w:ind w:firstLine="0" w:firstLineChars="0"/>
        <w:rPr>
          <w:sz w:val="28"/>
          <w:szCs w:val="28"/>
          <w:u w:val="single"/>
        </w:rPr>
      </w:pPr>
      <w:r>
        <w:rPr>
          <w:rFonts w:hint="eastAsia"/>
          <w:sz w:val="28"/>
          <w:szCs w:val="28"/>
          <w:u w:val="single"/>
        </w:rPr>
        <w:t>广东新金穗环保有限公司：</w:t>
      </w:r>
    </w:p>
    <w:p>
      <w:pPr>
        <w:ind w:firstLine="560"/>
        <w:rPr>
          <w:sz w:val="28"/>
          <w:szCs w:val="28"/>
        </w:rPr>
      </w:pPr>
      <w:r>
        <w:rPr>
          <w:rFonts w:hint="eastAsia"/>
          <w:sz w:val="28"/>
          <w:szCs w:val="28"/>
        </w:rPr>
        <w:t>我公司</w:t>
      </w:r>
      <w:r>
        <w:rPr>
          <w:rFonts w:hint="eastAsia"/>
          <w:sz w:val="28"/>
          <w:szCs w:val="28"/>
          <w:u w:val="single"/>
        </w:rPr>
        <w:t>广东玉塑管道有限公司年产5000吨PVC管材建设项目</w:t>
      </w:r>
      <w:r>
        <w:rPr>
          <w:rFonts w:hint="eastAsia"/>
          <w:sz w:val="28"/>
          <w:szCs w:val="28"/>
        </w:rPr>
        <w:t>已经竣工。经试运行及调试，各项治理设施运行正常。</w:t>
      </w:r>
      <w:r>
        <w:rPr>
          <w:rFonts w:cs="Times New Roman"/>
          <w:sz w:val="28"/>
          <w:szCs w:val="28"/>
        </w:rPr>
        <w:t>依据</w:t>
      </w:r>
      <w:r>
        <w:rPr>
          <w:rFonts w:hint="eastAsia" w:cs="Times New Roman"/>
          <w:sz w:val="28"/>
          <w:szCs w:val="28"/>
          <w:lang w:val="en-US" w:eastAsia="zh-CN"/>
        </w:rPr>
        <w:t>生态环境</w:t>
      </w:r>
      <w:r>
        <w:rPr>
          <w:rFonts w:cs="Times New Roman"/>
          <w:sz w:val="28"/>
          <w:szCs w:val="28"/>
        </w:rPr>
        <w:t>部《建设项目环境保护管理条例》（国务院令第682号）、《建设项目竣工环境保护验收暂行办法》（国环规环评[2017]4号）等文件要求，</w:t>
      </w:r>
      <w:r>
        <w:rPr>
          <w:rFonts w:hint="eastAsia"/>
          <w:sz w:val="28"/>
          <w:szCs w:val="28"/>
        </w:rPr>
        <w:t>现委托贵公司对该项目进行环保竣工验收报告的编制。</w:t>
      </w: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560"/>
        <w:jc w:val="right"/>
        <w:rPr>
          <w:sz w:val="28"/>
          <w:szCs w:val="28"/>
        </w:rPr>
      </w:pPr>
      <w:r>
        <w:rPr>
          <w:rFonts w:hint="eastAsia"/>
          <w:sz w:val="28"/>
          <w:szCs w:val="28"/>
        </w:rPr>
        <w:t>建设单位（盖章）：广东玉塑管道有限公司</w:t>
      </w:r>
    </w:p>
    <w:p>
      <w:pPr>
        <w:ind w:firstLine="560"/>
        <w:jc w:val="right"/>
      </w:pPr>
      <w:r>
        <w:rPr>
          <w:rFonts w:hint="eastAsia"/>
          <w:sz w:val="28"/>
          <w:szCs w:val="28"/>
        </w:rPr>
        <w:t>日期：2021年3月</w:t>
      </w:r>
    </w:p>
    <w:p>
      <w:pPr>
        <w:widowControl/>
        <w:spacing w:line="240" w:lineRule="auto"/>
        <w:ind w:firstLine="0" w:firstLineChars="0"/>
        <w:jc w:val="left"/>
        <w:rPr>
          <w:color w:val="000000"/>
          <w:szCs w:val="24"/>
        </w:rPr>
      </w:pPr>
      <w:r>
        <w:rPr>
          <w:color w:val="000000"/>
          <w:szCs w:val="24"/>
        </w:rPr>
        <w:br w:type="page"/>
      </w:r>
    </w:p>
    <w:p>
      <w:pPr>
        <w:pStyle w:val="5"/>
      </w:pPr>
      <w:r>
        <w:rPr>
          <w:rFonts w:hint="eastAsia"/>
        </w:rPr>
        <w:t>附件2 验收监测委托书</w:t>
      </w:r>
    </w:p>
    <w:p>
      <w:pPr>
        <w:ind w:firstLine="199" w:firstLineChars="45"/>
        <w:jc w:val="center"/>
        <w:rPr>
          <w:rFonts w:cs="Times New Roman"/>
          <w:b/>
          <w:bCs/>
          <w:sz w:val="44"/>
          <w:szCs w:val="44"/>
        </w:rPr>
      </w:pPr>
      <w:r>
        <w:rPr>
          <w:rFonts w:cs="Times New Roman"/>
          <w:b/>
          <w:bCs/>
          <w:sz w:val="44"/>
          <w:szCs w:val="44"/>
        </w:rPr>
        <w:t>验收监测委托书</w:t>
      </w:r>
    </w:p>
    <w:p>
      <w:pPr>
        <w:ind w:firstLine="0" w:firstLineChars="0"/>
        <w:rPr>
          <w:sz w:val="28"/>
          <w:szCs w:val="28"/>
        </w:rPr>
      </w:pPr>
    </w:p>
    <w:p>
      <w:pPr>
        <w:ind w:firstLine="0" w:firstLineChars="0"/>
        <w:rPr>
          <w:sz w:val="28"/>
          <w:szCs w:val="28"/>
          <w:u w:val="single"/>
        </w:rPr>
      </w:pPr>
      <w:r>
        <w:rPr>
          <w:rFonts w:hint="eastAsia"/>
          <w:sz w:val="28"/>
          <w:szCs w:val="28"/>
          <w:u w:val="single"/>
        </w:rPr>
        <w:t>粤珠环保科技（广东）有限公司：</w:t>
      </w:r>
    </w:p>
    <w:p>
      <w:pPr>
        <w:ind w:firstLine="560"/>
        <w:rPr>
          <w:sz w:val="28"/>
          <w:szCs w:val="28"/>
        </w:rPr>
      </w:pPr>
      <w:r>
        <w:rPr>
          <w:rFonts w:hint="eastAsia"/>
          <w:sz w:val="28"/>
          <w:szCs w:val="28"/>
        </w:rPr>
        <w:t>我公司</w:t>
      </w:r>
      <w:r>
        <w:rPr>
          <w:rFonts w:hint="eastAsia"/>
          <w:sz w:val="28"/>
          <w:szCs w:val="28"/>
          <w:u w:val="single"/>
        </w:rPr>
        <w:t>广东玉塑管道有限公司年产5000吨PVC管材建设项目</w:t>
      </w:r>
      <w:r>
        <w:rPr>
          <w:rFonts w:hint="eastAsia"/>
          <w:sz w:val="28"/>
          <w:szCs w:val="28"/>
        </w:rPr>
        <w:t>已经竣工。经试运行及调试，各项治理设施运行正常。</w:t>
      </w:r>
      <w:r>
        <w:rPr>
          <w:rFonts w:cs="Times New Roman"/>
          <w:sz w:val="28"/>
          <w:szCs w:val="28"/>
        </w:rPr>
        <w:t>依据</w:t>
      </w:r>
      <w:r>
        <w:rPr>
          <w:rFonts w:hint="eastAsia" w:cs="Times New Roman"/>
          <w:sz w:val="28"/>
          <w:szCs w:val="28"/>
          <w:lang w:val="en-US" w:eastAsia="zh-CN"/>
        </w:rPr>
        <w:t>生态环境</w:t>
      </w:r>
      <w:bookmarkStart w:id="110" w:name="_GoBack"/>
      <w:bookmarkEnd w:id="110"/>
      <w:r>
        <w:rPr>
          <w:rFonts w:cs="Times New Roman"/>
          <w:sz w:val="28"/>
          <w:szCs w:val="28"/>
        </w:rPr>
        <w:t>部《建设项目环境保护管理条例》（国务院令第682号）、《建设项目竣工环境保护验收暂行办法》（国环规环评[2017]4号）等文件要求，</w:t>
      </w:r>
      <w:r>
        <w:rPr>
          <w:rFonts w:hint="eastAsia"/>
          <w:sz w:val="28"/>
          <w:szCs w:val="28"/>
        </w:rPr>
        <w:t>现委托贵公司对该项目进行环保竣工验收的监测。</w:t>
      </w: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560"/>
        <w:jc w:val="right"/>
        <w:rPr>
          <w:sz w:val="28"/>
          <w:szCs w:val="28"/>
        </w:rPr>
      </w:pPr>
      <w:r>
        <w:rPr>
          <w:rFonts w:hint="eastAsia"/>
          <w:sz w:val="28"/>
          <w:szCs w:val="28"/>
        </w:rPr>
        <w:t>建设单位（盖章）：广东玉塑管道有限公司</w:t>
      </w:r>
    </w:p>
    <w:p>
      <w:pPr>
        <w:ind w:firstLine="560"/>
        <w:jc w:val="right"/>
      </w:pPr>
      <w:r>
        <w:rPr>
          <w:rFonts w:hint="eastAsia"/>
          <w:sz w:val="28"/>
          <w:szCs w:val="28"/>
        </w:rPr>
        <w:t>日期：2021年3月</w:t>
      </w:r>
    </w:p>
    <w:p>
      <w:pPr>
        <w:ind w:firstLine="480"/>
      </w:pPr>
    </w:p>
    <w:p>
      <w:pPr>
        <w:ind w:firstLine="480"/>
      </w:pPr>
    </w:p>
    <w:p>
      <w:pPr>
        <w:widowControl/>
        <w:spacing w:line="240" w:lineRule="auto"/>
        <w:ind w:firstLine="0" w:firstLineChars="0"/>
        <w:jc w:val="left"/>
      </w:pPr>
      <w:r>
        <w:br w:type="page"/>
      </w:r>
    </w:p>
    <w:p>
      <w:pPr>
        <w:pStyle w:val="5"/>
      </w:pPr>
      <w:r>
        <w:rPr>
          <w:rFonts w:hint="eastAsia"/>
        </w:rPr>
        <w:t>附件3 项目营业执照</w:t>
      </w:r>
    </w:p>
    <w:p>
      <w:pPr>
        <w:ind w:firstLine="0" w:firstLineChars="0"/>
        <w:jc w:val="center"/>
        <w:rPr>
          <w:rFonts w:ascii="宋体" w:hAnsi="宋体" w:cs="宋体"/>
          <w:b/>
          <w:color w:val="000000"/>
          <w:spacing w:val="10"/>
        </w:rPr>
      </w:pPr>
      <w:r>
        <w:rPr>
          <w:rFonts w:ascii="宋体" w:hAnsi="宋体" w:cs="宋体"/>
          <w:b/>
          <w:color w:val="000000"/>
          <w:spacing w:val="10"/>
        </w:rPr>
        <w:drawing>
          <wp:inline distT="0" distB="0" distL="114300" distR="114300">
            <wp:extent cx="5721985" cy="3838575"/>
            <wp:effectExtent l="1905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22" cstate="print"/>
                    <a:stretch>
                      <a:fillRect/>
                    </a:stretch>
                  </pic:blipFill>
                  <pic:spPr>
                    <a:xfrm>
                      <a:off x="0" y="0"/>
                      <a:ext cx="5734187" cy="3846574"/>
                    </a:xfrm>
                    <a:prstGeom prst="rect">
                      <a:avLst/>
                    </a:prstGeom>
                    <a:noFill/>
                    <a:ln>
                      <a:noFill/>
                    </a:ln>
                  </pic:spPr>
                </pic:pic>
              </a:graphicData>
            </a:graphic>
          </wp:inline>
        </w:drawing>
      </w: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pStyle w:val="5"/>
      </w:pPr>
      <w:r>
        <w:rPr>
          <w:rFonts w:hint="eastAsia"/>
        </w:rPr>
        <w:t>附件4 备案证</w:t>
      </w:r>
    </w:p>
    <w:p>
      <w:pPr>
        <w:ind w:firstLine="0" w:firstLineChars="0"/>
      </w:pPr>
      <w:r>
        <w:drawing>
          <wp:inline distT="0" distB="0" distL="114300" distR="114300">
            <wp:extent cx="5706745" cy="4410075"/>
            <wp:effectExtent l="19050" t="0" r="8008" b="0"/>
            <wp:docPr id="2" name="图片 21" descr="玉塑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玉塑备案证"/>
                    <pic:cNvPicPr>
                      <a:picLocks noChangeAspect="1"/>
                    </pic:cNvPicPr>
                  </pic:nvPicPr>
                  <pic:blipFill>
                    <a:blip r:embed="rId23" cstate="print"/>
                    <a:stretch>
                      <a:fillRect/>
                    </a:stretch>
                  </pic:blipFill>
                  <pic:spPr>
                    <a:xfrm rot="10800000">
                      <a:off x="0" y="0"/>
                      <a:ext cx="5707156" cy="4410201"/>
                    </a:xfrm>
                    <a:prstGeom prst="rect">
                      <a:avLst/>
                    </a:prstGeom>
                  </pic:spPr>
                </pic:pic>
              </a:graphicData>
            </a:graphic>
          </wp:inline>
        </w:drawing>
      </w: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ind w:firstLine="0" w:firstLineChars="0"/>
        <w:jc w:val="center"/>
        <w:rPr>
          <w:rFonts w:ascii="宋体" w:hAnsi="宋体" w:cs="宋体"/>
          <w:b/>
          <w:color w:val="000000"/>
          <w:spacing w:val="10"/>
        </w:rPr>
      </w:pPr>
    </w:p>
    <w:p>
      <w:pPr>
        <w:pStyle w:val="5"/>
      </w:pPr>
      <w:r>
        <w:rPr>
          <w:rFonts w:hint="eastAsia"/>
        </w:rPr>
        <w:t>附件5 项目环评批复</w:t>
      </w:r>
    </w:p>
    <w:p>
      <w:pPr>
        <w:ind w:firstLine="0" w:firstLineChars="0"/>
        <w:jc w:val="center"/>
      </w:pPr>
      <w:r>
        <w:drawing>
          <wp:inline distT="0" distB="0" distL="0" distR="0">
            <wp:extent cx="4867275" cy="687705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cstate="print"/>
                    <a:srcRect/>
                    <a:stretch>
                      <a:fillRect/>
                    </a:stretch>
                  </pic:blipFill>
                  <pic:spPr>
                    <a:xfrm>
                      <a:off x="0" y="0"/>
                      <a:ext cx="4867275" cy="6877050"/>
                    </a:xfrm>
                    <a:prstGeom prst="rect">
                      <a:avLst/>
                    </a:prstGeom>
                    <a:noFill/>
                    <a:ln w="9525">
                      <a:noFill/>
                      <a:miter lim="800000"/>
                      <a:headEnd/>
                      <a:tailEnd/>
                    </a:ln>
                  </pic:spPr>
                </pic:pic>
              </a:graphicData>
            </a:graphic>
          </wp:inline>
        </w:drawing>
      </w:r>
      <w:r>
        <w:t xml:space="preserve"> </w:t>
      </w:r>
      <w:r>
        <w:drawing>
          <wp:inline distT="0" distB="0" distL="0" distR="0">
            <wp:extent cx="4857750" cy="69056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cstate="print"/>
                    <a:srcRect/>
                    <a:stretch>
                      <a:fillRect/>
                    </a:stretch>
                  </pic:blipFill>
                  <pic:spPr>
                    <a:xfrm>
                      <a:off x="0" y="0"/>
                      <a:ext cx="4857750" cy="6905625"/>
                    </a:xfrm>
                    <a:prstGeom prst="rect">
                      <a:avLst/>
                    </a:prstGeom>
                    <a:noFill/>
                    <a:ln w="9525">
                      <a:noFill/>
                      <a:miter lim="800000"/>
                      <a:headEnd/>
                      <a:tailEnd/>
                    </a:ln>
                  </pic:spPr>
                </pic:pic>
              </a:graphicData>
            </a:graphic>
          </wp:inline>
        </w:drawing>
      </w:r>
      <w:r>
        <w:t xml:space="preserve"> </w:t>
      </w:r>
      <w:r>
        <w:drawing>
          <wp:inline distT="0" distB="0" distL="0" distR="0">
            <wp:extent cx="4848225" cy="690562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6" cstate="print"/>
                    <a:srcRect/>
                    <a:stretch>
                      <a:fillRect/>
                    </a:stretch>
                  </pic:blipFill>
                  <pic:spPr>
                    <a:xfrm>
                      <a:off x="0" y="0"/>
                      <a:ext cx="4848225" cy="6905625"/>
                    </a:xfrm>
                    <a:prstGeom prst="rect">
                      <a:avLst/>
                    </a:prstGeom>
                    <a:noFill/>
                    <a:ln w="9525">
                      <a:noFill/>
                      <a:miter lim="800000"/>
                      <a:headEnd/>
                      <a:tailEnd/>
                    </a:ln>
                  </pic:spPr>
                </pic:pic>
              </a:graphicData>
            </a:graphic>
          </wp:inline>
        </w:drawing>
      </w:r>
    </w:p>
    <w:p>
      <w:pPr>
        <w:ind w:firstLine="0" w:firstLineChars="0"/>
        <w:jc w:val="center"/>
      </w:pPr>
      <w:r>
        <w:br w:type="page"/>
      </w:r>
    </w:p>
    <w:p>
      <w:pPr>
        <w:pStyle w:val="5"/>
      </w:pPr>
      <w:r>
        <w:rPr>
          <w:rFonts w:hint="eastAsia"/>
        </w:rPr>
        <w:t>附件6验收检测报告</w:t>
      </w:r>
    </w:p>
    <w:p>
      <w:pPr>
        <w:ind w:firstLine="0" w:firstLineChars="0"/>
        <w:jc w:val="center"/>
        <w:rPr>
          <w:szCs w:val="24"/>
        </w:rPr>
      </w:pPr>
      <w:r>
        <w:rPr>
          <w:szCs w:val="24"/>
        </w:rPr>
        <w:drawing>
          <wp:inline distT="0" distB="0" distL="0" distR="0">
            <wp:extent cx="4857750" cy="68770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7" cstate="print"/>
                    <a:srcRect/>
                    <a:stretch>
                      <a:fillRect/>
                    </a:stretch>
                  </pic:blipFill>
                  <pic:spPr>
                    <a:xfrm>
                      <a:off x="0" y="0"/>
                      <a:ext cx="4857750" cy="6877050"/>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48225" cy="68865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srcRect/>
                    <a:stretch>
                      <a:fillRect/>
                    </a:stretch>
                  </pic:blipFill>
                  <pic:spPr>
                    <a:xfrm>
                      <a:off x="0" y="0"/>
                      <a:ext cx="4848225"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57750" cy="68865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srcRect/>
                    <a:stretch>
                      <a:fillRect/>
                    </a:stretch>
                  </pic:blipFill>
                  <pic:spPr>
                    <a:xfrm>
                      <a:off x="0" y="0"/>
                      <a:ext cx="4857750"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67275" cy="6886575"/>
            <wp:effectExtent l="19050" t="0" r="9525"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30" cstate="print"/>
                    <a:srcRect/>
                    <a:stretch>
                      <a:fillRect/>
                    </a:stretch>
                  </pic:blipFill>
                  <pic:spPr>
                    <a:xfrm>
                      <a:off x="0" y="0"/>
                      <a:ext cx="4867275"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67275" cy="6886575"/>
            <wp:effectExtent l="19050" t="0" r="9525"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31" cstate="print"/>
                    <a:srcRect/>
                    <a:stretch>
                      <a:fillRect/>
                    </a:stretch>
                  </pic:blipFill>
                  <pic:spPr>
                    <a:xfrm>
                      <a:off x="0" y="0"/>
                      <a:ext cx="4867275"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57750" cy="6896100"/>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noChangeArrowheads="1"/>
                    </pic:cNvPicPr>
                  </pic:nvPicPr>
                  <pic:blipFill>
                    <a:blip r:embed="rId32" cstate="print"/>
                    <a:srcRect/>
                    <a:stretch>
                      <a:fillRect/>
                    </a:stretch>
                  </pic:blipFill>
                  <pic:spPr>
                    <a:xfrm>
                      <a:off x="0" y="0"/>
                      <a:ext cx="4857750" cy="6896100"/>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76800" cy="6886575"/>
            <wp:effectExtent l="19050" t="0" r="0"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noChangeArrowheads="1"/>
                    </pic:cNvPicPr>
                  </pic:nvPicPr>
                  <pic:blipFill>
                    <a:blip r:embed="rId33" cstate="print"/>
                    <a:srcRect/>
                    <a:stretch>
                      <a:fillRect/>
                    </a:stretch>
                  </pic:blipFill>
                  <pic:spPr>
                    <a:xfrm>
                      <a:off x="0" y="0"/>
                      <a:ext cx="4876800"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67275" cy="6877050"/>
            <wp:effectExtent l="19050" t="0" r="9525"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noChangeArrowheads="1"/>
                    </pic:cNvPicPr>
                  </pic:nvPicPr>
                  <pic:blipFill>
                    <a:blip r:embed="rId34" cstate="print"/>
                    <a:srcRect/>
                    <a:stretch>
                      <a:fillRect/>
                    </a:stretch>
                  </pic:blipFill>
                  <pic:spPr>
                    <a:xfrm>
                      <a:off x="0" y="0"/>
                      <a:ext cx="4867275" cy="6877050"/>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67275" cy="6867525"/>
            <wp:effectExtent l="19050" t="0" r="9525"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noChangeArrowheads="1"/>
                    </pic:cNvPicPr>
                  </pic:nvPicPr>
                  <pic:blipFill>
                    <a:blip r:embed="rId35" cstate="print"/>
                    <a:srcRect/>
                    <a:stretch>
                      <a:fillRect/>
                    </a:stretch>
                  </pic:blipFill>
                  <pic:spPr>
                    <a:xfrm>
                      <a:off x="0" y="0"/>
                      <a:ext cx="4867275" cy="686752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57750" cy="6886575"/>
            <wp:effectExtent l="1905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36" cstate="print"/>
                    <a:srcRect/>
                    <a:stretch>
                      <a:fillRect/>
                    </a:stretch>
                  </pic:blipFill>
                  <pic:spPr>
                    <a:xfrm>
                      <a:off x="0" y="0"/>
                      <a:ext cx="4857750" cy="6886575"/>
                    </a:xfrm>
                    <a:prstGeom prst="rect">
                      <a:avLst/>
                    </a:prstGeom>
                    <a:noFill/>
                    <a:ln w="9525">
                      <a:noFill/>
                      <a:miter lim="800000"/>
                      <a:headEnd/>
                      <a:tailEnd/>
                    </a:ln>
                  </pic:spPr>
                </pic:pic>
              </a:graphicData>
            </a:graphic>
          </wp:inline>
        </w:drawing>
      </w:r>
      <w:r>
        <w:rPr>
          <w:szCs w:val="24"/>
        </w:rPr>
        <w:t xml:space="preserve"> </w:t>
      </w:r>
      <w:r>
        <w:rPr>
          <w:szCs w:val="24"/>
        </w:rPr>
        <w:drawing>
          <wp:inline distT="0" distB="0" distL="0" distR="0">
            <wp:extent cx="4848225" cy="688657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7" cstate="print"/>
                    <a:srcRect/>
                    <a:stretch>
                      <a:fillRect/>
                    </a:stretch>
                  </pic:blipFill>
                  <pic:spPr>
                    <a:xfrm>
                      <a:off x="0" y="0"/>
                      <a:ext cx="4848225" cy="6886575"/>
                    </a:xfrm>
                    <a:prstGeom prst="rect">
                      <a:avLst/>
                    </a:prstGeom>
                    <a:noFill/>
                    <a:ln w="9525">
                      <a:noFill/>
                      <a:miter lim="800000"/>
                      <a:headEnd/>
                      <a:tailEnd/>
                    </a:ln>
                  </pic:spPr>
                </pic:pic>
              </a:graphicData>
            </a:graphic>
          </wp:inline>
        </w:drawing>
      </w:r>
    </w:p>
    <w:p>
      <w:pPr>
        <w:ind w:firstLine="0" w:firstLineChars="0"/>
        <w:jc w:val="center"/>
        <w:rPr>
          <w:szCs w:val="24"/>
        </w:rPr>
      </w:pPr>
    </w:p>
    <w:p>
      <w:pPr>
        <w:ind w:firstLine="0" w:firstLineChars="0"/>
        <w:jc w:val="center"/>
        <w:rPr>
          <w:szCs w:val="24"/>
        </w:rPr>
      </w:pPr>
    </w:p>
    <w:p>
      <w:pPr>
        <w:ind w:firstLine="0" w:firstLineChars="0"/>
        <w:jc w:val="center"/>
        <w:rPr>
          <w:szCs w:val="24"/>
        </w:rPr>
        <w:sectPr>
          <w:pgSz w:w="11906" w:h="16838"/>
          <w:pgMar w:top="1440" w:right="1416" w:bottom="1440" w:left="1418" w:header="851" w:footer="992" w:gutter="0"/>
          <w:cols w:space="425" w:num="1"/>
          <w:docGrid w:type="lines" w:linePitch="312" w:charSpace="0"/>
        </w:sectPr>
      </w:pPr>
    </w:p>
    <w:p>
      <w:pPr>
        <w:pStyle w:val="5"/>
        <w:sectPr>
          <w:pgSz w:w="11906" w:h="16838"/>
          <w:pgMar w:top="1440" w:right="1416" w:bottom="1440" w:left="1418" w:header="851" w:footer="992" w:gutter="0"/>
          <w:cols w:space="425" w:num="1"/>
          <w:docGrid w:type="lines" w:linePitch="312" w:charSpace="0"/>
        </w:sectPr>
      </w:pPr>
      <w:r>
        <w:rPr>
          <w:rFonts w:hint="eastAsia"/>
        </w:rPr>
        <w:t>附件7 验收公示</w:t>
      </w:r>
    </w:p>
    <w:p>
      <w:pPr>
        <w:pStyle w:val="5"/>
      </w:pPr>
      <w:r>
        <w:rPr>
          <w:rFonts w:hint="eastAsia"/>
        </w:rPr>
        <w:t>附件8 专家意见及签名</w:t>
      </w:r>
    </w:p>
    <w:p>
      <w:pPr>
        <w:ind w:firstLine="0" w:firstLineChars="0"/>
        <w:jc w:val="center"/>
      </w:pPr>
      <w:r>
        <w:drawing>
          <wp:inline distT="0" distB="0" distL="0" distR="0">
            <wp:extent cx="4857750" cy="686752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8" cstate="print"/>
                    <a:srcRect/>
                    <a:stretch>
                      <a:fillRect/>
                    </a:stretch>
                  </pic:blipFill>
                  <pic:spPr>
                    <a:xfrm>
                      <a:off x="0" y="0"/>
                      <a:ext cx="4857750" cy="6867525"/>
                    </a:xfrm>
                    <a:prstGeom prst="rect">
                      <a:avLst/>
                    </a:prstGeom>
                    <a:noFill/>
                    <a:ln w="9525">
                      <a:noFill/>
                      <a:miter lim="800000"/>
                      <a:headEnd/>
                      <a:tailEnd/>
                    </a:ln>
                  </pic:spPr>
                </pic:pic>
              </a:graphicData>
            </a:graphic>
          </wp:inline>
        </w:drawing>
      </w:r>
      <w:r>
        <w:drawing>
          <wp:inline distT="0" distB="0" distL="0" distR="0">
            <wp:extent cx="4867275" cy="6886575"/>
            <wp:effectExtent l="1905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9" cstate="print"/>
                    <a:srcRect/>
                    <a:stretch>
                      <a:fillRect/>
                    </a:stretch>
                  </pic:blipFill>
                  <pic:spPr>
                    <a:xfrm>
                      <a:off x="0" y="0"/>
                      <a:ext cx="4867275" cy="6886575"/>
                    </a:xfrm>
                    <a:prstGeom prst="rect">
                      <a:avLst/>
                    </a:prstGeom>
                    <a:noFill/>
                    <a:ln w="9525">
                      <a:noFill/>
                      <a:miter lim="800000"/>
                      <a:headEnd/>
                      <a:tailEnd/>
                    </a:ln>
                  </pic:spPr>
                </pic:pic>
              </a:graphicData>
            </a:graphic>
          </wp:inline>
        </w:drawing>
      </w:r>
      <w:r>
        <w:drawing>
          <wp:inline distT="0" distB="0" distL="0" distR="0">
            <wp:extent cx="4848225" cy="6877050"/>
            <wp:effectExtent l="19050" t="0" r="952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40" cstate="print"/>
                    <a:srcRect/>
                    <a:stretch>
                      <a:fillRect/>
                    </a:stretch>
                  </pic:blipFill>
                  <pic:spPr>
                    <a:xfrm>
                      <a:off x="0" y="0"/>
                      <a:ext cx="4848225" cy="6877050"/>
                    </a:xfrm>
                    <a:prstGeom prst="rect">
                      <a:avLst/>
                    </a:prstGeom>
                    <a:noFill/>
                    <a:ln w="9525">
                      <a:noFill/>
                      <a:miter lim="800000"/>
                      <a:headEnd/>
                      <a:tailEnd/>
                    </a:ln>
                  </pic:spPr>
                </pic:pic>
              </a:graphicData>
            </a:graphic>
          </wp:inline>
        </w:drawing>
      </w:r>
      <w:r>
        <w:drawing>
          <wp:inline distT="0" distB="0" distL="0" distR="0">
            <wp:extent cx="4857750" cy="6905625"/>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41" cstate="print"/>
                    <a:srcRect/>
                    <a:stretch>
                      <a:fillRect/>
                    </a:stretch>
                  </pic:blipFill>
                  <pic:spPr>
                    <a:xfrm>
                      <a:off x="0" y="0"/>
                      <a:ext cx="4857750" cy="6905625"/>
                    </a:xfrm>
                    <a:prstGeom prst="rect">
                      <a:avLst/>
                    </a:prstGeom>
                    <a:noFill/>
                    <a:ln w="9525">
                      <a:noFill/>
                      <a:miter lim="800000"/>
                      <a:headEnd/>
                      <a:tailEnd/>
                    </a:ln>
                  </pic:spPr>
                </pic:pic>
              </a:graphicData>
            </a:graphic>
          </wp:inline>
        </w:drawing>
      </w:r>
      <w:r>
        <w:drawing>
          <wp:inline distT="0" distB="0" distL="0" distR="0">
            <wp:extent cx="4838700" cy="6867525"/>
            <wp:effectExtent l="1905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42" cstate="print"/>
                    <a:srcRect/>
                    <a:stretch>
                      <a:fillRect/>
                    </a:stretch>
                  </pic:blipFill>
                  <pic:spPr>
                    <a:xfrm>
                      <a:off x="0" y="0"/>
                      <a:ext cx="4838700" cy="6867525"/>
                    </a:xfrm>
                    <a:prstGeom prst="rect">
                      <a:avLst/>
                    </a:prstGeom>
                    <a:noFill/>
                    <a:ln w="9525">
                      <a:noFill/>
                      <a:miter lim="800000"/>
                      <a:headEnd/>
                      <a:tailEnd/>
                    </a:ln>
                  </pic:spPr>
                </pic:pic>
              </a:graphicData>
            </a:graphic>
          </wp:inline>
        </w:drawing>
      </w:r>
    </w:p>
    <w:p>
      <w:pPr>
        <w:ind w:firstLine="0" w:firstLineChars="0"/>
        <w:jc w:val="center"/>
        <w:rPr>
          <w:szCs w:val="24"/>
        </w:rPr>
      </w:pPr>
    </w:p>
    <w:p>
      <w:pPr>
        <w:ind w:firstLine="0" w:firstLineChars="0"/>
        <w:jc w:val="center"/>
        <w:rPr>
          <w:szCs w:val="24"/>
        </w:rPr>
        <w:sectPr>
          <w:pgSz w:w="11906" w:h="16838"/>
          <w:pgMar w:top="1440" w:right="1416" w:bottom="1440" w:left="1418" w:header="851" w:footer="992" w:gutter="0"/>
          <w:cols w:space="425" w:num="1"/>
          <w:docGrid w:type="lines" w:linePitch="312" w:charSpace="0"/>
        </w:sectPr>
      </w:pPr>
    </w:p>
    <w:p>
      <w:pPr>
        <w:ind w:left="-425" w:leftChars="-177" w:firstLine="0" w:firstLineChars="0"/>
        <w:jc w:val="center"/>
        <w:rPr>
          <w:szCs w:val="24"/>
        </w:rPr>
      </w:pPr>
    </w:p>
    <w:p>
      <w:pPr>
        <w:ind w:firstLine="199" w:firstLineChars="83"/>
        <w:sectPr>
          <w:pgSz w:w="16838" w:h="11906" w:orient="landscape"/>
          <w:pgMar w:top="1800" w:right="1440" w:bottom="1800" w:left="1440" w:header="283" w:footer="851" w:gutter="0"/>
          <w:cols w:space="425" w:num="1"/>
          <w:docGrid w:type="lines" w:linePitch="326" w:charSpace="0"/>
        </w:sectPr>
      </w:pPr>
    </w:p>
    <w:p>
      <w:pPr>
        <w:ind w:firstLine="0" w:firstLineChars="0"/>
        <w:jc w:val="center"/>
        <w:rPr>
          <w:b/>
        </w:rPr>
      </w:pPr>
    </w:p>
    <w:sectPr>
      <w:pgSz w:w="11906" w:h="16838"/>
      <w:pgMar w:top="1440" w:right="1800" w:bottom="1440" w:left="1800" w:header="283" w:footer="851"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1535167"/>
    </w:sdtPr>
    <w:sdtContent>
      <w:p>
        <w:pPr>
          <w:pStyle w:val="15"/>
          <w:ind w:firstLine="0" w:firstLineChars="0"/>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1"/>
      <w:jc w:val="center"/>
      <w:rPr>
        <w:rFonts w:cs="Times New Roman"/>
        <w:b/>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8E5"/>
    <w:multiLevelType w:val="multilevel"/>
    <w:tmpl w:val="002008E5"/>
    <w:lvl w:ilvl="0" w:tentative="0">
      <w:start w:val="1"/>
      <w:numFmt w:val="decimal"/>
      <w:lvlText w:val="（%1）"/>
      <w:lvlJc w:val="left"/>
      <w:pPr>
        <w:ind w:left="620" w:hanging="420"/>
      </w:pPr>
      <w:rPr>
        <w:rFonts w:hint="eastAsia"/>
        <w:b w:val="0"/>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56943C0B"/>
    <w:multiLevelType w:val="multilevel"/>
    <w:tmpl w:val="56943C0B"/>
    <w:lvl w:ilvl="0" w:tentative="0">
      <w:start w:val="1"/>
      <w:numFmt w:val="decimal"/>
      <w:lvlText w:val="（%1）"/>
      <w:lvlJc w:val="left"/>
      <w:pPr>
        <w:ind w:left="987" w:hanging="420"/>
      </w:pPr>
      <w:rPr>
        <w:rFonts w:hint="eastAsia"/>
        <w:b w:val="0"/>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629822B0"/>
    <w:multiLevelType w:val="multilevel"/>
    <w:tmpl w:val="629822B0"/>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B353B"/>
    <w:rsid w:val="00004476"/>
    <w:rsid w:val="0000528B"/>
    <w:rsid w:val="00006D1B"/>
    <w:rsid w:val="00011B55"/>
    <w:rsid w:val="00020379"/>
    <w:rsid w:val="0002082E"/>
    <w:rsid w:val="00020DCF"/>
    <w:rsid w:val="000235BD"/>
    <w:rsid w:val="00023C31"/>
    <w:rsid w:val="000262AB"/>
    <w:rsid w:val="0003087B"/>
    <w:rsid w:val="00030E01"/>
    <w:rsid w:val="00031D98"/>
    <w:rsid w:val="000324DA"/>
    <w:rsid w:val="000331C3"/>
    <w:rsid w:val="000338ED"/>
    <w:rsid w:val="000353AF"/>
    <w:rsid w:val="0003704F"/>
    <w:rsid w:val="00037A33"/>
    <w:rsid w:val="00044965"/>
    <w:rsid w:val="000543CC"/>
    <w:rsid w:val="00054E06"/>
    <w:rsid w:val="00060071"/>
    <w:rsid w:val="00060792"/>
    <w:rsid w:val="00062200"/>
    <w:rsid w:val="000645D6"/>
    <w:rsid w:val="0006494D"/>
    <w:rsid w:val="00065E96"/>
    <w:rsid w:val="0006629A"/>
    <w:rsid w:val="00070CB1"/>
    <w:rsid w:val="000723CA"/>
    <w:rsid w:val="00073ACD"/>
    <w:rsid w:val="00075B44"/>
    <w:rsid w:val="00077A06"/>
    <w:rsid w:val="00080798"/>
    <w:rsid w:val="00082905"/>
    <w:rsid w:val="000837EF"/>
    <w:rsid w:val="00084AC0"/>
    <w:rsid w:val="00084B49"/>
    <w:rsid w:val="00086B53"/>
    <w:rsid w:val="000922F7"/>
    <w:rsid w:val="00094BD4"/>
    <w:rsid w:val="00094F78"/>
    <w:rsid w:val="000A07ED"/>
    <w:rsid w:val="000A0863"/>
    <w:rsid w:val="000A50AA"/>
    <w:rsid w:val="000A5E0C"/>
    <w:rsid w:val="000B3B6E"/>
    <w:rsid w:val="000B5E3F"/>
    <w:rsid w:val="000B62EE"/>
    <w:rsid w:val="000B6886"/>
    <w:rsid w:val="000C0CED"/>
    <w:rsid w:val="000C294B"/>
    <w:rsid w:val="000C369F"/>
    <w:rsid w:val="000C4246"/>
    <w:rsid w:val="000C71A5"/>
    <w:rsid w:val="000D006A"/>
    <w:rsid w:val="000D0327"/>
    <w:rsid w:val="000D2D44"/>
    <w:rsid w:val="000D2F1D"/>
    <w:rsid w:val="000D57C8"/>
    <w:rsid w:val="000D619C"/>
    <w:rsid w:val="000D77C0"/>
    <w:rsid w:val="000E11F2"/>
    <w:rsid w:val="000E3E4E"/>
    <w:rsid w:val="000E7ABE"/>
    <w:rsid w:val="000F1E0C"/>
    <w:rsid w:val="00100502"/>
    <w:rsid w:val="0010506F"/>
    <w:rsid w:val="001052FC"/>
    <w:rsid w:val="001070DA"/>
    <w:rsid w:val="00110D07"/>
    <w:rsid w:val="0011283C"/>
    <w:rsid w:val="001141C3"/>
    <w:rsid w:val="001146D1"/>
    <w:rsid w:val="001148B5"/>
    <w:rsid w:val="0011519D"/>
    <w:rsid w:val="001214A8"/>
    <w:rsid w:val="00131183"/>
    <w:rsid w:val="00132465"/>
    <w:rsid w:val="00141954"/>
    <w:rsid w:val="00141E17"/>
    <w:rsid w:val="00142AE7"/>
    <w:rsid w:val="00145CA3"/>
    <w:rsid w:val="0015177D"/>
    <w:rsid w:val="00152C83"/>
    <w:rsid w:val="00157152"/>
    <w:rsid w:val="00162F68"/>
    <w:rsid w:val="001676F3"/>
    <w:rsid w:val="00167855"/>
    <w:rsid w:val="00173B04"/>
    <w:rsid w:val="0017428D"/>
    <w:rsid w:val="00176132"/>
    <w:rsid w:val="00177DC5"/>
    <w:rsid w:val="00181A33"/>
    <w:rsid w:val="00182E05"/>
    <w:rsid w:val="00184528"/>
    <w:rsid w:val="00190A91"/>
    <w:rsid w:val="001914D1"/>
    <w:rsid w:val="00196225"/>
    <w:rsid w:val="001A1B5C"/>
    <w:rsid w:val="001A2D36"/>
    <w:rsid w:val="001A33AF"/>
    <w:rsid w:val="001A4843"/>
    <w:rsid w:val="001A6099"/>
    <w:rsid w:val="001B3BC2"/>
    <w:rsid w:val="001C274D"/>
    <w:rsid w:val="001C2B63"/>
    <w:rsid w:val="001D0FDF"/>
    <w:rsid w:val="001D2698"/>
    <w:rsid w:val="001D447C"/>
    <w:rsid w:val="001D5223"/>
    <w:rsid w:val="001D69EA"/>
    <w:rsid w:val="001D7595"/>
    <w:rsid w:val="001E1449"/>
    <w:rsid w:val="001E4356"/>
    <w:rsid w:val="001F02EB"/>
    <w:rsid w:val="001F0ECF"/>
    <w:rsid w:val="001F10AA"/>
    <w:rsid w:val="001F20D5"/>
    <w:rsid w:val="001F26A6"/>
    <w:rsid w:val="001F5913"/>
    <w:rsid w:val="001F652A"/>
    <w:rsid w:val="0020151D"/>
    <w:rsid w:val="002015C8"/>
    <w:rsid w:val="00205F53"/>
    <w:rsid w:val="00213BB5"/>
    <w:rsid w:val="002157CC"/>
    <w:rsid w:val="00220735"/>
    <w:rsid w:val="0022215B"/>
    <w:rsid w:val="00222279"/>
    <w:rsid w:val="00226715"/>
    <w:rsid w:val="00231706"/>
    <w:rsid w:val="002370A2"/>
    <w:rsid w:val="00243CD0"/>
    <w:rsid w:val="00245051"/>
    <w:rsid w:val="002519C9"/>
    <w:rsid w:val="002533E5"/>
    <w:rsid w:val="002544F6"/>
    <w:rsid w:val="00255CDB"/>
    <w:rsid w:val="002601C0"/>
    <w:rsid w:val="00261CA6"/>
    <w:rsid w:val="0026310B"/>
    <w:rsid w:val="002722F1"/>
    <w:rsid w:val="00273DB5"/>
    <w:rsid w:val="00274018"/>
    <w:rsid w:val="00277C7A"/>
    <w:rsid w:val="00283439"/>
    <w:rsid w:val="00283529"/>
    <w:rsid w:val="002841A0"/>
    <w:rsid w:val="00284B77"/>
    <w:rsid w:val="00284CC8"/>
    <w:rsid w:val="002853FD"/>
    <w:rsid w:val="00285CE7"/>
    <w:rsid w:val="00292E3C"/>
    <w:rsid w:val="002A12E8"/>
    <w:rsid w:val="002A13CE"/>
    <w:rsid w:val="002B2553"/>
    <w:rsid w:val="002B32C0"/>
    <w:rsid w:val="002B353B"/>
    <w:rsid w:val="002B5FAE"/>
    <w:rsid w:val="002C04F1"/>
    <w:rsid w:val="002C11F4"/>
    <w:rsid w:val="002C1648"/>
    <w:rsid w:val="002C357E"/>
    <w:rsid w:val="002C4DF9"/>
    <w:rsid w:val="002C5F88"/>
    <w:rsid w:val="002C713D"/>
    <w:rsid w:val="002C7153"/>
    <w:rsid w:val="002D08E7"/>
    <w:rsid w:val="002D10B7"/>
    <w:rsid w:val="002D21A1"/>
    <w:rsid w:val="002D4793"/>
    <w:rsid w:val="002D77F1"/>
    <w:rsid w:val="002D7CBB"/>
    <w:rsid w:val="002E0B39"/>
    <w:rsid w:val="002E6818"/>
    <w:rsid w:val="002E7D78"/>
    <w:rsid w:val="002F02E5"/>
    <w:rsid w:val="002F1FC7"/>
    <w:rsid w:val="002F66E9"/>
    <w:rsid w:val="002F6960"/>
    <w:rsid w:val="00302076"/>
    <w:rsid w:val="0030746D"/>
    <w:rsid w:val="00307637"/>
    <w:rsid w:val="00311C0E"/>
    <w:rsid w:val="00313E70"/>
    <w:rsid w:val="00315CAD"/>
    <w:rsid w:val="003264FB"/>
    <w:rsid w:val="00330E22"/>
    <w:rsid w:val="003325E9"/>
    <w:rsid w:val="00333BBF"/>
    <w:rsid w:val="00342C7D"/>
    <w:rsid w:val="00344F2C"/>
    <w:rsid w:val="00346A91"/>
    <w:rsid w:val="00353C6C"/>
    <w:rsid w:val="003555B2"/>
    <w:rsid w:val="0035598F"/>
    <w:rsid w:val="00355F51"/>
    <w:rsid w:val="00356B16"/>
    <w:rsid w:val="00361DB0"/>
    <w:rsid w:val="0036319E"/>
    <w:rsid w:val="003634B3"/>
    <w:rsid w:val="003652E8"/>
    <w:rsid w:val="003735B8"/>
    <w:rsid w:val="0037620A"/>
    <w:rsid w:val="00381701"/>
    <w:rsid w:val="003820B0"/>
    <w:rsid w:val="0038277B"/>
    <w:rsid w:val="00384243"/>
    <w:rsid w:val="0038534F"/>
    <w:rsid w:val="00390EBB"/>
    <w:rsid w:val="00394122"/>
    <w:rsid w:val="0039477F"/>
    <w:rsid w:val="003959B9"/>
    <w:rsid w:val="003968D9"/>
    <w:rsid w:val="003A4702"/>
    <w:rsid w:val="003A4D8F"/>
    <w:rsid w:val="003A6922"/>
    <w:rsid w:val="003A7584"/>
    <w:rsid w:val="003B01F9"/>
    <w:rsid w:val="003B21D1"/>
    <w:rsid w:val="003B2424"/>
    <w:rsid w:val="003B2ADC"/>
    <w:rsid w:val="003B2B30"/>
    <w:rsid w:val="003C5B48"/>
    <w:rsid w:val="003C7D37"/>
    <w:rsid w:val="003D371F"/>
    <w:rsid w:val="003D4ACA"/>
    <w:rsid w:val="003E0E61"/>
    <w:rsid w:val="003E123B"/>
    <w:rsid w:val="003E2080"/>
    <w:rsid w:val="003E20BD"/>
    <w:rsid w:val="003E5FD4"/>
    <w:rsid w:val="003F28BA"/>
    <w:rsid w:val="003F5506"/>
    <w:rsid w:val="003F6403"/>
    <w:rsid w:val="003F7AEA"/>
    <w:rsid w:val="003F7B34"/>
    <w:rsid w:val="00401D50"/>
    <w:rsid w:val="00402A16"/>
    <w:rsid w:val="00406275"/>
    <w:rsid w:val="00410615"/>
    <w:rsid w:val="00420085"/>
    <w:rsid w:val="00420DBC"/>
    <w:rsid w:val="004310BA"/>
    <w:rsid w:val="00433368"/>
    <w:rsid w:val="004342E3"/>
    <w:rsid w:val="004369C5"/>
    <w:rsid w:val="00437FF5"/>
    <w:rsid w:val="0044047D"/>
    <w:rsid w:val="0044051E"/>
    <w:rsid w:val="00440F7D"/>
    <w:rsid w:val="00442038"/>
    <w:rsid w:val="00442594"/>
    <w:rsid w:val="00442A7C"/>
    <w:rsid w:val="00442F43"/>
    <w:rsid w:val="00447236"/>
    <w:rsid w:val="00447287"/>
    <w:rsid w:val="00451AF9"/>
    <w:rsid w:val="00451FB5"/>
    <w:rsid w:val="00454B99"/>
    <w:rsid w:val="00461164"/>
    <w:rsid w:val="0046210B"/>
    <w:rsid w:val="0046259E"/>
    <w:rsid w:val="00466566"/>
    <w:rsid w:val="004673BD"/>
    <w:rsid w:val="00474CA3"/>
    <w:rsid w:val="004819A6"/>
    <w:rsid w:val="0048623D"/>
    <w:rsid w:val="00486B09"/>
    <w:rsid w:val="004870EB"/>
    <w:rsid w:val="00487DBD"/>
    <w:rsid w:val="00490DCA"/>
    <w:rsid w:val="00491A96"/>
    <w:rsid w:val="00492029"/>
    <w:rsid w:val="00492BBB"/>
    <w:rsid w:val="004960EB"/>
    <w:rsid w:val="004962B0"/>
    <w:rsid w:val="00496CCC"/>
    <w:rsid w:val="004A6327"/>
    <w:rsid w:val="004A78C1"/>
    <w:rsid w:val="004B28FE"/>
    <w:rsid w:val="004B37F1"/>
    <w:rsid w:val="004B4E9F"/>
    <w:rsid w:val="004B68E3"/>
    <w:rsid w:val="004B6AC5"/>
    <w:rsid w:val="004B7B38"/>
    <w:rsid w:val="004B7C5A"/>
    <w:rsid w:val="004C0328"/>
    <w:rsid w:val="004C1767"/>
    <w:rsid w:val="004C4135"/>
    <w:rsid w:val="004C6E70"/>
    <w:rsid w:val="004C7264"/>
    <w:rsid w:val="004C7F2F"/>
    <w:rsid w:val="004D1F42"/>
    <w:rsid w:val="004D55BB"/>
    <w:rsid w:val="004E0FF2"/>
    <w:rsid w:val="004E201B"/>
    <w:rsid w:val="004E57E8"/>
    <w:rsid w:val="004F4253"/>
    <w:rsid w:val="004F48CB"/>
    <w:rsid w:val="004F4C56"/>
    <w:rsid w:val="004F63D2"/>
    <w:rsid w:val="0050124D"/>
    <w:rsid w:val="005024CA"/>
    <w:rsid w:val="005038FF"/>
    <w:rsid w:val="00504DCB"/>
    <w:rsid w:val="00506F5D"/>
    <w:rsid w:val="00512D8E"/>
    <w:rsid w:val="00513FD8"/>
    <w:rsid w:val="00514B77"/>
    <w:rsid w:val="00515963"/>
    <w:rsid w:val="005159BB"/>
    <w:rsid w:val="00520AC5"/>
    <w:rsid w:val="00522800"/>
    <w:rsid w:val="005278C6"/>
    <w:rsid w:val="00530110"/>
    <w:rsid w:val="005315AC"/>
    <w:rsid w:val="00531F4C"/>
    <w:rsid w:val="005327A9"/>
    <w:rsid w:val="0053716D"/>
    <w:rsid w:val="005402A2"/>
    <w:rsid w:val="00543D64"/>
    <w:rsid w:val="005450CA"/>
    <w:rsid w:val="00545E05"/>
    <w:rsid w:val="0055140B"/>
    <w:rsid w:val="005516DE"/>
    <w:rsid w:val="00551E82"/>
    <w:rsid w:val="0056194E"/>
    <w:rsid w:val="00562E95"/>
    <w:rsid w:val="00574C0C"/>
    <w:rsid w:val="005813A3"/>
    <w:rsid w:val="00581679"/>
    <w:rsid w:val="0058357E"/>
    <w:rsid w:val="00585F6D"/>
    <w:rsid w:val="00587530"/>
    <w:rsid w:val="00592BA9"/>
    <w:rsid w:val="005A1FC7"/>
    <w:rsid w:val="005A21FB"/>
    <w:rsid w:val="005A2BC4"/>
    <w:rsid w:val="005A35D9"/>
    <w:rsid w:val="005A3704"/>
    <w:rsid w:val="005A72A1"/>
    <w:rsid w:val="005A7E1D"/>
    <w:rsid w:val="005B25B8"/>
    <w:rsid w:val="005B356D"/>
    <w:rsid w:val="005B397D"/>
    <w:rsid w:val="005B5139"/>
    <w:rsid w:val="005B5B53"/>
    <w:rsid w:val="005B7ACF"/>
    <w:rsid w:val="005C1E97"/>
    <w:rsid w:val="005C327E"/>
    <w:rsid w:val="005C7E79"/>
    <w:rsid w:val="005D200D"/>
    <w:rsid w:val="005D3519"/>
    <w:rsid w:val="005D6116"/>
    <w:rsid w:val="005E2A2C"/>
    <w:rsid w:val="005E45C8"/>
    <w:rsid w:val="005F3583"/>
    <w:rsid w:val="005F4C69"/>
    <w:rsid w:val="005F5530"/>
    <w:rsid w:val="0061076D"/>
    <w:rsid w:val="00623CF9"/>
    <w:rsid w:val="00625A64"/>
    <w:rsid w:val="00627E93"/>
    <w:rsid w:val="0063338E"/>
    <w:rsid w:val="00635A93"/>
    <w:rsid w:val="00635D09"/>
    <w:rsid w:val="006378EB"/>
    <w:rsid w:val="00637D8F"/>
    <w:rsid w:val="0064246E"/>
    <w:rsid w:val="00643224"/>
    <w:rsid w:val="00645038"/>
    <w:rsid w:val="0064675C"/>
    <w:rsid w:val="00646F41"/>
    <w:rsid w:val="00653744"/>
    <w:rsid w:val="00656023"/>
    <w:rsid w:val="0066127F"/>
    <w:rsid w:val="00661F0A"/>
    <w:rsid w:val="00664488"/>
    <w:rsid w:val="00664A22"/>
    <w:rsid w:val="00670270"/>
    <w:rsid w:val="006703AF"/>
    <w:rsid w:val="00671BFA"/>
    <w:rsid w:val="0067243B"/>
    <w:rsid w:val="006724D1"/>
    <w:rsid w:val="00673C77"/>
    <w:rsid w:val="00673E71"/>
    <w:rsid w:val="006766CB"/>
    <w:rsid w:val="00684603"/>
    <w:rsid w:val="006866FC"/>
    <w:rsid w:val="00687A8B"/>
    <w:rsid w:val="006901DA"/>
    <w:rsid w:val="00690B3F"/>
    <w:rsid w:val="00691E43"/>
    <w:rsid w:val="00696011"/>
    <w:rsid w:val="00696D3F"/>
    <w:rsid w:val="006A2A6E"/>
    <w:rsid w:val="006A58DD"/>
    <w:rsid w:val="006A5F6C"/>
    <w:rsid w:val="006A654C"/>
    <w:rsid w:val="006B0E66"/>
    <w:rsid w:val="006B34BC"/>
    <w:rsid w:val="006B6214"/>
    <w:rsid w:val="006B7B88"/>
    <w:rsid w:val="006B7F3B"/>
    <w:rsid w:val="006D126B"/>
    <w:rsid w:val="006D1565"/>
    <w:rsid w:val="006D25BA"/>
    <w:rsid w:val="006E1EBA"/>
    <w:rsid w:val="006E369C"/>
    <w:rsid w:val="006E4721"/>
    <w:rsid w:val="006E59A3"/>
    <w:rsid w:val="006E6C21"/>
    <w:rsid w:val="006E6DCB"/>
    <w:rsid w:val="006F04CB"/>
    <w:rsid w:val="006F36AA"/>
    <w:rsid w:val="006F58E9"/>
    <w:rsid w:val="00701D4F"/>
    <w:rsid w:val="007037DF"/>
    <w:rsid w:val="007046EC"/>
    <w:rsid w:val="00711479"/>
    <w:rsid w:val="0071199F"/>
    <w:rsid w:val="00711AF4"/>
    <w:rsid w:val="0071248E"/>
    <w:rsid w:val="0071408B"/>
    <w:rsid w:val="007150F7"/>
    <w:rsid w:val="0071695D"/>
    <w:rsid w:val="0071757E"/>
    <w:rsid w:val="0071761E"/>
    <w:rsid w:val="007214F8"/>
    <w:rsid w:val="00721E26"/>
    <w:rsid w:val="00722E5A"/>
    <w:rsid w:val="007247EB"/>
    <w:rsid w:val="00724AED"/>
    <w:rsid w:val="00731EDD"/>
    <w:rsid w:val="00732CF9"/>
    <w:rsid w:val="00733A30"/>
    <w:rsid w:val="00735333"/>
    <w:rsid w:val="00741CB7"/>
    <w:rsid w:val="00743800"/>
    <w:rsid w:val="00747037"/>
    <w:rsid w:val="0075178A"/>
    <w:rsid w:val="00753AAD"/>
    <w:rsid w:val="00753D98"/>
    <w:rsid w:val="00753EC2"/>
    <w:rsid w:val="00766140"/>
    <w:rsid w:val="007670E1"/>
    <w:rsid w:val="007702A0"/>
    <w:rsid w:val="00777A19"/>
    <w:rsid w:val="00785A21"/>
    <w:rsid w:val="00791415"/>
    <w:rsid w:val="00791AAB"/>
    <w:rsid w:val="00797132"/>
    <w:rsid w:val="007A2AE1"/>
    <w:rsid w:val="007A486C"/>
    <w:rsid w:val="007A4B11"/>
    <w:rsid w:val="007A771E"/>
    <w:rsid w:val="007A7A08"/>
    <w:rsid w:val="007B35AB"/>
    <w:rsid w:val="007B3ACD"/>
    <w:rsid w:val="007B712C"/>
    <w:rsid w:val="007C281C"/>
    <w:rsid w:val="007C2A9B"/>
    <w:rsid w:val="007C4FF1"/>
    <w:rsid w:val="007C60FC"/>
    <w:rsid w:val="007D00C0"/>
    <w:rsid w:val="007D0211"/>
    <w:rsid w:val="007D1814"/>
    <w:rsid w:val="007D2994"/>
    <w:rsid w:val="007E594D"/>
    <w:rsid w:val="007F10C1"/>
    <w:rsid w:val="007F2131"/>
    <w:rsid w:val="007F33E2"/>
    <w:rsid w:val="007F5B96"/>
    <w:rsid w:val="007F71ED"/>
    <w:rsid w:val="007F7C4F"/>
    <w:rsid w:val="00800510"/>
    <w:rsid w:val="00803E00"/>
    <w:rsid w:val="0080660D"/>
    <w:rsid w:val="00812492"/>
    <w:rsid w:val="0082079C"/>
    <w:rsid w:val="00823664"/>
    <w:rsid w:val="00830846"/>
    <w:rsid w:val="00830FC9"/>
    <w:rsid w:val="0083187E"/>
    <w:rsid w:val="00833E9B"/>
    <w:rsid w:val="00843B4F"/>
    <w:rsid w:val="0084724D"/>
    <w:rsid w:val="00856FC9"/>
    <w:rsid w:val="0085764D"/>
    <w:rsid w:val="0086334F"/>
    <w:rsid w:val="0086776F"/>
    <w:rsid w:val="00870DCC"/>
    <w:rsid w:val="0088276B"/>
    <w:rsid w:val="008868DC"/>
    <w:rsid w:val="00892535"/>
    <w:rsid w:val="00893553"/>
    <w:rsid w:val="00895214"/>
    <w:rsid w:val="008A1991"/>
    <w:rsid w:val="008A1FE9"/>
    <w:rsid w:val="008A376A"/>
    <w:rsid w:val="008A45C1"/>
    <w:rsid w:val="008A4B82"/>
    <w:rsid w:val="008B0065"/>
    <w:rsid w:val="008B1489"/>
    <w:rsid w:val="008B2EC5"/>
    <w:rsid w:val="008B397A"/>
    <w:rsid w:val="008C1B59"/>
    <w:rsid w:val="008C7449"/>
    <w:rsid w:val="008D3E52"/>
    <w:rsid w:val="008E01EC"/>
    <w:rsid w:val="008E5745"/>
    <w:rsid w:val="008E7324"/>
    <w:rsid w:val="008F5267"/>
    <w:rsid w:val="008F5D46"/>
    <w:rsid w:val="008F5ED2"/>
    <w:rsid w:val="00900B08"/>
    <w:rsid w:val="00901E97"/>
    <w:rsid w:val="009034B3"/>
    <w:rsid w:val="00907192"/>
    <w:rsid w:val="00907D83"/>
    <w:rsid w:val="009125F9"/>
    <w:rsid w:val="00912DC7"/>
    <w:rsid w:val="00917EC7"/>
    <w:rsid w:val="00920C22"/>
    <w:rsid w:val="00922656"/>
    <w:rsid w:val="00923DC0"/>
    <w:rsid w:val="00932229"/>
    <w:rsid w:val="00932FB2"/>
    <w:rsid w:val="00933A31"/>
    <w:rsid w:val="00934264"/>
    <w:rsid w:val="00941393"/>
    <w:rsid w:val="00943743"/>
    <w:rsid w:val="00943C3A"/>
    <w:rsid w:val="00945766"/>
    <w:rsid w:val="00946013"/>
    <w:rsid w:val="00954157"/>
    <w:rsid w:val="00954312"/>
    <w:rsid w:val="00955B40"/>
    <w:rsid w:val="00961AE3"/>
    <w:rsid w:val="009632D5"/>
    <w:rsid w:val="00965097"/>
    <w:rsid w:val="00965189"/>
    <w:rsid w:val="00965C43"/>
    <w:rsid w:val="009667A5"/>
    <w:rsid w:val="00970D58"/>
    <w:rsid w:val="00982152"/>
    <w:rsid w:val="00982B30"/>
    <w:rsid w:val="00986D7C"/>
    <w:rsid w:val="009870FA"/>
    <w:rsid w:val="00990828"/>
    <w:rsid w:val="009925FF"/>
    <w:rsid w:val="009926BB"/>
    <w:rsid w:val="00993447"/>
    <w:rsid w:val="009961C6"/>
    <w:rsid w:val="009A05AC"/>
    <w:rsid w:val="009A0ACA"/>
    <w:rsid w:val="009A27F9"/>
    <w:rsid w:val="009A2ED7"/>
    <w:rsid w:val="009A5753"/>
    <w:rsid w:val="009A5CF8"/>
    <w:rsid w:val="009A6563"/>
    <w:rsid w:val="009B1077"/>
    <w:rsid w:val="009B3133"/>
    <w:rsid w:val="009B3833"/>
    <w:rsid w:val="009B5D8A"/>
    <w:rsid w:val="009B7E44"/>
    <w:rsid w:val="009B7F2F"/>
    <w:rsid w:val="009C41FE"/>
    <w:rsid w:val="009C636A"/>
    <w:rsid w:val="009C6C9F"/>
    <w:rsid w:val="009C7525"/>
    <w:rsid w:val="009D044C"/>
    <w:rsid w:val="009D07AF"/>
    <w:rsid w:val="009D3120"/>
    <w:rsid w:val="009D3AA5"/>
    <w:rsid w:val="009D487F"/>
    <w:rsid w:val="009D5EBB"/>
    <w:rsid w:val="009D6BD0"/>
    <w:rsid w:val="009D6DD5"/>
    <w:rsid w:val="009D72F0"/>
    <w:rsid w:val="009D7C9E"/>
    <w:rsid w:val="009E0F04"/>
    <w:rsid w:val="009F030A"/>
    <w:rsid w:val="009F52A6"/>
    <w:rsid w:val="009F53F8"/>
    <w:rsid w:val="009F59D6"/>
    <w:rsid w:val="009F5C3D"/>
    <w:rsid w:val="00A0245A"/>
    <w:rsid w:val="00A05C42"/>
    <w:rsid w:val="00A07944"/>
    <w:rsid w:val="00A102A3"/>
    <w:rsid w:val="00A12E4B"/>
    <w:rsid w:val="00A223EC"/>
    <w:rsid w:val="00A241E7"/>
    <w:rsid w:val="00A26B2A"/>
    <w:rsid w:val="00A27A89"/>
    <w:rsid w:val="00A30F72"/>
    <w:rsid w:val="00A31061"/>
    <w:rsid w:val="00A3143A"/>
    <w:rsid w:val="00A31D37"/>
    <w:rsid w:val="00A31E87"/>
    <w:rsid w:val="00A340D2"/>
    <w:rsid w:val="00A34FAC"/>
    <w:rsid w:val="00A358D1"/>
    <w:rsid w:val="00A36406"/>
    <w:rsid w:val="00A40A71"/>
    <w:rsid w:val="00A4754F"/>
    <w:rsid w:val="00A47E07"/>
    <w:rsid w:val="00A52BE6"/>
    <w:rsid w:val="00A721A6"/>
    <w:rsid w:val="00A73989"/>
    <w:rsid w:val="00A752CC"/>
    <w:rsid w:val="00A83AD7"/>
    <w:rsid w:val="00A862E8"/>
    <w:rsid w:val="00A90A80"/>
    <w:rsid w:val="00A90E04"/>
    <w:rsid w:val="00A92266"/>
    <w:rsid w:val="00A92F72"/>
    <w:rsid w:val="00AA07D4"/>
    <w:rsid w:val="00AA41A6"/>
    <w:rsid w:val="00AA5A88"/>
    <w:rsid w:val="00AA6094"/>
    <w:rsid w:val="00AA6803"/>
    <w:rsid w:val="00AB0BF9"/>
    <w:rsid w:val="00AB1B5F"/>
    <w:rsid w:val="00AB2234"/>
    <w:rsid w:val="00AB7E58"/>
    <w:rsid w:val="00AC12FC"/>
    <w:rsid w:val="00AC286C"/>
    <w:rsid w:val="00AC373C"/>
    <w:rsid w:val="00AD2489"/>
    <w:rsid w:val="00AD3427"/>
    <w:rsid w:val="00AD6B65"/>
    <w:rsid w:val="00AD756B"/>
    <w:rsid w:val="00AE60EF"/>
    <w:rsid w:val="00B00772"/>
    <w:rsid w:val="00B04389"/>
    <w:rsid w:val="00B05055"/>
    <w:rsid w:val="00B05360"/>
    <w:rsid w:val="00B05AD7"/>
    <w:rsid w:val="00B06454"/>
    <w:rsid w:val="00B1198B"/>
    <w:rsid w:val="00B11FC0"/>
    <w:rsid w:val="00B15EB0"/>
    <w:rsid w:val="00B2170B"/>
    <w:rsid w:val="00B27268"/>
    <w:rsid w:val="00B332F3"/>
    <w:rsid w:val="00B34398"/>
    <w:rsid w:val="00B35EB6"/>
    <w:rsid w:val="00B36E57"/>
    <w:rsid w:val="00B37322"/>
    <w:rsid w:val="00B3778C"/>
    <w:rsid w:val="00B37F0B"/>
    <w:rsid w:val="00B40469"/>
    <w:rsid w:val="00B4192D"/>
    <w:rsid w:val="00B45A23"/>
    <w:rsid w:val="00B53460"/>
    <w:rsid w:val="00B54B07"/>
    <w:rsid w:val="00B56F4E"/>
    <w:rsid w:val="00B56FDA"/>
    <w:rsid w:val="00B62711"/>
    <w:rsid w:val="00B734C4"/>
    <w:rsid w:val="00B77BEB"/>
    <w:rsid w:val="00B81068"/>
    <w:rsid w:val="00B84003"/>
    <w:rsid w:val="00B879C9"/>
    <w:rsid w:val="00B902D5"/>
    <w:rsid w:val="00B91BBF"/>
    <w:rsid w:val="00B951DB"/>
    <w:rsid w:val="00B97CCF"/>
    <w:rsid w:val="00BA2603"/>
    <w:rsid w:val="00BA4C23"/>
    <w:rsid w:val="00BA5B92"/>
    <w:rsid w:val="00BA5BAE"/>
    <w:rsid w:val="00BA6405"/>
    <w:rsid w:val="00BB407E"/>
    <w:rsid w:val="00BC414D"/>
    <w:rsid w:val="00BC4B1E"/>
    <w:rsid w:val="00BC73E0"/>
    <w:rsid w:val="00BD38AB"/>
    <w:rsid w:val="00BD3C25"/>
    <w:rsid w:val="00BE10B7"/>
    <w:rsid w:val="00BE1534"/>
    <w:rsid w:val="00BE2624"/>
    <w:rsid w:val="00BE2CC2"/>
    <w:rsid w:val="00BE59B2"/>
    <w:rsid w:val="00BF2A31"/>
    <w:rsid w:val="00BF56AB"/>
    <w:rsid w:val="00C005E7"/>
    <w:rsid w:val="00C03B13"/>
    <w:rsid w:val="00C073D7"/>
    <w:rsid w:val="00C11173"/>
    <w:rsid w:val="00C11F0C"/>
    <w:rsid w:val="00C12A33"/>
    <w:rsid w:val="00C14FBF"/>
    <w:rsid w:val="00C152B7"/>
    <w:rsid w:val="00C17FC8"/>
    <w:rsid w:val="00C2034D"/>
    <w:rsid w:val="00C211C5"/>
    <w:rsid w:val="00C235CD"/>
    <w:rsid w:val="00C30EFF"/>
    <w:rsid w:val="00C30F92"/>
    <w:rsid w:val="00C311E5"/>
    <w:rsid w:val="00C313E6"/>
    <w:rsid w:val="00C3178E"/>
    <w:rsid w:val="00C338DC"/>
    <w:rsid w:val="00C35351"/>
    <w:rsid w:val="00C355B4"/>
    <w:rsid w:val="00C40EFE"/>
    <w:rsid w:val="00C43CE1"/>
    <w:rsid w:val="00C45165"/>
    <w:rsid w:val="00C50DC0"/>
    <w:rsid w:val="00C53201"/>
    <w:rsid w:val="00C54261"/>
    <w:rsid w:val="00C55900"/>
    <w:rsid w:val="00C562DD"/>
    <w:rsid w:val="00C56BFA"/>
    <w:rsid w:val="00C56DA0"/>
    <w:rsid w:val="00C57899"/>
    <w:rsid w:val="00C612F5"/>
    <w:rsid w:val="00C64772"/>
    <w:rsid w:val="00C662E2"/>
    <w:rsid w:val="00C67DDB"/>
    <w:rsid w:val="00C70542"/>
    <w:rsid w:val="00C70C63"/>
    <w:rsid w:val="00C7387D"/>
    <w:rsid w:val="00C82904"/>
    <w:rsid w:val="00C84634"/>
    <w:rsid w:val="00C84D70"/>
    <w:rsid w:val="00C87179"/>
    <w:rsid w:val="00C92502"/>
    <w:rsid w:val="00C94650"/>
    <w:rsid w:val="00CA13F1"/>
    <w:rsid w:val="00CA15DB"/>
    <w:rsid w:val="00CA1961"/>
    <w:rsid w:val="00CA1E2F"/>
    <w:rsid w:val="00CA22D7"/>
    <w:rsid w:val="00CA2436"/>
    <w:rsid w:val="00CA56A7"/>
    <w:rsid w:val="00CA6A7B"/>
    <w:rsid w:val="00CA765E"/>
    <w:rsid w:val="00CB09F5"/>
    <w:rsid w:val="00CB3512"/>
    <w:rsid w:val="00CB5122"/>
    <w:rsid w:val="00CB727D"/>
    <w:rsid w:val="00CB76A5"/>
    <w:rsid w:val="00CC4027"/>
    <w:rsid w:val="00CC52E0"/>
    <w:rsid w:val="00CC5763"/>
    <w:rsid w:val="00CC5A06"/>
    <w:rsid w:val="00CD5EF8"/>
    <w:rsid w:val="00CD5F73"/>
    <w:rsid w:val="00CD7658"/>
    <w:rsid w:val="00CE7507"/>
    <w:rsid w:val="00CF182D"/>
    <w:rsid w:val="00CF264E"/>
    <w:rsid w:val="00D00401"/>
    <w:rsid w:val="00D028A1"/>
    <w:rsid w:val="00D03785"/>
    <w:rsid w:val="00D05358"/>
    <w:rsid w:val="00D0574C"/>
    <w:rsid w:val="00D07A65"/>
    <w:rsid w:val="00D07F40"/>
    <w:rsid w:val="00D1033C"/>
    <w:rsid w:val="00D1382B"/>
    <w:rsid w:val="00D256B7"/>
    <w:rsid w:val="00D25E86"/>
    <w:rsid w:val="00D273FD"/>
    <w:rsid w:val="00D30AB8"/>
    <w:rsid w:val="00D3232C"/>
    <w:rsid w:val="00D33777"/>
    <w:rsid w:val="00D355BE"/>
    <w:rsid w:val="00D40AC3"/>
    <w:rsid w:val="00D431BC"/>
    <w:rsid w:val="00D4325F"/>
    <w:rsid w:val="00D45A08"/>
    <w:rsid w:val="00D47F09"/>
    <w:rsid w:val="00D5395D"/>
    <w:rsid w:val="00D57C46"/>
    <w:rsid w:val="00D60F8A"/>
    <w:rsid w:val="00D61FB3"/>
    <w:rsid w:val="00D6202A"/>
    <w:rsid w:val="00D622A3"/>
    <w:rsid w:val="00D63AD0"/>
    <w:rsid w:val="00D729B7"/>
    <w:rsid w:val="00D73EEA"/>
    <w:rsid w:val="00D74088"/>
    <w:rsid w:val="00D77A56"/>
    <w:rsid w:val="00D80100"/>
    <w:rsid w:val="00D8288C"/>
    <w:rsid w:val="00D846A2"/>
    <w:rsid w:val="00DA0809"/>
    <w:rsid w:val="00DA1BCF"/>
    <w:rsid w:val="00DA3CA3"/>
    <w:rsid w:val="00DB60C3"/>
    <w:rsid w:val="00DB7117"/>
    <w:rsid w:val="00DB7CAD"/>
    <w:rsid w:val="00DC0420"/>
    <w:rsid w:val="00DC06B5"/>
    <w:rsid w:val="00DC102A"/>
    <w:rsid w:val="00DC469D"/>
    <w:rsid w:val="00DC571F"/>
    <w:rsid w:val="00DC5CFE"/>
    <w:rsid w:val="00DC7649"/>
    <w:rsid w:val="00DD0BF5"/>
    <w:rsid w:val="00DD67BB"/>
    <w:rsid w:val="00DE0675"/>
    <w:rsid w:val="00DE08BA"/>
    <w:rsid w:val="00DE0972"/>
    <w:rsid w:val="00DE0B29"/>
    <w:rsid w:val="00DE10AA"/>
    <w:rsid w:val="00DE3326"/>
    <w:rsid w:val="00DE3558"/>
    <w:rsid w:val="00DF1BFA"/>
    <w:rsid w:val="00DF1F50"/>
    <w:rsid w:val="00E05430"/>
    <w:rsid w:val="00E055CA"/>
    <w:rsid w:val="00E06C67"/>
    <w:rsid w:val="00E1183F"/>
    <w:rsid w:val="00E16C22"/>
    <w:rsid w:val="00E22E3C"/>
    <w:rsid w:val="00E23821"/>
    <w:rsid w:val="00E24605"/>
    <w:rsid w:val="00E27913"/>
    <w:rsid w:val="00E364FB"/>
    <w:rsid w:val="00E3708F"/>
    <w:rsid w:val="00E50FD7"/>
    <w:rsid w:val="00E547EB"/>
    <w:rsid w:val="00E62C89"/>
    <w:rsid w:val="00E647E9"/>
    <w:rsid w:val="00E66C3C"/>
    <w:rsid w:val="00E73196"/>
    <w:rsid w:val="00E741B8"/>
    <w:rsid w:val="00E926FB"/>
    <w:rsid w:val="00E93009"/>
    <w:rsid w:val="00E931EB"/>
    <w:rsid w:val="00E95865"/>
    <w:rsid w:val="00E963D0"/>
    <w:rsid w:val="00EA0DFD"/>
    <w:rsid w:val="00EA1E70"/>
    <w:rsid w:val="00EA411D"/>
    <w:rsid w:val="00EA598F"/>
    <w:rsid w:val="00EA59FA"/>
    <w:rsid w:val="00EA6303"/>
    <w:rsid w:val="00EB1833"/>
    <w:rsid w:val="00EC1E71"/>
    <w:rsid w:val="00EC2382"/>
    <w:rsid w:val="00EC2BA8"/>
    <w:rsid w:val="00EC652A"/>
    <w:rsid w:val="00ED1595"/>
    <w:rsid w:val="00ED2183"/>
    <w:rsid w:val="00ED42C7"/>
    <w:rsid w:val="00EE08B7"/>
    <w:rsid w:val="00EE1C80"/>
    <w:rsid w:val="00EE1F3C"/>
    <w:rsid w:val="00EF40EE"/>
    <w:rsid w:val="00EF681A"/>
    <w:rsid w:val="00F01112"/>
    <w:rsid w:val="00F01B4E"/>
    <w:rsid w:val="00F03003"/>
    <w:rsid w:val="00F0517C"/>
    <w:rsid w:val="00F10427"/>
    <w:rsid w:val="00F14889"/>
    <w:rsid w:val="00F16049"/>
    <w:rsid w:val="00F17487"/>
    <w:rsid w:val="00F26742"/>
    <w:rsid w:val="00F3369E"/>
    <w:rsid w:val="00F336C4"/>
    <w:rsid w:val="00F33DD5"/>
    <w:rsid w:val="00F378A5"/>
    <w:rsid w:val="00F401E1"/>
    <w:rsid w:val="00F405E9"/>
    <w:rsid w:val="00F4348B"/>
    <w:rsid w:val="00F44208"/>
    <w:rsid w:val="00F458D0"/>
    <w:rsid w:val="00F46F2A"/>
    <w:rsid w:val="00F52E27"/>
    <w:rsid w:val="00F5487B"/>
    <w:rsid w:val="00F54923"/>
    <w:rsid w:val="00F57A6C"/>
    <w:rsid w:val="00F67872"/>
    <w:rsid w:val="00F70213"/>
    <w:rsid w:val="00F71A9B"/>
    <w:rsid w:val="00F72111"/>
    <w:rsid w:val="00F722AB"/>
    <w:rsid w:val="00F854B4"/>
    <w:rsid w:val="00F8578A"/>
    <w:rsid w:val="00F85A3F"/>
    <w:rsid w:val="00FA0211"/>
    <w:rsid w:val="00FA05B8"/>
    <w:rsid w:val="00FA342B"/>
    <w:rsid w:val="00FA428B"/>
    <w:rsid w:val="00FB2B3D"/>
    <w:rsid w:val="00FC162C"/>
    <w:rsid w:val="00FC25BE"/>
    <w:rsid w:val="00FC3DA3"/>
    <w:rsid w:val="00FC63B3"/>
    <w:rsid w:val="00FC6691"/>
    <w:rsid w:val="00FC7105"/>
    <w:rsid w:val="00FC768C"/>
    <w:rsid w:val="00FD20AE"/>
    <w:rsid w:val="00FD3DE7"/>
    <w:rsid w:val="00FD407B"/>
    <w:rsid w:val="00FD5B96"/>
    <w:rsid w:val="00FE0051"/>
    <w:rsid w:val="00FE1D7D"/>
    <w:rsid w:val="00FE5569"/>
    <w:rsid w:val="00FE7E1F"/>
    <w:rsid w:val="00FF0DFD"/>
    <w:rsid w:val="00FF1E26"/>
    <w:rsid w:val="00FF4F0D"/>
    <w:rsid w:val="02C5294F"/>
    <w:rsid w:val="04C55ECE"/>
    <w:rsid w:val="0E5A2FDE"/>
    <w:rsid w:val="10650D62"/>
    <w:rsid w:val="155371E2"/>
    <w:rsid w:val="17843930"/>
    <w:rsid w:val="1AD9049A"/>
    <w:rsid w:val="1B2F62F6"/>
    <w:rsid w:val="1D410C11"/>
    <w:rsid w:val="27184581"/>
    <w:rsid w:val="37AE6203"/>
    <w:rsid w:val="4983308A"/>
    <w:rsid w:val="4A892BB2"/>
    <w:rsid w:val="4B9A7047"/>
    <w:rsid w:val="4CD52092"/>
    <w:rsid w:val="4F5F187F"/>
    <w:rsid w:val="54A973B9"/>
    <w:rsid w:val="568E51B7"/>
    <w:rsid w:val="5F0921F7"/>
    <w:rsid w:val="634A40BC"/>
    <w:rsid w:val="6BCF421C"/>
    <w:rsid w:val="6D5A76FC"/>
    <w:rsid w:val="71731BE5"/>
    <w:rsid w:val="748A3DA0"/>
    <w:rsid w:val="7E193B14"/>
    <w:rsid w:val="7EB268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37"/>
    <w:qFormat/>
    <w:uiPriority w:val="9"/>
    <w:pPr>
      <w:keepNext/>
      <w:keepLines/>
      <w:ind w:firstLine="0" w:firstLineChars="0"/>
      <w:jc w:val="center"/>
      <w:outlineLvl w:val="0"/>
    </w:pPr>
    <w:rPr>
      <w:b/>
      <w:bCs/>
      <w:kern w:val="44"/>
      <w:sz w:val="32"/>
      <w:szCs w:val="44"/>
    </w:rPr>
  </w:style>
  <w:style w:type="paragraph" w:styleId="3">
    <w:name w:val="heading 2"/>
    <w:basedOn w:val="1"/>
    <w:next w:val="1"/>
    <w:link w:val="41"/>
    <w:unhideWhenUsed/>
    <w:qFormat/>
    <w:uiPriority w:val="9"/>
    <w:pPr>
      <w:keepNext/>
      <w:keepLines/>
      <w:ind w:firstLine="0" w:firstLineChars="0"/>
      <w:outlineLvl w:val="1"/>
    </w:pPr>
    <w:rPr>
      <w:rFonts w:eastAsiaTheme="majorEastAsia" w:cstheme="majorBidi"/>
      <w:b/>
      <w:bCs/>
      <w:sz w:val="30"/>
      <w:szCs w:val="32"/>
    </w:rPr>
  </w:style>
  <w:style w:type="paragraph" w:styleId="4">
    <w:name w:val="heading 3"/>
    <w:basedOn w:val="1"/>
    <w:next w:val="1"/>
    <w:link w:val="40"/>
    <w:unhideWhenUsed/>
    <w:qFormat/>
    <w:uiPriority w:val="9"/>
    <w:pPr>
      <w:keepNext/>
      <w:keepLines/>
      <w:ind w:firstLine="0" w:firstLineChars="0"/>
      <w:outlineLvl w:val="2"/>
    </w:pPr>
    <w:rPr>
      <w:b/>
      <w:bCs/>
      <w:sz w:val="28"/>
      <w:szCs w:val="32"/>
    </w:rPr>
  </w:style>
  <w:style w:type="paragraph" w:styleId="5">
    <w:name w:val="heading 4"/>
    <w:basedOn w:val="1"/>
    <w:next w:val="1"/>
    <w:link w:val="42"/>
    <w:unhideWhenUsed/>
    <w:qFormat/>
    <w:uiPriority w:val="9"/>
    <w:pPr>
      <w:keepNext/>
      <w:keepLines/>
      <w:ind w:firstLine="0" w:firstLineChars="0"/>
      <w:outlineLvl w:val="3"/>
    </w:pPr>
    <w:rPr>
      <w:rFonts w:eastAsiaTheme="majorEastAsia" w:cstheme="majorBidi"/>
      <w:b/>
      <w:bCs/>
      <w:sz w:val="28"/>
      <w:szCs w:val="28"/>
    </w:rPr>
  </w:style>
  <w:style w:type="character" w:default="1" w:styleId="20">
    <w:name w:val="Default Paragraph Font"/>
    <w:semiHidden/>
    <w:unhideWhenUsed/>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68"/>
    <w:semiHidden/>
    <w:unhideWhenUsed/>
    <w:qFormat/>
    <w:uiPriority w:val="99"/>
    <w:pPr>
      <w:spacing w:line="360" w:lineRule="auto"/>
      <w:ind w:firstLine="200" w:firstLineChars="200"/>
    </w:pPr>
    <w:rPr>
      <w:rFonts w:ascii="Times New Roman" w:hAnsi="Times New Roman"/>
      <w:b/>
      <w:bCs/>
      <w:sz w:val="24"/>
      <w:szCs w:val="22"/>
    </w:rPr>
  </w:style>
  <w:style w:type="paragraph" w:styleId="7">
    <w:name w:val="annotation text"/>
    <w:basedOn w:val="1"/>
    <w:link w:val="46"/>
    <w:unhideWhenUsed/>
    <w:qFormat/>
    <w:uiPriority w:val="0"/>
    <w:pPr>
      <w:spacing w:line="240" w:lineRule="auto"/>
      <w:ind w:firstLine="0" w:firstLineChars="0"/>
      <w:jc w:val="left"/>
    </w:pPr>
    <w:rPr>
      <w:rFonts w:asciiTheme="minorHAnsi" w:hAnsiTheme="minorHAnsi"/>
      <w:sz w:val="21"/>
      <w:szCs w:val="24"/>
    </w:rPr>
  </w:style>
  <w:style w:type="paragraph" w:styleId="8">
    <w:name w:val="Normal Indent"/>
    <w:basedOn w:val="1"/>
    <w:link w:val="50"/>
    <w:qFormat/>
    <w:uiPriority w:val="0"/>
    <w:pPr>
      <w:spacing w:line="240" w:lineRule="auto"/>
      <w:ind w:firstLine="420"/>
    </w:pPr>
    <w:rPr>
      <w:rFonts w:eastAsia="宋体" w:asciiTheme="minorHAnsi" w:hAnsiTheme="minorHAnsi"/>
      <w:sz w:val="21"/>
    </w:rPr>
  </w:style>
  <w:style w:type="paragraph" w:styleId="9">
    <w:name w:val="caption"/>
    <w:basedOn w:val="1"/>
    <w:next w:val="1"/>
    <w:link w:val="73"/>
    <w:qFormat/>
    <w:uiPriority w:val="0"/>
    <w:pPr>
      <w:keepNext/>
      <w:snapToGrid w:val="0"/>
      <w:spacing w:line="240" w:lineRule="auto"/>
      <w:ind w:firstLine="0" w:firstLineChars="0"/>
      <w:jc w:val="center"/>
    </w:pPr>
    <w:rPr>
      <w:rFonts w:eastAsia="宋体" w:cs="Arial"/>
      <w:b/>
      <w:szCs w:val="20"/>
    </w:rPr>
  </w:style>
  <w:style w:type="paragraph" w:styleId="10">
    <w:name w:val="Body Text"/>
    <w:basedOn w:val="1"/>
    <w:link w:val="78"/>
    <w:semiHidden/>
    <w:unhideWhenUsed/>
    <w:qFormat/>
    <w:uiPriority w:val="99"/>
    <w:pPr>
      <w:spacing w:after="120"/>
    </w:pPr>
  </w:style>
  <w:style w:type="paragraph" w:styleId="11">
    <w:name w:val="Body Text Indent"/>
    <w:basedOn w:val="1"/>
    <w:link w:val="51"/>
    <w:qFormat/>
    <w:uiPriority w:val="0"/>
    <w:pPr>
      <w:spacing w:line="240" w:lineRule="auto"/>
      <w:ind w:left="420" w:firstLine="600" w:firstLineChars="0"/>
    </w:pPr>
    <w:rPr>
      <w:rFonts w:ascii="宋体" w:hAnsi="宋体" w:eastAsia="宋体" w:cs="Times New Roman"/>
      <w:sz w:val="30"/>
      <w:szCs w:val="24"/>
    </w:rPr>
  </w:style>
  <w:style w:type="paragraph" w:styleId="12">
    <w:name w:val="toc 3"/>
    <w:basedOn w:val="1"/>
    <w:next w:val="1"/>
    <w:unhideWhenUsed/>
    <w:qFormat/>
    <w:uiPriority w:val="39"/>
    <w:pPr>
      <w:ind w:left="840" w:leftChars="400"/>
    </w:pPr>
  </w:style>
  <w:style w:type="paragraph" w:styleId="13">
    <w:name w:val="Plain Text"/>
    <w:basedOn w:val="1"/>
    <w:link w:val="56"/>
    <w:qFormat/>
    <w:uiPriority w:val="0"/>
    <w:pPr>
      <w:spacing w:before="120" w:after="120" w:line="240" w:lineRule="auto"/>
      <w:ind w:firstLine="629" w:firstLineChars="0"/>
    </w:pPr>
    <w:rPr>
      <w:rFonts w:ascii="宋体" w:hAnsi="Courier New" w:eastAsia="宋体"/>
      <w:sz w:val="30"/>
    </w:rPr>
  </w:style>
  <w:style w:type="paragraph" w:styleId="14">
    <w:name w:val="Balloon Text"/>
    <w:basedOn w:val="1"/>
    <w:link w:val="39"/>
    <w:semiHidden/>
    <w:unhideWhenUsed/>
    <w:qFormat/>
    <w:uiPriority w:val="0"/>
    <w:rPr>
      <w:sz w:val="18"/>
      <w:szCs w:val="18"/>
    </w:r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Body Text Indent 3"/>
    <w:basedOn w:val="1"/>
    <w:link w:val="55"/>
    <w:unhideWhenUsed/>
    <w:qFormat/>
    <w:uiPriority w:val="0"/>
    <w:pPr>
      <w:spacing w:after="120"/>
      <w:ind w:left="420" w:leftChars="200"/>
    </w:pPr>
    <w:rPr>
      <w:sz w:val="16"/>
      <w:szCs w:val="16"/>
    </w:rPr>
  </w:style>
  <w:style w:type="paragraph" w:styleId="19">
    <w:name w:val="toc 2"/>
    <w:basedOn w:val="1"/>
    <w:next w:val="1"/>
    <w:unhideWhenUsed/>
    <w:qFormat/>
    <w:uiPriority w:val="39"/>
    <w:pPr>
      <w:ind w:left="420" w:leftChars="200"/>
    </w:p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unhideWhenUsed/>
    <w:qFormat/>
    <w:uiPriority w:val="99"/>
    <w:rPr>
      <w:color w:val="0000FF" w:themeColor="hyperlink"/>
      <w:u w:val="single"/>
    </w:rPr>
  </w:style>
  <w:style w:type="character" w:styleId="24">
    <w:name w:val="annotation reference"/>
    <w:unhideWhenUsed/>
    <w:qFormat/>
    <w:uiPriority w:val="99"/>
    <w:rPr>
      <w:sz w:val="21"/>
      <w:szCs w:val="21"/>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7">
    <w:name w:val="页眉 Char"/>
    <w:basedOn w:val="20"/>
    <w:link w:val="16"/>
    <w:qFormat/>
    <w:uiPriority w:val="99"/>
    <w:rPr>
      <w:sz w:val="18"/>
      <w:szCs w:val="18"/>
    </w:rPr>
  </w:style>
  <w:style w:type="character" w:customStyle="1" w:styleId="28">
    <w:name w:val="页脚 Char"/>
    <w:basedOn w:val="20"/>
    <w:link w:val="15"/>
    <w:qFormat/>
    <w:uiPriority w:val="99"/>
    <w:rPr>
      <w:sz w:val="18"/>
      <w:szCs w:val="18"/>
    </w:rPr>
  </w:style>
  <w:style w:type="character" w:customStyle="1" w:styleId="29">
    <w:name w:val="正文文本缩进 2 Char"/>
    <w:link w:val="30"/>
    <w:qFormat/>
    <w:uiPriority w:val="0"/>
    <w:rPr>
      <w:rFonts w:ascii="Times New Roman" w:hAnsi="Times New Roman" w:eastAsia="仿宋_GB2312" w:cs="Times New Roman"/>
      <w:sz w:val="28"/>
      <w:szCs w:val="20"/>
    </w:rPr>
  </w:style>
  <w:style w:type="paragraph" w:customStyle="1" w:styleId="30">
    <w:name w:val="正文文本缩进 21"/>
    <w:basedOn w:val="1"/>
    <w:link w:val="29"/>
    <w:qFormat/>
    <w:uiPriority w:val="0"/>
    <w:pPr>
      <w:adjustRightInd w:val="0"/>
      <w:spacing w:line="312" w:lineRule="atLeast"/>
      <w:ind w:firstLine="570"/>
      <w:jc w:val="distribute"/>
      <w:textAlignment w:val="baseline"/>
    </w:pPr>
    <w:rPr>
      <w:rFonts w:eastAsia="仿宋_GB2312" w:cs="Times New Roman"/>
      <w:sz w:val="28"/>
      <w:szCs w:val="20"/>
    </w:rPr>
  </w:style>
  <w:style w:type="character" w:customStyle="1" w:styleId="31">
    <w:name w:val="纯文本 Char1"/>
    <w:link w:val="32"/>
    <w:qFormat/>
    <w:uiPriority w:val="0"/>
    <w:rPr>
      <w:rFonts w:ascii="宋体" w:hAnsi="Courier New" w:eastAsia="宋体" w:cs="Times New Roman"/>
      <w:szCs w:val="20"/>
    </w:rPr>
  </w:style>
  <w:style w:type="paragraph" w:customStyle="1" w:styleId="32">
    <w:name w:val="纯文本1"/>
    <w:basedOn w:val="1"/>
    <w:link w:val="31"/>
    <w:qFormat/>
    <w:uiPriority w:val="0"/>
    <w:rPr>
      <w:rFonts w:ascii="宋体" w:hAnsi="Courier New" w:eastAsia="宋体" w:cs="Times New Roman"/>
      <w:szCs w:val="20"/>
    </w:rPr>
  </w:style>
  <w:style w:type="character" w:customStyle="1" w:styleId="33">
    <w:name w:val="正文文本缩进 Char"/>
    <w:link w:val="34"/>
    <w:qFormat/>
    <w:uiPriority w:val="0"/>
    <w:rPr>
      <w:rFonts w:ascii="仿宋_GB2312" w:hAnsi="Times New Roman" w:eastAsia="仿宋_GB2312" w:cs="Times New Roman"/>
      <w:sz w:val="28"/>
      <w:szCs w:val="20"/>
    </w:rPr>
  </w:style>
  <w:style w:type="paragraph" w:customStyle="1" w:styleId="34">
    <w:name w:val="正文文本缩进1"/>
    <w:basedOn w:val="1"/>
    <w:link w:val="33"/>
    <w:qFormat/>
    <w:uiPriority w:val="0"/>
    <w:pPr>
      <w:adjustRightInd w:val="0"/>
      <w:spacing w:line="233" w:lineRule="auto"/>
      <w:ind w:firstLine="570"/>
      <w:textAlignment w:val="baseline"/>
    </w:pPr>
    <w:rPr>
      <w:rFonts w:ascii="仿宋_GB2312" w:eastAsia="仿宋_GB2312" w:cs="Times New Roman"/>
      <w:sz w:val="28"/>
      <w:szCs w:val="20"/>
    </w:rPr>
  </w:style>
  <w:style w:type="character" w:customStyle="1" w:styleId="35">
    <w:name w:val="页码1"/>
    <w:basedOn w:val="20"/>
    <w:qFormat/>
    <w:uiPriority w:val="0"/>
  </w:style>
  <w:style w:type="paragraph" w:customStyle="1" w:styleId="36">
    <w:name w:val="普通(网站)1"/>
    <w:basedOn w:val="1"/>
    <w:qFormat/>
    <w:uiPriority w:val="0"/>
    <w:pPr>
      <w:widowControl/>
      <w:spacing w:before="100" w:beforeAutospacing="1" w:after="100" w:afterAutospacing="1"/>
      <w:jc w:val="left"/>
    </w:pPr>
    <w:rPr>
      <w:rFonts w:ascii="宋体" w:hAnsi="宋体" w:eastAsia="宋体" w:cs="宋体"/>
      <w:kern w:val="0"/>
      <w:szCs w:val="24"/>
    </w:rPr>
  </w:style>
  <w:style w:type="character" w:customStyle="1" w:styleId="37">
    <w:name w:val="标题 1 Char"/>
    <w:basedOn w:val="20"/>
    <w:link w:val="2"/>
    <w:qFormat/>
    <w:uiPriority w:val="9"/>
    <w:rPr>
      <w:rFonts w:ascii="Times New Roman" w:hAnsi="Times New Roman"/>
      <w:b/>
      <w:bCs/>
      <w:kern w:val="44"/>
      <w:sz w:val="32"/>
      <w:szCs w:val="44"/>
    </w:rPr>
  </w:style>
  <w:style w:type="paragraph" w:customStyle="1" w:styleId="3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9">
    <w:name w:val="批注框文本 Char"/>
    <w:basedOn w:val="20"/>
    <w:link w:val="14"/>
    <w:semiHidden/>
    <w:qFormat/>
    <w:uiPriority w:val="99"/>
    <w:rPr>
      <w:sz w:val="18"/>
      <w:szCs w:val="18"/>
    </w:rPr>
  </w:style>
  <w:style w:type="character" w:customStyle="1" w:styleId="40">
    <w:name w:val="标题 3 Char"/>
    <w:basedOn w:val="20"/>
    <w:link w:val="4"/>
    <w:qFormat/>
    <w:uiPriority w:val="9"/>
    <w:rPr>
      <w:rFonts w:ascii="Times New Roman" w:hAnsi="Times New Roman"/>
      <w:b/>
      <w:bCs/>
      <w:sz w:val="28"/>
      <w:szCs w:val="32"/>
    </w:rPr>
  </w:style>
  <w:style w:type="character" w:customStyle="1" w:styleId="41">
    <w:name w:val="标题 2 Char"/>
    <w:basedOn w:val="20"/>
    <w:link w:val="3"/>
    <w:qFormat/>
    <w:uiPriority w:val="9"/>
    <w:rPr>
      <w:rFonts w:ascii="Times New Roman" w:hAnsi="Times New Roman" w:eastAsiaTheme="majorEastAsia" w:cstheme="majorBidi"/>
      <w:b/>
      <w:bCs/>
      <w:sz w:val="30"/>
      <w:szCs w:val="32"/>
    </w:rPr>
  </w:style>
  <w:style w:type="character" w:customStyle="1" w:styleId="42">
    <w:name w:val="标题 4 Char"/>
    <w:basedOn w:val="20"/>
    <w:link w:val="5"/>
    <w:qFormat/>
    <w:uiPriority w:val="9"/>
    <w:rPr>
      <w:rFonts w:ascii="Times New Roman" w:hAnsi="Times New Roman" w:eastAsiaTheme="majorEastAsia" w:cstheme="majorBidi"/>
      <w:b/>
      <w:bCs/>
      <w:sz w:val="28"/>
      <w:szCs w:val="28"/>
    </w:rPr>
  </w:style>
  <w:style w:type="paragraph" w:styleId="43">
    <w:name w:val="List Paragraph"/>
    <w:basedOn w:val="1"/>
    <w:qFormat/>
    <w:uiPriority w:val="34"/>
    <w:pPr>
      <w:widowControl/>
      <w:overflowPunct w:val="0"/>
      <w:autoSpaceDE w:val="0"/>
    </w:pPr>
    <w:rPr>
      <w:rFonts w:eastAsia="宋体" w:cs="Times New Roman"/>
      <w:kern w:val="0"/>
      <w:szCs w:val="24"/>
    </w:rPr>
  </w:style>
  <w:style w:type="character" w:customStyle="1" w:styleId="44">
    <w:name w:val="表格文字 Char Char"/>
    <w:link w:val="45"/>
    <w:qFormat/>
    <w:uiPriority w:val="0"/>
    <w:rPr>
      <w:szCs w:val="24"/>
    </w:rPr>
  </w:style>
  <w:style w:type="paragraph" w:customStyle="1" w:styleId="45">
    <w:name w:val="表格文字"/>
    <w:basedOn w:val="1"/>
    <w:link w:val="44"/>
    <w:qFormat/>
    <w:uiPriority w:val="0"/>
    <w:pPr>
      <w:adjustRightInd w:val="0"/>
      <w:snapToGrid w:val="0"/>
      <w:ind w:firstLine="0" w:firstLineChars="0"/>
      <w:jc w:val="left"/>
    </w:pPr>
    <w:rPr>
      <w:rFonts w:asciiTheme="minorHAnsi" w:hAnsiTheme="minorHAnsi"/>
      <w:sz w:val="21"/>
      <w:szCs w:val="24"/>
    </w:rPr>
  </w:style>
  <w:style w:type="character" w:customStyle="1" w:styleId="46">
    <w:name w:val="批注文字 Char"/>
    <w:link w:val="7"/>
    <w:qFormat/>
    <w:uiPriority w:val="0"/>
    <w:rPr>
      <w:szCs w:val="24"/>
    </w:rPr>
  </w:style>
  <w:style w:type="character" w:customStyle="1" w:styleId="47">
    <w:name w:val="批注文字 Char1"/>
    <w:basedOn w:val="20"/>
    <w:semiHidden/>
    <w:qFormat/>
    <w:uiPriority w:val="99"/>
    <w:rPr>
      <w:rFonts w:ascii="Times New Roman" w:hAnsi="Times New Roman"/>
      <w:sz w:val="24"/>
    </w:rPr>
  </w:style>
  <w:style w:type="character" w:customStyle="1" w:styleId="48">
    <w:name w:val="表格文字 Char"/>
    <w:qFormat/>
    <w:uiPriority w:val="0"/>
    <w:rPr>
      <w:rFonts w:eastAsia="宋体"/>
      <w:kern w:val="2"/>
      <w:position w:val="-10"/>
      <w:sz w:val="21"/>
      <w:lang w:val="en-US" w:eastAsia="zh-CN" w:bidi="ar-SA"/>
    </w:rPr>
  </w:style>
  <w:style w:type="paragraph" w:customStyle="1" w:styleId="49">
    <w:name w:val="表文"/>
    <w:basedOn w:val="1"/>
    <w:qFormat/>
    <w:uiPriority w:val="0"/>
    <w:pPr>
      <w:autoSpaceDE w:val="0"/>
      <w:autoSpaceDN w:val="0"/>
      <w:adjustRightInd w:val="0"/>
      <w:spacing w:line="360" w:lineRule="atLeast"/>
      <w:ind w:firstLine="0" w:firstLineChars="0"/>
      <w:jc w:val="center"/>
      <w:textAlignment w:val="baseline"/>
    </w:pPr>
    <w:rPr>
      <w:rFonts w:ascii="宋体" w:hAnsi="Tms Rmn" w:eastAsia="宋体" w:cs="Times New Roman"/>
      <w:kern w:val="0"/>
      <w:szCs w:val="20"/>
    </w:rPr>
  </w:style>
  <w:style w:type="character" w:customStyle="1" w:styleId="50">
    <w:name w:val="正文缩进 Char"/>
    <w:link w:val="8"/>
    <w:qFormat/>
    <w:uiPriority w:val="0"/>
    <w:rPr>
      <w:rFonts w:eastAsia="宋体"/>
    </w:rPr>
  </w:style>
  <w:style w:type="character" w:customStyle="1" w:styleId="51">
    <w:name w:val="正文文本缩进 Char1"/>
    <w:basedOn w:val="20"/>
    <w:link w:val="11"/>
    <w:qFormat/>
    <w:uiPriority w:val="0"/>
    <w:rPr>
      <w:rFonts w:ascii="宋体" w:hAnsi="宋体" w:eastAsia="宋体" w:cs="Times New Roman"/>
      <w:sz w:val="30"/>
      <w:szCs w:val="24"/>
    </w:rPr>
  </w:style>
  <w:style w:type="paragraph" w:customStyle="1" w:styleId="52">
    <w:name w:val="Char1"/>
    <w:basedOn w:val="1"/>
    <w:qFormat/>
    <w:uiPriority w:val="0"/>
    <w:pPr>
      <w:spacing w:line="240" w:lineRule="auto"/>
      <w:ind w:firstLine="0" w:firstLineChars="0"/>
    </w:pPr>
    <w:rPr>
      <w:rFonts w:ascii="Verdana" w:hAnsi="Verdana" w:eastAsia="仿宋_GB2312" w:cs="Times New Roman"/>
      <w:kern w:val="0"/>
      <w:sz w:val="28"/>
      <w:szCs w:val="20"/>
      <w:lang w:eastAsia="en-US"/>
    </w:rPr>
  </w:style>
  <w:style w:type="character" w:customStyle="1" w:styleId="53">
    <w:name w:val="报告表  段 Char"/>
    <w:link w:val="54"/>
    <w:qFormat/>
    <w:uiPriority w:val="0"/>
    <w:rPr>
      <w:rFonts w:ascii="宋体" w:hAnsi="Verdana" w:eastAsia="宋体"/>
      <w:sz w:val="24"/>
    </w:rPr>
  </w:style>
  <w:style w:type="paragraph" w:customStyle="1" w:styleId="54">
    <w:name w:val="报告表  段"/>
    <w:basedOn w:val="1"/>
    <w:link w:val="53"/>
    <w:qFormat/>
    <w:uiPriority w:val="0"/>
    <w:pPr>
      <w:adjustRightInd w:val="0"/>
      <w:ind w:firstLine="505" w:firstLineChars="0"/>
      <w:textAlignment w:val="baseline"/>
    </w:pPr>
    <w:rPr>
      <w:rFonts w:ascii="宋体" w:hAnsi="Verdana" w:eastAsia="宋体"/>
    </w:rPr>
  </w:style>
  <w:style w:type="character" w:customStyle="1" w:styleId="55">
    <w:name w:val="正文文本缩进 3 Char"/>
    <w:basedOn w:val="20"/>
    <w:link w:val="18"/>
    <w:semiHidden/>
    <w:qFormat/>
    <w:uiPriority w:val="99"/>
    <w:rPr>
      <w:rFonts w:ascii="Times New Roman" w:hAnsi="Times New Roman"/>
      <w:sz w:val="16"/>
      <w:szCs w:val="16"/>
    </w:rPr>
  </w:style>
  <w:style w:type="character" w:customStyle="1" w:styleId="56">
    <w:name w:val="纯文本 Char"/>
    <w:link w:val="13"/>
    <w:qFormat/>
    <w:uiPriority w:val="0"/>
    <w:rPr>
      <w:rFonts w:ascii="宋体" w:hAnsi="Courier New" w:eastAsia="宋体"/>
      <w:sz w:val="30"/>
    </w:rPr>
  </w:style>
  <w:style w:type="character" w:customStyle="1" w:styleId="57">
    <w:name w:val="纯文本 Char2"/>
    <w:basedOn w:val="20"/>
    <w:semiHidden/>
    <w:qFormat/>
    <w:uiPriority w:val="99"/>
    <w:rPr>
      <w:rFonts w:ascii="宋体" w:hAnsi="Courier New" w:eastAsia="宋体" w:cs="Courier New"/>
      <w:szCs w:val="21"/>
    </w:rPr>
  </w:style>
  <w:style w:type="paragraph" w:customStyle="1" w:styleId="58">
    <w:name w:val="Char11"/>
    <w:basedOn w:val="1"/>
    <w:qFormat/>
    <w:uiPriority w:val="0"/>
    <w:pPr>
      <w:spacing w:line="240" w:lineRule="auto"/>
      <w:ind w:firstLine="0" w:firstLineChars="0"/>
    </w:pPr>
    <w:rPr>
      <w:rFonts w:ascii="Verdana" w:hAnsi="Verdana" w:eastAsia="仿宋_GB2312" w:cs="Times New Roman"/>
      <w:kern w:val="0"/>
      <w:sz w:val="28"/>
      <w:szCs w:val="20"/>
      <w:lang w:eastAsia="en-US"/>
    </w:rPr>
  </w:style>
  <w:style w:type="character" w:customStyle="1" w:styleId="59">
    <w:name w:val="样式 中文 仿宋"/>
    <w:basedOn w:val="20"/>
    <w:qFormat/>
    <w:uiPriority w:val="0"/>
    <w:rPr>
      <w:rFonts w:eastAsia="仿宋_GB2312"/>
      <w:b/>
      <w:bCs/>
    </w:rPr>
  </w:style>
  <w:style w:type="character" w:customStyle="1" w:styleId="60">
    <w:name w:val="正 文 Char"/>
    <w:basedOn w:val="20"/>
    <w:link w:val="61"/>
    <w:qFormat/>
    <w:uiPriority w:val="0"/>
    <w:rPr>
      <w:rFonts w:cs="宋体"/>
      <w:sz w:val="24"/>
      <w:szCs w:val="24"/>
    </w:rPr>
  </w:style>
  <w:style w:type="paragraph" w:customStyle="1" w:styleId="61">
    <w:name w:val="正 文"/>
    <w:link w:val="60"/>
    <w:qFormat/>
    <w:uiPriority w:val="0"/>
    <w:pPr>
      <w:widowControl w:val="0"/>
      <w:spacing w:line="360" w:lineRule="auto"/>
      <w:ind w:firstLine="480" w:firstLineChars="200"/>
    </w:pPr>
    <w:rPr>
      <w:rFonts w:cs="宋体" w:asciiTheme="minorHAnsi" w:hAnsiTheme="minorHAnsi" w:eastAsiaTheme="minorEastAsia"/>
      <w:kern w:val="2"/>
      <w:sz w:val="24"/>
      <w:szCs w:val="24"/>
      <w:lang w:val="en-US" w:eastAsia="zh-CN" w:bidi="ar-SA"/>
    </w:rPr>
  </w:style>
  <w:style w:type="paragraph" w:customStyle="1" w:styleId="62">
    <w:name w:val="样式 正 文 + 宋体"/>
    <w:basedOn w:val="1"/>
    <w:semiHidden/>
    <w:qFormat/>
    <w:uiPriority w:val="0"/>
    <w:pPr>
      <w:ind w:firstLine="471"/>
    </w:pPr>
    <w:rPr>
      <w:rFonts w:eastAsia="宋体" w:asciiTheme="minorHAnsi" w:hAnsiTheme="minorHAnsi"/>
      <w:szCs w:val="20"/>
    </w:rPr>
  </w:style>
  <w:style w:type="character" w:customStyle="1" w:styleId="63">
    <w:name w:val="样式 正文 +"/>
    <w:qFormat/>
    <w:uiPriority w:val="0"/>
    <w:rPr>
      <w:rFonts w:ascii="Arial" w:hAnsi="Arial" w:eastAsia="宋体"/>
      <w:color w:val="auto"/>
      <w:kern w:val="2"/>
      <w:sz w:val="24"/>
      <w:szCs w:val="24"/>
      <w:u w:val="none"/>
      <w:vertAlign w:val="baseline"/>
    </w:rPr>
  </w:style>
  <w:style w:type="character" w:customStyle="1" w:styleId="64">
    <w:name w:val="HCH正文 Char"/>
    <w:link w:val="65"/>
    <w:qFormat/>
    <w:uiPriority w:val="0"/>
    <w:rPr>
      <w:kern w:val="2"/>
      <w:sz w:val="24"/>
      <w:szCs w:val="22"/>
    </w:rPr>
  </w:style>
  <w:style w:type="paragraph" w:customStyle="1" w:styleId="65">
    <w:name w:val="HCH正文"/>
    <w:link w:val="64"/>
    <w:qFormat/>
    <w:uiPriority w:val="0"/>
    <w:pPr>
      <w:spacing w:line="360" w:lineRule="auto"/>
      <w:ind w:firstLine="480" w:firstLineChars="200"/>
    </w:pPr>
    <w:rPr>
      <w:rFonts w:ascii="Times New Roman" w:hAnsi="Times New Roman" w:eastAsia="宋体" w:cs="Times New Roman"/>
      <w:kern w:val="2"/>
      <w:sz w:val="24"/>
      <w:szCs w:val="22"/>
      <w:lang w:val="en-US" w:eastAsia="zh-CN" w:bidi="ar-SA"/>
    </w:rPr>
  </w:style>
  <w:style w:type="paragraph" w:customStyle="1" w:styleId="66">
    <w:name w:val="_Style 12"/>
    <w:basedOn w:val="1"/>
    <w:qFormat/>
    <w:uiPriority w:val="0"/>
    <w:pPr>
      <w:spacing w:line="240" w:lineRule="auto"/>
    </w:pPr>
    <w:rPr>
      <w:rFonts w:eastAsia="宋体" w:cs="Times New Roman"/>
      <w:kern w:val="0"/>
      <w:szCs w:val="28"/>
    </w:rPr>
  </w:style>
  <w:style w:type="paragraph" w:customStyle="1" w:styleId="67">
    <w:name w:val="Default"/>
    <w:qFormat/>
    <w:uiPriority w:val="0"/>
    <w:pPr>
      <w:widowControl w:val="0"/>
      <w:autoSpaceDE w:val="0"/>
      <w:autoSpaceDN w:val="0"/>
      <w:adjustRightInd w:val="0"/>
    </w:pPr>
    <w:rPr>
      <w:rFonts w:ascii="宋体" w:hAnsi="宋体" w:eastAsia="微软雅黑" w:cs="宋体"/>
      <w:color w:val="000000"/>
      <w:sz w:val="24"/>
      <w:szCs w:val="24"/>
      <w:lang w:val="en-US" w:eastAsia="zh-CN" w:bidi="ar-SA"/>
    </w:rPr>
  </w:style>
  <w:style w:type="character" w:customStyle="1" w:styleId="68">
    <w:name w:val="批注主题 Char"/>
    <w:basedOn w:val="46"/>
    <w:link w:val="6"/>
    <w:semiHidden/>
    <w:qFormat/>
    <w:uiPriority w:val="99"/>
    <w:rPr>
      <w:rFonts w:eastAsiaTheme="minorEastAsia" w:cstheme="minorBidi"/>
      <w:b/>
      <w:bCs/>
      <w:kern w:val="2"/>
      <w:sz w:val="24"/>
      <w:szCs w:val="22"/>
    </w:rPr>
  </w:style>
  <w:style w:type="character" w:customStyle="1" w:styleId="69">
    <w:name w:val="表格文字01 Char"/>
    <w:link w:val="70"/>
    <w:qFormat/>
    <w:uiPriority w:val="0"/>
    <w:rPr>
      <w:color w:val="000000"/>
      <w:kern w:val="2"/>
      <w:sz w:val="21"/>
    </w:rPr>
  </w:style>
  <w:style w:type="paragraph" w:customStyle="1" w:styleId="70">
    <w:name w:val="表格文字01"/>
    <w:basedOn w:val="1"/>
    <w:link w:val="69"/>
    <w:qFormat/>
    <w:uiPriority w:val="0"/>
    <w:pPr>
      <w:wordWrap w:val="0"/>
      <w:overflowPunct w:val="0"/>
      <w:topLinePunct/>
      <w:spacing w:line="240" w:lineRule="auto"/>
      <w:ind w:firstLine="0" w:firstLineChars="0"/>
      <w:jc w:val="center"/>
    </w:pPr>
    <w:rPr>
      <w:rFonts w:eastAsia="宋体" w:cs="Times New Roman"/>
      <w:color w:val="000000"/>
      <w:sz w:val="21"/>
      <w:szCs w:val="20"/>
    </w:rPr>
  </w:style>
  <w:style w:type="paragraph" w:customStyle="1" w:styleId="71">
    <w:name w:val="a1"/>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kern w:val="0"/>
      <w:szCs w:val="24"/>
    </w:rPr>
  </w:style>
  <w:style w:type="paragraph" w:customStyle="1" w:styleId="72">
    <w:name w:val="1"/>
    <w:basedOn w:val="1"/>
    <w:next w:val="18"/>
    <w:qFormat/>
    <w:uiPriority w:val="0"/>
    <w:pPr>
      <w:spacing w:line="540" w:lineRule="exact"/>
      <w:ind w:firstLine="480"/>
    </w:pPr>
    <w:rPr>
      <w:rFonts w:ascii="宋体" w:eastAsia="宋体" w:cs="Times New Roman"/>
      <w:szCs w:val="20"/>
    </w:rPr>
  </w:style>
  <w:style w:type="character" w:customStyle="1" w:styleId="73">
    <w:name w:val="题注 Char"/>
    <w:link w:val="9"/>
    <w:qFormat/>
    <w:uiPriority w:val="0"/>
    <w:rPr>
      <w:rFonts w:cs="Arial"/>
      <w:b/>
      <w:kern w:val="2"/>
      <w:sz w:val="24"/>
    </w:rPr>
  </w:style>
  <w:style w:type="paragraph" w:customStyle="1" w:styleId="74">
    <w:name w:val="正文1"/>
    <w:basedOn w:val="1"/>
    <w:qFormat/>
    <w:uiPriority w:val="0"/>
    <w:pPr>
      <w:adjustRightInd w:val="0"/>
      <w:spacing w:line="240" w:lineRule="auto"/>
      <w:ind w:firstLine="0" w:firstLineChars="0"/>
    </w:pPr>
    <w:rPr>
      <w:rFonts w:eastAsia="楷体_GB2312" w:cs="Times New Roman"/>
      <w:sz w:val="20"/>
      <w:szCs w:val="24"/>
    </w:rPr>
  </w:style>
  <w:style w:type="character" w:customStyle="1" w:styleId="75">
    <w:name w:val="表格正文 Char"/>
    <w:link w:val="76"/>
    <w:qFormat/>
    <w:uiPriority w:val="0"/>
    <w:rPr>
      <w:rFonts w:ascii="宋体"/>
      <w:spacing w:val="4"/>
      <w:w w:val="90"/>
      <w:sz w:val="24"/>
    </w:rPr>
  </w:style>
  <w:style w:type="paragraph" w:customStyle="1" w:styleId="76">
    <w:name w:val="表格正文"/>
    <w:basedOn w:val="1"/>
    <w:next w:val="1"/>
    <w:link w:val="75"/>
    <w:qFormat/>
    <w:uiPriority w:val="0"/>
    <w:pPr>
      <w:adjustRightInd w:val="0"/>
      <w:snapToGrid w:val="0"/>
      <w:spacing w:line="240" w:lineRule="auto"/>
      <w:ind w:firstLine="0" w:firstLineChars="0"/>
      <w:jc w:val="center"/>
      <w:textAlignment w:val="baseline"/>
    </w:pPr>
    <w:rPr>
      <w:rFonts w:ascii="宋体" w:eastAsia="宋体" w:cs="Times New Roman"/>
      <w:spacing w:val="4"/>
      <w:w w:val="90"/>
      <w:kern w:val="0"/>
      <w:szCs w:val="20"/>
    </w:rPr>
  </w:style>
  <w:style w:type="paragraph" w:customStyle="1" w:styleId="77">
    <w:name w:val="Table Paragraph"/>
    <w:basedOn w:val="1"/>
    <w:qFormat/>
    <w:uiPriority w:val="1"/>
    <w:pPr>
      <w:spacing w:line="240" w:lineRule="auto"/>
      <w:ind w:firstLine="0" w:firstLineChars="0"/>
    </w:pPr>
    <w:rPr>
      <w:rFonts w:eastAsia="宋体" w:cs="Times New Roman"/>
      <w:sz w:val="21"/>
      <w:szCs w:val="20"/>
    </w:rPr>
  </w:style>
  <w:style w:type="character" w:customStyle="1" w:styleId="78">
    <w:name w:val="正文文本 Char"/>
    <w:basedOn w:val="20"/>
    <w:link w:val="10"/>
    <w:semiHidden/>
    <w:qFormat/>
    <w:uiPriority w:val="99"/>
    <w:rPr>
      <w:rFonts w:eastAsiaTheme="minorEastAsia" w:cstheme="minorBidi"/>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39D076-A4CA-4CA8-8B17-1702CF129C07}">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3148</Words>
  <Characters>17948</Characters>
  <Lines>149</Lines>
  <Paragraphs>42</Paragraphs>
  <TotalTime>8503</TotalTime>
  <ScaleCrop>false</ScaleCrop>
  <LinksUpToDate>false</LinksUpToDate>
  <CharactersWithSpaces>21054</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2020-01-09T08:57:00Z</dcterms:created>
  <dc:creator>lenovo</dc:creator>
  <cp:lastModifiedBy>11</cp:lastModifiedBy>
  <cp:lastPrinted>2020-05-15T01:29:00Z</cp:lastPrinted>
  <dcterms:modified xsi:type="dcterms:W3CDTF">2021-06-07T09:14:52Z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